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pPr/>
      <w:r>
        <w:rPr>
          <w:b/>
        </w:rPr>
        <w:t>Что рассказать команде:</w:t>
      </w:r>
      <w:r>
        <w:t xml:space="preserve"> Архитектура агента — это карта доказательств, а не картинка со слоями.</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rPr>
          <w:b/>
        </w:rPr>
        <w:t>Красный флаг:</w:t>
      </w:r>
      <w:r>
        <w:rPr>
          <w:b w:val="0"/>
        </w:rPr>
        <w:t xml:space="preserve"> долговременная память записывается в горячем пути без владельца и срока жизни.</w:t>
      </w:r>
    </w:p>
    <w:p>
      <w:pPr/>
      <w:r>
        <w:rPr>
          <w:b/>
        </w:rPr>
        <w:t>Что рассказать команде:</w:t>
      </w:r>
      <w:r>
        <w:t xml:space="preserve"> Для агента HTTP-вызов — это не деталь интеграции, а управляемое действие.</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pPr/>
      <w:r>
        <w:rPr>
          <w:b/>
        </w:rPr>
        <w:t>Что рассказать команде:</w:t>
      </w:r>
      <w:r>
        <w:t xml:space="preserve"> Система зрелая не когда не падает, а когда умеет учиться и безопасно стареть.</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