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892fbdaa58d7a405f6be51af4f1d4025a73973"/>
    <w:p>
      <w:pPr>
        <w:pStyle w:val="Heading1"/>
      </w:pPr>
      <w:r>
        <w:t xml:space="preserve">Computational Approaches to Historical Research</w:t>
      </w:r>
    </w:p>
    <w:bookmarkStart w:id="9" w:name="the-digital-turn-in-history"/>
    <w:p>
      <w:pPr>
        <w:pStyle w:val="Heading2"/>
      </w:pPr>
      <w:r>
        <w:t xml:space="preserve">The Digital Turn in History</w:t>
      </w:r>
    </w:p>
    <w:p>
      <w:pPr>
        <w:pStyle w:val="FirstParagraph"/>
      </w:pPr>
      <w:r>
        <w:t xml:space="preserve">Over the past two decades, historians have increasingly turned to computational methods to analyze large collections of sources that would be impossible to read manually. This</w:t>
      </w:r>
      <w:r>
        <w:t xml:space="preserve"> </w:t>
      </w:r>
      <w:r>
        <w:t xml:space="preserve">“digital turn”</w:t>
      </w:r>
      <w:r>
        <w:t xml:space="preserve"> </w:t>
      </w:r>
      <w:r>
        <w:t xml:space="preserve">raises both exciting possibilities and significant methodological questions.</w:t>
      </w:r>
    </w:p>
    <w:bookmarkEnd w:id="9"/>
    <w:bookmarkStart w:id="13" w:name="key-methods"/>
    <w:p>
      <w:pPr>
        <w:pStyle w:val="Heading2"/>
      </w:pPr>
      <w:r>
        <w:t xml:space="preserve">Key Methods</w:t>
      </w:r>
    </w:p>
    <w:bookmarkStart w:id="10" w:name="text-mining-and-topic-modeling"/>
    <w:p>
      <w:pPr>
        <w:pStyle w:val="Heading3"/>
      </w:pPr>
      <w:r>
        <w:t xml:space="preserve">Text Mining and Topic Modeling</w:t>
      </w:r>
    </w:p>
    <w:p>
      <w:pPr>
        <w:pStyle w:val="FirstParagraph"/>
      </w:pPr>
      <w:r>
        <w:t xml:space="preserve">Text mining allows researchers to identify patterns across thousands of documents. Topic modeling algorithms can reveal thematic clusters in large corpora, helping historians identify:</w:t>
      </w:r>
    </w:p>
    <w:p>
      <w:pPr>
        <w:pStyle w:val="Compact"/>
        <w:numPr>
          <w:ilvl w:val="0"/>
          <w:numId w:val="1001"/>
        </w:numPr>
      </w:pPr>
      <w:r>
        <w:t xml:space="preserve">Shifts in political discourse over time</w:t>
      </w:r>
    </w:p>
    <w:p>
      <w:pPr>
        <w:pStyle w:val="Compact"/>
        <w:numPr>
          <w:ilvl w:val="0"/>
          <w:numId w:val="1001"/>
        </w:numPr>
      </w:pPr>
      <w:r>
        <w:t xml:space="preserve">Networks of influence in correspondence</w:t>
      </w:r>
    </w:p>
    <w:p>
      <w:pPr>
        <w:pStyle w:val="Compact"/>
        <w:numPr>
          <w:ilvl w:val="0"/>
          <w:numId w:val="1001"/>
        </w:numPr>
      </w:pPr>
      <w:r>
        <w:t xml:space="preserve">Changes in terminology and concepts</w:t>
      </w:r>
    </w:p>
    <w:bookmarkEnd w:id="10"/>
    <w:bookmarkStart w:id="11" w:name="network-analysis"/>
    <w:p>
      <w:pPr>
        <w:pStyle w:val="Heading3"/>
      </w:pPr>
      <w:r>
        <w:t xml:space="preserve">Network Analysis</w:t>
      </w:r>
    </w:p>
    <w:p>
      <w:pPr>
        <w:pStyle w:val="FirstParagraph"/>
      </w:pPr>
      <w:r>
        <w:t xml:space="preserve">By mapping relationships between individuals, organizations, or ideas, network analysis reveals structures invisible to traditional reading:</w:t>
      </w:r>
    </w:p>
    <w:p>
      <w:pPr>
        <w:pStyle w:val="Compact"/>
        <w:numPr>
          <w:ilvl w:val="0"/>
          <w:numId w:val="1002"/>
        </w:numPr>
      </w:pPr>
      <w:r>
        <w:t xml:space="preserve">Correspondence networks among intellectuals</w:t>
      </w:r>
    </w:p>
    <w:p>
      <w:pPr>
        <w:pStyle w:val="Compact"/>
        <w:numPr>
          <w:ilvl w:val="0"/>
          <w:numId w:val="1002"/>
        </w:numPr>
      </w:pPr>
      <w:r>
        <w:t xml:space="preserve">Trade relationships between cities</w:t>
      </w:r>
    </w:p>
    <w:p>
      <w:pPr>
        <w:pStyle w:val="Compact"/>
        <w:numPr>
          <w:ilvl w:val="0"/>
          <w:numId w:val="1002"/>
        </w:numPr>
      </w:pPr>
      <w:r>
        <w:t xml:space="preserve">Citation patterns in scholarly communities</w:t>
      </w:r>
    </w:p>
    <w:bookmarkEnd w:id="11"/>
    <w:bookmarkStart w:id="12" w:name="geographic-information-systems-gis"/>
    <w:p>
      <w:pPr>
        <w:pStyle w:val="Heading3"/>
      </w:pPr>
      <w:r>
        <w:t xml:space="preserve">Geographic Information Systems (GIS)</w:t>
      </w:r>
    </w:p>
    <w:p>
      <w:pPr>
        <w:pStyle w:val="FirstParagraph"/>
      </w:pPr>
      <w:r>
        <w:t xml:space="preserve">Spatial analysis adds a geographic dimension to historical questions:</w:t>
      </w:r>
    </w:p>
    <w:p>
      <w:pPr>
        <w:pStyle w:val="Compact"/>
        <w:numPr>
          <w:ilvl w:val="0"/>
          <w:numId w:val="1003"/>
        </w:numPr>
      </w:pPr>
      <w:r>
        <w:t xml:space="preserve">Mapping migration patterns</w:t>
      </w:r>
    </w:p>
    <w:p>
      <w:pPr>
        <w:pStyle w:val="Compact"/>
        <w:numPr>
          <w:ilvl w:val="0"/>
          <w:numId w:val="1003"/>
        </w:numPr>
      </w:pPr>
      <w:r>
        <w:t xml:space="preserve">Visualizing urban development</w:t>
      </w:r>
    </w:p>
    <w:p>
      <w:pPr>
        <w:pStyle w:val="Compact"/>
        <w:numPr>
          <w:ilvl w:val="0"/>
          <w:numId w:val="1003"/>
        </w:numPr>
      </w:pPr>
      <w:r>
        <w:t xml:space="preserve">Tracking the spread of epidemics</w:t>
      </w:r>
    </w:p>
    <w:bookmarkEnd w:id="12"/>
    <w:bookmarkEnd w:id="13"/>
    <w:bookmarkStart w:id="17" w:name="methodological-considerations"/>
    <w:p>
      <w:pPr>
        <w:pStyle w:val="Heading2"/>
      </w:pPr>
      <w:r>
        <w:t xml:space="preserve">Methodological Considerations</w:t>
      </w:r>
    </w:p>
    <w:bookmarkStart w:id="14" w:name="the-problem-of-selection"/>
    <w:p>
      <w:pPr>
        <w:pStyle w:val="Heading3"/>
      </w:pPr>
      <w:r>
        <w:t xml:space="preserve">The Problem of Selection</w:t>
      </w:r>
    </w:p>
    <w:p>
      <w:pPr>
        <w:pStyle w:val="FirstParagraph"/>
      </w:pPr>
      <w:r>
        <w:t xml:space="preserve">Digital archives are not neutral repositories. Digitization projects reflect funding priorities, institutional interests, and technical constraints. What gets digitized—and what remains in dusty folders—shapes what computational methods can find.</w:t>
      </w:r>
    </w:p>
    <w:bookmarkEnd w:id="14"/>
    <w:bookmarkStart w:id="15" w:name="distant-reading-vs.-close-reading"/>
    <w:p>
      <w:pPr>
        <w:pStyle w:val="Heading3"/>
      </w:pPr>
      <w:r>
        <w:t xml:space="preserve">Distant Reading vs. Close Reading</w:t>
      </w:r>
    </w:p>
    <w:p>
      <w:pPr>
        <w:pStyle w:val="FirstParagraph"/>
      </w:pPr>
      <w:r>
        <w:t xml:space="preserve">Franco Moretti’s concept of</w:t>
      </w:r>
      <w:r>
        <w:t xml:space="preserve"> </w:t>
      </w:r>
      <w:r>
        <w:t xml:space="preserve">“distant reading”</w:t>
      </w:r>
      <w:r>
        <w:t xml:space="preserve"> </w:t>
      </w:r>
      <w:r>
        <w:t xml:space="preserve">proposes analyzing literature at scale, identifying patterns across hundreds or thousands of texts. Critics argue this sacrifices the nuance that close reading provides. Most digital historians now advocate combining both approaches.</w:t>
      </w:r>
    </w:p>
    <w:bookmarkEnd w:id="15"/>
    <w:bookmarkStart w:id="16" w:name="black-box-algorithms"/>
    <w:p>
      <w:pPr>
        <w:pStyle w:val="Heading3"/>
      </w:pPr>
      <w:r>
        <w:t xml:space="preserve">Black Box Algorithms</w:t>
      </w:r>
    </w:p>
    <w:p>
      <w:pPr>
        <w:pStyle w:val="FirstParagraph"/>
      </w:pPr>
      <w:r>
        <w:t xml:space="preserve">Many computational tools operate as</w:t>
      </w:r>
      <w:r>
        <w:t xml:space="preserve"> </w:t>
      </w:r>
      <w:r>
        <w:t xml:space="preserve">“black boxes”</w:t>
      </w:r>
      <w:r>
        <w:t xml:space="preserve">—historians use them without fully understanding how they work. This raises questions about replicability and interpretation. Best practice demands transparency about methods and their limitations.</w:t>
      </w:r>
    </w:p>
    <w:bookmarkEnd w:id="16"/>
    <w:bookmarkEnd w:id="17"/>
    <w:bookmarkStart w:id="18" w:name="practical-considerations"/>
    <w:p>
      <w:pPr>
        <w:pStyle w:val="Heading2"/>
      </w:pPr>
      <w:r>
        <w:t xml:space="preserve">Practical Considerations</w:t>
      </w:r>
    </w:p>
    <w:p>
      <w:pPr>
        <w:pStyle w:val="FirstParagraph"/>
      </w:pPr>
      <w:r>
        <w:t xml:space="preserve">Before embarking on a digital history project, consider:</w:t>
      </w:r>
    </w:p>
    <w:p>
      <w:pPr>
        <w:pStyle w:val="Compact"/>
        <w:numPr>
          <w:ilvl w:val="0"/>
          <w:numId w:val="1004"/>
        </w:numPr>
      </w:pPr>
      <w:r>
        <w:rPr>
          <w:b/>
          <w:bCs/>
        </w:rPr>
        <w:t xml:space="preserve">Data quality</w:t>
      </w:r>
      <w:r>
        <w:t xml:space="preserve"> </w:t>
      </w:r>
      <w:r>
        <w:t xml:space="preserve">- Are your sources machine-readable? What cleaning is required?</w:t>
      </w:r>
    </w:p>
    <w:p>
      <w:pPr>
        <w:pStyle w:val="Compact"/>
        <w:numPr>
          <w:ilvl w:val="0"/>
          <w:numId w:val="1004"/>
        </w:numPr>
      </w:pPr>
      <w:r>
        <w:rPr>
          <w:b/>
          <w:bCs/>
        </w:rPr>
        <w:t xml:space="preserve">Scale</w:t>
      </w:r>
      <w:r>
        <w:t xml:space="preserve"> </w:t>
      </w:r>
      <w:r>
        <w:t xml:space="preserve">- Is computational analysis necessary, or would traditional methods suffice?</w:t>
      </w:r>
    </w:p>
    <w:p>
      <w:pPr>
        <w:pStyle w:val="Compact"/>
        <w:numPr>
          <w:ilvl w:val="0"/>
          <w:numId w:val="1004"/>
        </w:numPr>
      </w:pPr>
      <w:r>
        <w:rPr>
          <w:b/>
          <w:bCs/>
        </w:rPr>
        <w:t xml:space="preserve">Interpretation</w:t>
      </w:r>
      <w:r>
        <w:t xml:space="preserve"> </w:t>
      </w:r>
      <w:r>
        <w:t xml:space="preserve">- How will you move from patterns to historical arguments?</w:t>
      </w:r>
    </w:p>
    <w:p>
      <w:pPr>
        <w:pStyle w:val="Compact"/>
        <w:numPr>
          <w:ilvl w:val="0"/>
          <w:numId w:val="1004"/>
        </w:numPr>
      </w:pPr>
      <w:r>
        <w:rPr>
          <w:b/>
          <w:bCs/>
        </w:rPr>
        <w:t xml:space="preserve">Preservation</w:t>
      </w:r>
      <w:r>
        <w:t xml:space="preserve"> </w:t>
      </w:r>
      <w:r>
        <w:t xml:space="preserve">- Will your methods and data be accessible to future researchers?</w:t>
      </w:r>
    </w:p>
    <w:bookmarkEnd w:id="18"/>
    <w:bookmarkStart w:id="19" w:name="conclusion"/>
    <w:p>
      <w:pPr>
        <w:pStyle w:val="Heading2"/>
      </w:pPr>
      <w:r>
        <w:t xml:space="preserve">Conclusion</w:t>
      </w:r>
    </w:p>
    <w:p>
      <w:pPr>
        <w:pStyle w:val="FirstParagraph"/>
      </w:pPr>
      <w:r>
        <w:t xml:space="preserve">Digital methods are tools, not magic. They can reveal patterns and suggest hypotheses, but historical interpretation still requires human judgment, contextual knowledge, and critical thinking. The most successful digital history projects combine computational power with traditional scholarly skills.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2026-01-18T15:05:57Z</dcterms:created>
  <dcterms:modified xsi:type="dcterms:W3CDTF">2026-01-18T15:05:57Z</dcterms:modified>
</cp:coreProperties>
</file>

<file path=docProps/custom.xml><?xml version="1.0" encoding="utf-8"?>
<Properties xmlns="http://schemas.openxmlformats.org/officeDocument/2006/custom-properties" xmlns:vt="http://schemas.openxmlformats.org/officeDocument/2006/docPropsVTypes"/>
</file>