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heritage-and-contested-memory"/>
    <w:p>
      <w:pPr>
        <w:pStyle w:val="Heading1"/>
      </w:pPr>
      <w:r>
        <w:t xml:space="preserve">Heritage and Contested Memory</w:t>
      </w:r>
    </w:p>
    <w:bookmarkStart w:id="9" w:name="what-is-heritage"/>
    <w:p>
      <w:pPr>
        <w:pStyle w:val="Heading2"/>
      </w:pPr>
      <w:r>
        <w:t xml:space="preserve">What is Heritage?</w:t>
      </w:r>
    </w:p>
    <w:p>
      <w:pPr>
        <w:pStyle w:val="FirstParagraph"/>
      </w:pPr>
      <w:r>
        <w:t xml:space="preserve">Heritage refers to the physical and intangible elements of the past that societies choose to preserve and transmit to future generations. This includes monuments, historic sites, traditions, languages, and practices deemed culturally significant.</w:t>
      </w:r>
    </w:p>
    <w:bookmarkEnd w:id="9"/>
    <w:bookmarkStart w:id="10" w:name="the-politics-of-heritage"/>
    <w:p>
      <w:pPr>
        <w:pStyle w:val="Heading2"/>
      </w:pPr>
      <w:r>
        <w:t xml:space="preserve">The Politics of Heritage</w:t>
      </w:r>
    </w:p>
    <w:p>
      <w:pPr>
        <w:pStyle w:val="FirstParagraph"/>
      </w:pPr>
      <w:r>
        <w:t xml:space="preserve">Heritage is never politically neutral. Decisions about what to preserve involve:</w:t>
      </w:r>
    </w:p>
    <w:p>
      <w:pPr>
        <w:pStyle w:val="Compact"/>
        <w:numPr>
          <w:ilvl w:val="0"/>
          <w:numId w:val="1001"/>
        </w:numPr>
      </w:pPr>
      <w:r>
        <w:rPr>
          <w:b/>
          <w:bCs/>
        </w:rPr>
        <w:t xml:space="preserve">Selection</w:t>
      </w:r>
      <w:r>
        <w:t xml:space="preserve"> </w:t>
      </w:r>
      <w:r>
        <w:t xml:space="preserve">- What counts as worthy of preservation?</w:t>
      </w:r>
    </w:p>
    <w:p>
      <w:pPr>
        <w:pStyle w:val="Compact"/>
        <w:numPr>
          <w:ilvl w:val="0"/>
          <w:numId w:val="1001"/>
        </w:numPr>
      </w:pPr>
      <w:r>
        <w:rPr>
          <w:b/>
          <w:bCs/>
        </w:rPr>
        <w:t xml:space="preserve">Interpretation</w:t>
      </w:r>
      <w:r>
        <w:t xml:space="preserve"> </w:t>
      </w:r>
      <w:r>
        <w:t xml:space="preserve">- How are preserved sites and objects explained?</w:t>
      </w:r>
    </w:p>
    <w:p>
      <w:pPr>
        <w:pStyle w:val="Compact"/>
        <w:numPr>
          <w:ilvl w:val="0"/>
          <w:numId w:val="1001"/>
        </w:numPr>
      </w:pPr>
      <w:r>
        <w:rPr>
          <w:b/>
          <w:bCs/>
        </w:rPr>
        <w:t xml:space="preserve">Ownership</w:t>
      </w:r>
      <w:r>
        <w:t xml:space="preserve"> </w:t>
      </w:r>
      <w:r>
        <w:t xml:space="preserve">- Who controls heritage resources?</w:t>
      </w:r>
    </w:p>
    <w:p>
      <w:pPr>
        <w:pStyle w:val="Compact"/>
        <w:numPr>
          <w:ilvl w:val="0"/>
          <w:numId w:val="1001"/>
        </w:numPr>
      </w:pPr>
      <w:r>
        <w:rPr>
          <w:b/>
          <w:bCs/>
        </w:rPr>
        <w:t xml:space="preserve">Access</w:t>
      </w:r>
      <w:r>
        <w:t xml:space="preserve"> </w:t>
      </w:r>
      <w:r>
        <w:t xml:space="preserve">- Who can visit, study, or use heritage sites?</w:t>
      </w:r>
    </w:p>
    <w:bookmarkEnd w:id="10"/>
    <w:bookmarkStart w:id="11" w:name="authorized-heritage-discourse"/>
    <w:p>
      <w:pPr>
        <w:pStyle w:val="Heading2"/>
      </w:pPr>
      <w:r>
        <w:t xml:space="preserve">Authorized Heritage Discourse</w:t>
      </w:r>
    </w:p>
    <w:p>
      <w:pPr>
        <w:pStyle w:val="FirstParagraph"/>
      </w:pPr>
      <w:r>
        <w:t xml:space="preserve">Heritage scholar Laurajane Smith identifies an</w:t>
      </w:r>
      <w:r>
        <w:t xml:space="preserve"> </w:t>
      </w:r>
      <w:r>
        <w:t xml:space="preserve">“authorized heritage discourse”</w:t>
      </w:r>
      <w:r>
        <w:t xml:space="preserve"> </w:t>
      </w:r>
      <w:r>
        <w:t xml:space="preserve">(AHD) that privileges:</w:t>
      </w:r>
    </w:p>
    <w:p>
      <w:pPr>
        <w:pStyle w:val="Compact"/>
        <w:numPr>
          <w:ilvl w:val="0"/>
          <w:numId w:val="1002"/>
        </w:numPr>
      </w:pPr>
      <w:r>
        <w:t xml:space="preserve">Monumental architecture over everyday spaces</w:t>
      </w:r>
    </w:p>
    <w:p>
      <w:pPr>
        <w:pStyle w:val="Compact"/>
        <w:numPr>
          <w:ilvl w:val="0"/>
          <w:numId w:val="1002"/>
        </w:numPr>
      </w:pPr>
      <w:r>
        <w:t xml:space="preserve">National narratives over local memories</w:t>
      </w:r>
    </w:p>
    <w:p>
      <w:pPr>
        <w:pStyle w:val="Compact"/>
        <w:numPr>
          <w:ilvl w:val="0"/>
          <w:numId w:val="1002"/>
        </w:numPr>
      </w:pPr>
      <w:r>
        <w:t xml:space="preserve">Expert knowledge over community experience</w:t>
      </w:r>
    </w:p>
    <w:p>
      <w:pPr>
        <w:pStyle w:val="Compact"/>
        <w:numPr>
          <w:ilvl w:val="0"/>
          <w:numId w:val="1002"/>
        </w:numPr>
      </w:pPr>
      <w:r>
        <w:t xml:space="preserve">Aesthetic value over social meaning</w:t>
      </w:r>
    </w:p>
    <w:p>
      <w:pPr>
        <w:pStyle w:val="Compact"/>
        <w:numPr>
          <w:ilvl w:val="0"/>
          <w:numId w:val="1002"/>
        </w:numPr>
      </w:pPr>
      <w:r>
        <w:t xml:space="preserve">Consensus over conflict</w:t>
      </w:r>
    </w:p>
    <w:p>
      <w:pPr>
        <w:pStyle w:val="FirstParagraph"/>
      </w:pPr>
      <w:r>
        <w:t xml:space="preserve">This discourse shapes which pasts are visible in public space.</w:t>
      </w:r>
    </w:p>
    <w:bookmarkEnd w:id="11"/>
    <w:bookmarkStart w:id="15" w:name="contested-sites"/>
    <w:p>
      <w:pPr>
        <w:pStyle w:val="Heading2"/>
      </w:pPr>
      <w:r>
        <w:t xml:space="preserve">Contested Sites</w:t>
      </w:r>
    </w:p>
    <w:bookmarkStart w:id="12" w:name="confederate-monuments-united-states"/>
    <w:p>
      <w:pPr>
        <w:pStyle w:val="Heading3"/>
      </w:pPr>
      <w:r>
        <w:t xml:space="preserve">Confederate Monuments (United States)</w:t>
      </w:r>
    </w:p>
    <w:p>
      <w:pPr>
        <w:pStyle w:val="Compact"/>
        <w:numPr>
          <w:ilvl w:val="0"/>
          <w:numId w:val="1003"/>
        </w:numPr>
      </w:pPr>
      <w:r>
        <w:t xml:space="preserve">Most erected during Jim Crow era (1890s-1960s)</w:t>
      </w:r>
    </w:p>
    <w:p>
      <w:pPr>
        <w:pStyle w:val="Compact"/>
        <w:numPr>
          <w:ilvl w:val="0"/>
          <w:numId w:val="1003"/>
        </w:numPr>
      </w:pPr>
      <w:r>
        <w:t xml:space="preserve">Intended to assert white supremacy</w:t>
      </w:r>
    </w:p>
    <w:p>
      <w:pPr>
        <w:pStyle w:val="Compact"/>
        <w:numPr>
          <w:ilvl w:val="0"/>
          <w:numId w:val="1003"/>
        </w:numPr>
      </w:pPr>
      <w:r>
        <w:t xml:space="preserve">Defended as</w:t>
      </w:r>
      <w:r>
        <w:t xml:space="preserve"> </w:t>
      </w:r>
      <w:r>
        <w:t xml:space="preserve">“heritage”</w:t>
      </w:r>
      <w:r>
        <w:t xml:space="preserve"> </w:t>
      </w:r>
      <w:r>
        <w:t xml:space="preserve">by some</w:t>
      </w:r>
    </w:p>
    <w:p>
      <w:pPr>
        <w:pStyle w:val="Compact"/>
        <w:numPr>
          <w:ilvl w:val="0"/>
          <w:numId w:val="1003"/>
        </w:numPr>
      </w:pPr>
      <w:r>
        <w:t xml:space="preserve">Criticized as symbols of racism by others</w:t>
      </w:r>
    </w:p>
    <w:p>
      <w:pPr>
        <w:pStyle w:val="Compact"/>
        <w:numPr>
          <w:ilvl w:val="0"/>
          <w:numId w:val="1003"/>
        </w:numPr>
      </w:pPr>
      <w:r>
        <w:t xml:space="preserve">Removals accelerated after 2015</w:t>
      </w:r>
    </w:p>
    <w:bookmarkEnd w:id="12"/>
    <w:bookmarkStart w:id="13" w:name="colonial-statues-global"/>
    <w:p>
      <w:pPr>
        <w:pStyle w:val="Heading3"/>
      </w:pPr>
      <w:r>
        <w:t xml:space="preserve">Colonial Statues (Global)</w:t>
      </w:r>
    </w:p>
    <w:p>
      <w:pPr>
        <w:pStyle w:val="Compact"/>
        <w:numPr>
          <w:ilvl w:val="0"/>
          <w:numId w:val="1004"/>
        </w:numPr>
      </w:pPr>
      <w:r>
        <w:t xml:space="preserve">Rhodes Must Fall movement (South Africa, 2015)</w:t>
      </w:r>
    </w:p>
    <w:p>
      <w:pPr>
        <w:pStyle w:val="Compact"/>
        <w:numPr>
          <w:ilvl w:val="0"/>
          <w:numId w:val="1004"/>
        </w:numPr>
      </w:pPr>
      <w:r>
        <w:t xml:space="preserve">Leopold II statues (Belgium)</w:t>
      </w:r>
    </w:p>
    <w:p>
      <w:pPr>
        <w:pStyle w:val="Compact"/>
        <w:numPr>
          <w:ilvl w:val="0"/>
          <w:numId w:val="1004"/>
        </w:numPr>
      </w:pPr>
      <w:r>
        <w:t xml:space="preserve">Columbus monuments (Americas)</w:t>
      </w:r>
    </w:p>
    <w:p>
      <w:pPr>
        <w:pStyle w:val="Compact"/>
        <w:numPr>
          <w:ilvl w:val="0"/>
          <w:numId w:val="1004"/>
        </w:numPr>
      </w:pPr>
      <w:r>
        <w:t xml:space="preserve">Debates over contextualization vs. removal</w:t>
      </w:r>
    </w:p>
    <w:bookmarkEnd w:id="13"/>
    <w:bookmarkStart w:id="14" w:name="sites-of-atrocity"/>
    <w:p>
      <w:pPr>
        <w:pStyle w:val="Heading3"/>
      </w:pPr>
      <w:r>
        <w:t xml:space="preserve">Sites of Atrocity</w:t>
      </w:r>
    </w:p>
    <w:p>
      <w:pPr>
        <w:pStyle w:val="Compact"/>
        <w:numPr>
          <w:ilvl w:val="0"/>
          <w:numId w:val="1005"/>
        </w:numPr>
      </w:pPr>
      <w:r>
        <w:t xml:space="preserve">Concentration camps: preservation as warning</w:t>
      </w:r>
    </w:p>
    <w:p>
      <w:pPr>
        <w:pStyle w:val="Compact"/>
        <w:numPr>
          <w:ilvl w:val="0"/>
          <w:numId w:val="1005"/>
        </w:numPr>
      </w:pPr>
      <w:r>
        <w:t xml:space="preserve">Slavery sites: often unmarked or sanitized</w:t>
      </w:r>
    </w:p>
    <w:p>
      <w:pPr>
        <w:pStyle w:val="Compact"/>
        <w:numPr>
          <w:ilvl w:val="0"/>
          <w:numId w:val="1005"/>
        </w:numPr>
      </w:pPr>
      <w:r>
        <w:t xml:space="preserve">Indigenous massacre sites: frequently forgotten</w:t>
      </w:r>
    </w:p>
    <w:bookmarkEnd w:id="14"/>
    <w:bookmarkEnd w:id="15"/>
    <w:bookmarkStart w:id="16" w:name="community-archives-and-counter-memory"/>
    <w:p>
      <w:pPr>
        <w:pStyle w:val="Heading2"/>
      </w:pPr>
      <w:r>
        <w:t xml:space="preserve">Community Archives and Counter-Memory</w:t>
      </w:r>
    </w:p>
    <w:p>
      <w:pPr>
        <w:pStyle w:val="FirstParagraph"/>
      </w:pPr>
      <w:r>
        <w:t xml:space="preserve">In response to authorized heritage, communities create alternative repositories:</w:t>
      </w:r>
    </w:p>
    <w:p>
      <w:pPr>
        <w:pStyle w:val="Compact"/>
        <w:numPr>
          <w:ilvl w:val="0"/>
          <w:numId w:val="1006"/>
        </w:numPr>
      </w:pPr>
      <w:r>
        <w:t xml:space="preserve">Grassroots archives documenting marginalized histories</w:t>
      </w:r>
    </w:p>
    <w:p>
      <w:pPr>
        <w:pStyle w:val="Compact"/>
        <w:numPr>
          <w:ilvl w:val="0"/>
          <w:numId w:val="1006"/>
        </w:numPr>
      </w:pPr>
      <w:r>
        <w:t xml:space="preserve">Oral history projects capturing unofficial memories</w:t>
      </w:r>
    </w:p>
    <w:p>
      <w:pPr>
        <w:pStyle w:val="Compact"/>
        <w:numPr>
          <w:ilvl w:val="0"/>
          <w:numId w:val="1006"/>
        </w:numPr>
      </w:pPr>
      <w:r>
        <w:t xml:space="preserve">Digital platforms enabling participatory heritage</w:t>
      </w:r>
    </w:p>
    <w:p>
      <w:pPr>
        <w:pStyle w:val="Compact"/>
        <w:numPr>
          <w:ilvl w:val="0"/>
          <w:numId w:val="1006"/>
        </w:numPr>
      </w:pPr>
      <w:r>
        <w:t xml:space="preserve">Walking tours highlighting suppressed histories</w:t>
      </w:r>
    </w:p>
    <w:bookmarkEnd w:id="16"/>
    <w:bookmarkStart w:id="17" w:name="difficult-heritage"/>
    <w:p>
      <w:pPr>
        <w:pStyle w:val="Heading2"/>
      </w:pPr>
      <w:r>
        <w:t xml:space="preserve">Difficult Heritage</w:t>
      </w:r>
    </w:p>
    <w:p>
      <w:pPr>
        <w:pStyle w:val="FirstParagraph"/>
      </w:pPr>
      <w:r>
        <w:t xml:space="preserve">Some heritage sites resist comfortable interpretation:</w:t>
      </w:r>
    </w:p>
    <w:p>
      <w:pPr>
        <w:pStyle w:val="Compact"/>
        <w:numPr>
          <w:ilvl w:val="0"/>
          <w:numId w:val="1007"/>
        </w:numPr>
      </w:pPr>
      <w:r>
        <w:t xml:space="preserve">How to present perpetrator perspectives?</w:t>
      </w:r>
    </w:p>
    <w:p>
      <w:pPr>
        <w:pStyle w:val="Compact"/>
        <w:numPr>
          <w:ilvl w:val="0"/>
          <w:numId w:val="1007"/>
        </w:numPr>
      </w:pPr>
      <w:r>
        <w:t xml:space="preserve">Should visitors feel discomfort?</w:t>
      </w:r>
    </w:p>
    <w:p>
      <w:pPr>
        <w:pStyle w:val="Compact"/>
        <w:numPr>
          <w:ilvl w:val="0"/>
          <w:numId w:val="1007"/>
        </w:numPr>
      </w:pPr>
      <w:r>
        <w:t xml:space="preserve">What happens when communities disagree?</w:t>
      </w:r>
    </w:p>
    <w:p>
      <w:pPr>
        <w:pStyle w:val="Compact"/>
        <w:numPr>
          <w:ilvl w:val="0"/>
          <w:numId w:val="1007"/>
        </w:numPr>
      </w:pPr>
      <w:r>
        <w:t xml:space="preserve">Can painful pasts become tourist attractions?</w:t>
      </w:r>
    </w:p>
    <w:bookmarkEnd w:id="17"/>
    <w:bookmarkStart w:id="22" w:name="key-concepts"/>
    <w:p>
      <w:pPr>
        <w:pStyle w:val="Heading2"/>
      </w:pPr>
      <w:r>
        <w:t xml:space="preserve">Key Concepts</w:t>
      </w:r>
    </w:p>
    <w:bookmarkStart w:id="18" w:name="collective-memory"/>
    <w:p>
      <w:pPr>
        <w:pStyle w:val="Heading3"/>
      </w:pPr>
      <w:r>
        <w:t xml:space="preserve">Collective Memory</w:t>
      </w:r>
    </w:p>
    <w:p>
      <w:pPr>
        <w:pStyle w:val="FirstParagraph"/>
      </w:pPr>
      <w:r>
        <w:t xml:space="preserve">Memory held by groups rather than individuals. Transmitted through ritual, education, media, and monuments.</w:t>
      </w:r>
    </w:p>
    <w:bookmarkEnd w:id="18"/>
    <w:bookmarkStart w:id="19" w:name="sites-of-memory-lieux-de-mémoire"/>
    <w:p>
      <w:pPr>
        <w:pStyle w:val="Heading3"/>
      </w:pPr>
      <w:r>
        <w:t xml:space="preserve">Sites of Memory (Lieux de Mémoire)</w:t>
      </w:r>
    </w:p>
    <w:p>
      <w:pPr>
        <w:pStyle w:val="FirstParagraph"/>
      </w:pPr>
      <w:r>
        <w:t xml:space="preserve">Pierre Nora’s concept: places where memory crystallizes when living tradition fades.</w:t>
      </w:r>
    </w:p>
    <w:bookmarkEnd w:id="19"/>
    <w:bookmarkStart w:id="20" w:name="dark-tourism"/>
    <w:p>
      <w:pPr>
        <w:pStyle w:val="Heading3"/>
      </w:pPr>
      <w:r>
        <w:t xml:space="preserve">Dark Tourism</w:t>
      </w:r>
    </w:p>
    <w:p>
      <w:pPr>
        <w:pStyle w:val="FirstParagraph"/>
      </w:pPr>
      <w:r>
        <w:t xml:space="preserve">Travel to sites associated with death, disaster, or atrocity. Raises ethical questions about commodification of suffering.</w:t>
      </w:r>
    </w:p>
    <w:bookmarkEnd w:id="20"/>
    <w:bookmarkStart w:id="21" w:name="intangible-heritage"/>
    <w:p>
      <w:pPr>
        <w:pStyle w:val="Heading3"/>
      </w:pPr>
      <w:r>
        <w:t xml:space="preserve">Intangible Heritage</w:t>
      </w:r>
    </w:p>
    <w:p>
      <w:pPr>
        <w:pStyle w:val="FirstParagraph"/>
      </w:pPr>
      <w:r>
        <w:t xml:space="preserve">UNESCO category recognizing traditions, performing arts, rituals, and knowledge systems alongside physical monuments.</w:t>
      </w:r>
    </w:p>
    <w:bookmarkEnd w:id="21"/>
    <w:bookmarkEnd w:id="22"/>
    <w:bookmarkStart w:id="23" w:name="discussion-questions"/>
    <w:p>
      <w:pPr>
        <w:pStyle w:val="Heading2"/>
      </w:pPr>
      <w:r>
        <w:t xml:space="preserve">Discussion Questions</w:t>
      </w:r>
    </w:p>
    <w:p>
      <w:pPr>
        <w:pStyle w:val="Compact"/>
        <w:numPr>
          <w:ilvl w:val="0"/>
          <w:numId w:val="1008"/>
        </w:numPr>
      </w:pPr>
      <w:r>
        <w:t xml:space="preserve">Who has the authority to define heritage?</w:t>
      </w:r>
    </w:p>
    <w:p>
      <w:pPr>
        <w:pStyle w:val="Compact"/>
        <w:numPr>
          <w:ilvl w:val="0"/>
          <w:numId w:val="1008"/>
        </w:numPr>
      </w:pPr>
      <w:r>
        <w:t xml:space="preserve">Should controversial monuments be removed, relocated, or recontextualized?</w:t>
      </w:r>
    </w:p>
    <w:p>
      <w:pPr>
        <w:pStyle w:val="Compact"/>
        <w:numPr>
          <w:ilvl w:val="0"/>
          <w:numId w:val="1008"/>
        </w:numPr>
      </w:pPr>
      <w:r>
        <w:t xml:space="preserve">How can heritage sites represent multiple, conflicting memories?</w:t>
      </w:r>
    </w:p>
    <w:p>
      <w:pPr>
        <w:pStyle w:val="Compact"/>
        <w:numPr>
          <w:ilvl w:val="0"/>
          <w:numId w:val="1008"/>
        </w:numPr>
      </w:pPr>
      <w:r>
        <w:t xml:space="preserve">What obligations do heritage professionals have to descendant communities?</w:t>
      </w:r>
    </w:p>
    <w:bookmarkEnd w:id="23"/>
    <w:bookmarkStart w:id="24" w:name="conclusion"/>
    <w:p>
      <w:pPr>
        <w:pStyle w:val="Heading2"/>
      </w:pPr>
      <w:r>
        <w:t xml:space="preserve">Conclusion</w:t>
      </w:r>
    </w:p>
    <w:p>
      <w:pPr>
        <w:pStyle w:val="FirstParagraph"/>
      </w:pPr>
      <w:r>
        <w:t xml:space="preserve">Heritage is a battleground where societies negotiate their relationship to the past. Understanding heritage as contested—rather than neutral or natural—opens space for more inclusive and honest engagements with history.</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2026-01-18T15:08:14Z</dcterms:created>
  <dcterms:modified xsi:type="dcterms:W3CDTF">2026-01-18T15:08:14Z</dcterms:modified>
</cp:coreProperties>
</file>

<file path=docProps/custom.xml><?xml version="1.0" encoding="utf-8"?>
<Properties xmlns="http://schemas.openxmlformats.org/officeDocument/2006/custom-properties" xmlns:vt="http://schemas.openxmlformats.org/officeDocument/2006/docPropsVTypes"/>
</file>