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museums-and-public-memory"/>
    <w:p>
      <w:pPr>
        <w:pStyle w:val="Heading1"/>
      </w:pPr>
      <w:r>
        <w:t xml:space="preserve">Museums and Public Memory</w:t>
      </w:r>
    </w:p>
    <w:bookmarkStart w:id="9" w:name="the-role-of-museums-in-society"/>
    <w:p>
      <w:pPr>
        <w:pStyle w:val="Heading2"/>
      </w:pPr>
      <w:r>
        <w:t xml:space="preserve">The Role of Museums in Society</w:t>
      </w:r>
    </w:p>
    <w:p>
      <w:pPr>
        <w:pStyle w:val="FirstParagraph"/>
      </w:pPr>
      <w:r>
        <w:t xml:space="preserve">Museums are not neutral containers of objects. They are active shapers of collective memory, deciding what stories get told, whose perspectives matter, and how the past connects to the present. Every curatorial decision—what to display, what to store, how to label—carries political implications.</w:t>
      </w:r>
    </w:p>
    <w:bookmarkEnd w:id="9"/>
    <w:bookmarkStart w:id="13" w:name="historical-development"/>
    <w:p>
      <w:pPr>
        <w:pStyle w:val="Heading2"/>
      </w:pPr>
      <w:r>
        <w:t xml:space="preserve">Historical Development</w:t>
      </w:r>
    </w:p>
    <w:bookmarkStart w:id="10" w:name="Xdcef6543f9ecdccf4d2c3e0032b865d61d81647"/>
    <w:p>
      <w:pPr>
        <w:pStyle w:val="Heading3"/>
      </w:pPr>
      <w:r>
        <w:t xml:space="preserve">The Cabinet of Curiosities (16th-17th Century)</w:t>
      </w:r>
    </w:p>
    <w:p>
      <w:pPr>
        <w:pStyle w:val="FirstParagraph"/>
      </w:pPr>
      <w:r>
        <w:t xml:space="preserve">Early collections were private displays of wealth and wonder. Aristocrats assembled rare objects—shells, minerals, taxidermy—without systematic organization. The goal was to inspire awe, not educate.</w:t>
      </w:r>
    </w:p>
    <w:bookmarkEnd w:id="10"/>
    <w:bookmarkStart w:id="11" w:name="the-public-museum-18th-19th-century"/>
    <w:p>
      <w:pPr>
        <w:pStyle w:val="Heading3"/>
      </w:pPr>
      <w:r>
        <w:t xml:space="preserve">The Public Museum (18th-19th Century)</w:t>
      </w:r>
    </w:p>
    <w:p>
      <w:pPr>
        <w:pStyle w:val="FirstParagraph"/>
      </w:pPr>
      <w:r>
        <w:t xml:space="preserve">Enlightenment ideals transformed collections into public institutions meant to civilize citizens. The British Museum (1753) and the Louvre (1793) exemplified this shift. However,</w:t>
      </w:r>
      <w:r>
        <w:t xml:space="preserve"> </w:t>
      </w:r>
      <w:r>
        <w:t xml:space="preserve">“public”</w:t>
      </w:r>
      <w:r>
        <w:t xml:space="preserve"> </w:t>
      </w:r>
      <w:r>
        <w:t xml:space="preserve">often meant privileged access—working-class visitors faced restrictions on when and how they could enter.</w:t>
      </w:r>
    </w:p>
    <w:bookmarkEnd w:id="11"/>
    <w:bookmarkStart w:id="12" w:name="the-modern-museum-20th-century-present"/>
    <w:p>
      <w:pPr>
        <w:pStyle w:val="Heading3"/>
      </w:pPr>
      <w:r>
        <w:t xml:space="preserve">The Modern Museum (20th Century-Present)</w:t>
      </w:r>
    </w:p>
    <w:p>
      <w:pPr>
        <w:pStyle w:val="FirstParagraph"/>
      </w:pPr>
      <w:r>
        <w:t xml:space="preserve">Contemporary museums grapple with their colonial origins and exclusionary histories. Critical questions now guide practice:</w:t>
      </w:r>
    </w:p>
    <w:p>
      <w:pPr>
        <w:pStyle w:val="Compact"/>
        <w:numPr>
          <w:ilvl w:val="0"/>
          <w:numId w:val="1001"/>
        </w:numPr>
      </w:pPr>
      <w:r>
        <w:t xml:space="preserve">Whose stories have been silenced?</w:t>
      </w:r>
    </w:p>
    <w:p>
      <w:pPr>
        <w:pStyle w:val="Compact"/>
        <w:numPr>
          <w:ilvl w:val="0"/>
          <w:numId w:val="1001"/>
        </w:numPr>
      </w:pPr>
      <w:r>
        <w:t xml:space="preserve">How did these objects arrive here?</w:t>
      </w:r>
    </w:p>
    <w:p>
      <w:pPr>
        <w:pStyle w:val="Compact"/>
        <w:numPr>
          <w:ilvl w:val="0"/>
          <w:numId w:val="1001"/>
        </w:numPr>
      </w:pPr>
      <w:r>
        <w:t xml:space="preserve">Who benefits from their display?</w:t>
      </w:r>
    </w:p>
    <w:bookmarkEnd w:id="12"/>
    <w:bookmarkEnd w:id="13"/>
    <w:bookmarkStart w:id="17" w:name="key-concepts"/>
    <w:p>
      <w:pPr>
        <w:pStyle w:val="Heading2"/>
      </w:pPr>
      <w:r>
        <w:t xml:space="preserve">Key Concepts</w:t>
      </w:r>
    </w:p>
    <w:bookmarkStart w:id="14" w:name="collective-memory"/>
    <w:p>
      <w:pPr>
        <w:pStyle w:val="Heading3"/>
      </w:pPr>
      <w:r>
        <w:t xml:space="preserve">Collective Memory</w:t>
      </w:r>
    </w:p>
    <w:p>
      <w:pPr>
        <w:pStyle w:val="FirstParagraph"/>
      </w:pPr>
      <w:r>
        <w:t xml:space="preserve">French sociologist Maurice Halbwachs argued that memory is socially constructed. Individuals remember through group frameworks—family, nation, religion. Museums both reflect and shape these collective frameworks.</w:t>
      </w:r>
    </w:p>
    <w:bookmarkEnd w:id="14"/>
    <w:bookmarkStart w:id="15" w:name="authorized-heritage-discourse"/>
    <w:p>
      <w:pPr>
        <w:pStyle w:val="Heading3"/>
      </w:pPr>
      <w:r>
        <w:t xml:space="preserve">Authorized Heritage Discourse</w:t>
      </w:r>
    </w:p>
    <w:p>
      <w:pPr>
        <w:pStyle w:val="FirstParagraph"/>
      </w:pPr>
      <w:r>
        <w:t xml:space="preserve">Scholar Laurajane Smith describes how official institutions define what counts as</w:t>
      </w:r>
      <w:r>
        <w:t xml:space="preserve"> </w:t>
      </w:r>
      <w:r>
        <w:t xml:space="preserve">“heritage.”</w:t>
      </w:r>
      <w:r>
        <w:t xml:space="preserve"> </w:t>
      </w:r>
      <w:r>
        <w:t xml:space="preserve">This authorized discourse typically favors:</w:t>
      </w:r>
      <w:r>
        <w:t xml:space="preserve"> </w:t>
      </w:r>
      <w:r>
        <w:t xml:space="preserve">- National narratives over local ones</w:t>
      </w:r>
      <w:r>
        <w:t xml:space="preserve"> </w:t>
      </w:r>
      <w:r>
        <w:t xml:space="preserve">- Elite culture over popular culture</w:t>
      </w:r>
      <w:r>
        <w:t xml:space="preserve"> </w:t>
      </w:r>
      <w:r>
        <w:t xml:space="preserve">- Monuments over everyday objects</w:t>
      </w:r>
      <w:r>
        <w:t xml:space="preserve"> </w:t>
      </w:r>
      <w:r>
        <w:t xml:space="preserve">- Consensus over conflict</w:t>
      </w:r>
    </w:p>
    <w:bookmarkEnd w:id="15"/>
    <w:bookmarkStart w:id="16" w:name="difficult-heritage"/>
    <w:p>
      <w:pPr>
        <w:pStyle w:val="Heading3"/>
      </w:pPr>
      <w:r>
        <w:t xml:space="preserve">Difficult Heritage</w:t>
      </w:r>
    </w:p>
    <w:p>
      <w:pPr>
        <w:pStyle w:val="FirstParagraph"/>
      </w:pPr>
      <w:r>
        <w:t xml:space="preserve">Some sites resist comfortable interpretation: concentration camps, sites of atrocities, monuments to discredited ideologies. How should museums present histories that visitors might prefer to forget?</w:t>
      </w:r>
    </w:p>
    <w:bookmarkEnd w:id="16"/>
    <w:bookmarkEnd w:id="17"/>
    <w:bookmarkStart w:id="21" w:name="contemporary-challenges"/>
    <w:p>
      <w:pPr>
        <w:pStyle w:val="Heading2"/>
      </w:pPr>
      <w:r>
        <w:t xml:space="preserve">Contemporary Challenges</w:t>
      </w:r>
    </w:p>
    <w:bookmarkStart w:id="18" w:name="repatriation"/>
    <w:p>
      <w:pPr>
        <w:pStyle w:val="Heading3"/>
      </w:pPr>
      <w:r>
        <w:t xml:space="preserve">Repatriation</w:t>
      </w:r>
    </w:p>
    <w:p>
      <w:pPr>
        <w:pStyle w:val="FirstParagraph"/>
      </w:pPr>
      <w:r>
        <w:t xml:space="preserve">Indigenous communities worldwide demand the return of sacred objects and human remains. Museums must reckon with how their collections were assembled—often through theft, coercion, or colonial extraction.</w:t>
      </w:r>
    </w:p>
    <w:bookmarkEnd w:id="18"/>
    <w:bookmarkStart w:id="19" w:name="interpretation-and-controversy"/>
    <w:p>
      <w:pPr>
        <w:pStyle w:val="Heading3"/>
      </w:pPr>
      <w:r>
        <w:t xml:space="preserve">Interpretation and Controversy</w:t>
      </w:r>
    </w:p>
    <w:p>
      <w:pPr>
        <w:pStyle w:val="FirstParagraph"/>
      </w:pPr>
      <w:r>
        <w:t xml:space="preserve">When museums address contested histories, they inevitably face criticism. The 1995 Enola Gay exhibition at the Smithsonian sparked fierce debate over how to present the atomic bombing of Hiroshima. Curators must balance scholarly accuracy with public sensitivities.</w:t>
      </w:r>
    </w:p>
    <w:bookmarkEnd w:id="19"/>
    <w:bookmarkStart w:id="20" w:name="digital-transformation"/>
    <w:p>
      <w:pPr>
        <w:pStyle w:val="Heading3"/>
      </w:pPr>
      <w:r>
        <w:t xml:space="preserve">Digital Transformation</w:t>
      </w:r>
    </w:p>
    <w:p>
      <w:pPr>
        <w:pStyle w:val="FirstParagraph"/>
      </w:pPr>
      <w:r>
        <w:t xml:space="preserve">Virtual exhibitions and digital archives expand access but raise new questions. Can a screen convey the aura of an original artifact? Who controls digital representations of cultural heritage?</w:t>
      </w:r>
    </w:p>
    <w:bookmarkEnd w:id="20"/>
    <w:bookmarkEnd w:id="21"/>
    <w:bookmarkStart w:id="22" w:name="best-practices"/>
    <w:p>
      <w:pPr>
        <w:pStyle w:val="Heading2"/>
      </w:pPr>
      <w:r>
        <w:t xml:space="preserve">Best Practices</w:t>
      </w:r>
    </w:p>
    <w:p>
      <w:pPr>
        <w:pStyle w:val="Compact"/>
        <w:numPr>
          <w:ilvl w:val="0"/>
          <w:numId w:val="1002"/>
        </w:numPr>
      </w:pPr>
      <w:r>
        <w:rPr>
          <w:b/>
          <w:bCs/>
        </w:rPr>
        <w:t xml:space="preserve">Multiperspectival interpretation</w:t>
      </w:r>
      <w:r>
        <w:t xml:space="preserve"> </w:t>
      </w:r>
      <w:r>
        <w:t xml:space="preserve">- Present diverse viewpoints, not single narratives</w:t>
      </w:r>
    </w:p>
    <w:p>
      <w:pPr>
        <w:pStyle w:val="Compact"/>
        <w:numPr>
          <w:ilvl w:val="0"/>
          <w:numId w:val="1002"/>
        </w:numPr>
      </w:pPr>
      <w:r>
        <w:rPr>
          <w:b/>
          <w:bCs/>
        </w:rPr>
        <w:t xml:space="preserve">Community collaboration</w:t>
      </w:r>
      <w:r>
        <w:t xml:space="preserve"> </w:t>
      </w:r>
      <w:r>
        <w:t xml:space="preserve">- Involve source communities in representing their own cultures</w:t>
      </w:r>
    </w:p>
    <w:p>
      <w:pPr>
        <w:pStyle w:val="Compact"/>
        <w:numPr>
          <w:ilvl w:val="0"/>
          <w:numId w:val="1002"/>
        </w:numPr>
      </w:pPr>
      <w:r>
        <w:rPr>
          <w:b/>
          <w:bCs/>
        </w:rPr>
        <w:t xml:space="preserve">Transparency</w:t>
      </w:r>
      <w:r>
        <w:t xml:space="preserve"> </w:t>
      </w:r>
      <w:r>
        <w:t xml:space="preserve">- Acknowledge gaps, uncertainties, and institutional biases</w:t>
      </w:r>
    </w:p>
    <w:p>
      <w:pPr>
        <w:pStyle w:val="Compact"/>
        <w:numPr>
          <w:ilvl w:val="0"/>
          <w:numId w:val="1002"/>
        </w:numPr>
      </w:pPr>
      <w:r>
        <w:rPr>
          <w:b/>
          <w:bCs/>
        </w:rPr>
        <w:t xml:space="preserve">Accessibility</w:t>
      </w:r>
      <w:r>
        <w:t xml:space="preserve"> </w:t>
      </w:r>
      <w:r>
        <w:t xml:space="preserve">- Remove barriers to participation across class, ability, and language</w:t>
      </w:r>
    </w:p>
    <w:p>
      <w:pPr>
        <w:pStyle w:val="Compact"/>
        <w:numPr>
          <w:ilvl w:val="0"/>
          <w:numId w:val="1002"/>
        </w:numPr>
      </w:pPr>
      <w:r>
        <w:rPr>
          <w:b/>
          <w:bCs/>
        </w:rPr>
        <w:t xml:space="preserve">Reflexivity</w:t>
      </w:r>
      <w:r>
        <w:t xml:space="preserve"> </w:t>
      </w:r>
      <w:r>
        <w:t xml:space="preserve">- Invite visitors to question the museum itself</w:t>
      </w:r>
    </w:p>
    <w:bookmarkEnd w:id="22"/>
    <w:bookmarkStart w:id="23" w:name="discussion-questions"/>
    <w:p>
      <w:pPr>
        <w:pStyle w:val="Heading2"/>
      </w:pPr>
      <w:r>
        <w:t xml:space="preserve">Discussion Questions</w:t>
      </w:r>
    </w:p>
    <w:p>
      <w:pPr>
        <w:pStyle w:val="Compact"/>
        <w:numPr>
          <w:ilvl w:val="0"/>
          <w:numId w:val="1003"/>
        </w:numPr>
      </w:pPr>
      <w:r>
        <w:t xml:space="preserve">Who decides what belongs in a museum?</w:t>
      </w:r>
    </w:p>
    <w:p>
      <w:pPr>
        <w:pStyle w:val="Compact"/>
        <w:numPr>
          <w:ilvl w:val="0"/>
          <w:numId w:val="1003"/>
        </w:numPr>
      </w:pPr>
      <w:r>
        <w:t xml:space="preserve">Can museums ever be politically neutral?</w:t>
      </w:r>
    </w:p>
    <w:p>
      <w:pPr>
        <w:pStyle w:val="Compact"/>
        <w:numPr>
          <w:ilvl w:val="0"/>
          <w:numId w:val="1003"/>
        </w:numPr>
      </w:pPr>
      <w:r>
        <w:t xml:space="preserve">How should institutions handle objects acquired unethically?</w:t>
      </w:r>
    </w:p>
    <w:p>
      <w:pPr>
        <w:pStyle w:val="Compact"/>
        <w:numPr>
          <w:ilvl w:val="0"/>
          <w:numId w:val="1003"/>
        </w:numPr>
      </w:pPr>
      <w:r>
        <w:t xml:space="preserve">What responsibilities do museums have to communities they represent?</w:t>
      </w:r>
    </w:p>
    <w:bookmarkEnd w:id="23"/>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2026-01-18T15:05:57Z</dcterms:created>
  <dcterms:modified xsi:type="dcterms:W3CDTF">2026-01-18T15:05:57Z</dcterms:modified>
</cp:coreProperties>
</file>

<file path=docProps/custom.xml><?xml version="1.0" encoding="utf-8"?>
<Properties xmlns="http://schemas.openxmlformats.org/officeDocument/2006/custom-properties" xmlns:vt="http://schemas.openxmlformats.org/officeDocument/2006/docPropsVTypes"/>
</file>