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mply-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/>
        <w:jc w:val="center"/>
      </w:pPr>
      <w:r>
        <w:rPr>
          <w:rFonts w:ascii="Arial" w:hAnsi="Arial"/>
          <w:b/>
          <w:color w:val="1B2A4A"/>
          <w:sz w:val="72"/>
        </w:rPr>
        <w:t>Business Case</w:t>
      </w:r>
    </w:p>
    <w:p>
      <w:pPr>
        <w:jc w:val="center"/>
      </w:pPr>
      <w:r>
        <w:rPr>
          <w:rFonts w:ascii="Arial" w:hAnsi="Arial"/>
          <w:color w:val="0D9488"/>
          <w:sz w:val="36"/>
        </w:rPr>
        <w:t>Margini, Costi e Strategia Go-to-Market</w:t>
      </w:r>
    </w:p>
    <w:p>
      <w:pPr>
        <w:pBdr>
          <w:bottom w:val="single" w:sz="12" w:space="1" w:color="0D9488"/>
        </w:pBdr>
      </w:pPr>
    </w:p>
    <w:p>
      <w:pPr>
        <w:spacing w:before="240"/>
        <w:jc w:val="center"/>
      </w:pPr>
      <w:r>
        <w:rPr>
          <w:rFonts w:ascii="Arial" w:hAnsi="Arial"/>
          <w:i/>
          <w:color w:val="64748B"/>
          <w:sz w:val="24"/>
        </w:rPr>
        <w:t>Documento interno per team Commerciale &amp; Marketing</w:t>
      </w:r>
    </w:p>
    <w:p>
      <w:pPr>
        <w:spacing w:before="800"/>
        <w:jc w:val="center"/>
      </w:pPr>
      <w:r>
        <w:rPr>
          <w:rFonts w:ascii="Arial" w:hAnsi="Arial"/>
          <w:color w:val="94A3B8"/>
          <w:sz w:val="22"/>
        </w:rPr>
        <w:t>Versione 1.0  ·  21 aprile 2026</w:t>
      </w:r>
    </w:p>
    <w:p>
      <w:pPr>
        <w:spacing w:before="160"/>
        <w:jc w:val="center"/>
      </w:pPr>
      <w:r>
        <w:rPr>
          <w:rFonts w:ascii="Arial" w:hAnsi="Arial"/>
          <w:b/>
          <w:color w:val="F59E0B"/>
          <w:sz w:val="20"/>
        </w:rPr>
        <w:t>CONFIDENZIALE</w:t>
      </w:r>
    </w:p>
    <w:p>
      <w:pPr>
        <w:spacing w:before="1600"/>
        <w:jc w:val="center"/>
      </w:pPr>
      <w:r>
        <w:rPr>
          <w:rFonts w:ascii="Arial" w:hAnsi="Arial"/>
          <w:color w:val="64748B"/>
          <w:sz w:val="20"/>
        </w:rPr>
        <w:t>Preparato da Agent Engineering Studio</w:t>
      </w:r>
    </w:p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1. Executive Summary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Wamply e' una piattaforma SaaS per campagne WhatsApp personalizzate tramite AI. Il prodotto automatizza il lavoro di copywriting, segmentazione e ottimizzazione di campagne di messaggistica massiva tramite l'integrazione di Claude (Anthropic) come agent intelligente.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A differenza dei broadcaster tradizionali (Mailchimp, Brevo) che inviano lo stesso template a tutti, Wamply genera un messaggio unico per ogni destinatario, in tempo reale, con tono e lingua appropriati al contesto.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1.1 Proposta di valore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AI-first: l'AI e' parte integrante del prodotto, non un add-on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Routing silente: l'utente paga solo in crediti, Wamply sceglie il modello AI ottimale per ogni operazione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BYOK supportato: utenti avanzati portano la loro API key Claude, zero costi AI aggiuntivi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Top-up on demand: pacchetti crediti one-shot per scalare senza cambiare piano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Pricing trasparente: €49 / €149 / €399 per piani standard + Azure Enterprise Edition custom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1.2 Obiettivi commerciali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A"/>
            <w:tcMar>
              <w:top w:w="180" w:type="dxa"/>
              <w:right w:w="240" w:type="dxa"/>
              <w:bottom w:w="180" w:type="dxa"/>
              <w:left w:w="240" w:type="dxa"/>
            </w:tcMar>
            <w:tcBorders>
              <w:top w:val="single" w:sz="4" w:color="D1E7E5"/>
              <w:bottom w:val="single" w:sz="4" w:color="D1E7E5"/>
              <w:right w:val="single" w:sz="4" w:color="D1E7E5"/>
              <w:left w:val="single" w:sz="24" w:color="0D9488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B2A4A"/>
                <w:sz w:val="20"/>
              </w:rPr>
              <w:t>Target Q1-Q2 2026: 50 clienti Professional + 10 Enterprise + 2 Azure Enterprise Edition. ARR proiettato: ~€210.000. Margine medio ponderato: 82%. Break-even piattaforma raggiunto con 70 clienti Pro o equivalenti.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1.3 Riepilogo margini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1417"/>
        <w:gridCol w:w="1417"/>
        <w:gridCol w:w="1701"/>
        <w:gridCol w:w="1417"/>
      </w:tblGrid>
      <w:tr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Piano</w:t>
            </w:r>
          </w:p>
        </w:tc>
        <w:tc>
          <w:tcPr>
            <w:tcW w:type="dxa" w:w="113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Prezzo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Costo AI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Altri costi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Margine lordo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Margine %</w:t>
            </w:r>
          </w:p>
        </w:tc>
      </w:tr>
      <w:tr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Starter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€49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 (BYOK)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€44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90%</w:t>
            </w:r>
          </w:p>
        </w:tc>
      </w:tr>
      <w:tr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Professional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€149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€4.80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€6.50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€138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92%</w:t>
            </w:r>
          </w:p>
        </w:tc>
      </w:tr>
      <w:tr>
        <w:tc>
          <w:tcPr>
            <w:tcW w:type="dxa" w:w="198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Enterprise</w:t>
            </w:r>
          </w:p>
        </w:tc>
        <w:tc>
          <w:tcPr>
            <w:tcW w:type="dxa" w:w="113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€399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€48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€11</w:t>
            </w:r>
          </w:p>
        </w:tc>
        <w:tc>
          <w:tcPr>
            <w:tcW w:type="dxa" w:w="1701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€340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85%</w:t>
            </w:r>
          </w:p>
        </w:tc>
      </w:tr>
      <w:tr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Azure Enterprise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€1.500+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€120+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€280+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€1.100+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65-75%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color w:val="64748B"/>
          <w:sz w:val="18"/>
        </w:rPr>
        <w:t>I margini sono lordi sul piano mensile (escluso costo Twilio WhatsApp, gestito come pass-through). Vedi sezione 6 per calcoli dettagliati.</w:t>
      </w:r>
    </w:p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2. Il Prodotto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Wamply integra tre componenti chiave che lavorano insieme per automatizzare campagne WhatsApp di alto livello.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2.1 Componenti tecnici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Frontend: Next.js 15 + React 19 - dashboard utente e admin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Backend: Python FastAPI - gestione piani, fatturazione Stripe, API templates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Agent AI: Microsoft Agent Framework + Claude (Sonnet / Opus / Haiku con routing automatico)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Infrastruttura: Supabase (PostgreSQL + Auth) + Redis + Twilio WhatsApp API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2.2 Differenziali competitivi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Prima piattaforma italiana con AI routing automatico: semplicita' d'uso + ottimizzazione costi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Personalizzazione vera - non template con variabili, ma messaggio unico per destinatario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Supporto nativo BYOK - per aziende con contratti Anthropic diretti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Compliance-ready: PCI DSS Level 1, 3D Secure 2, TLS 1.3, dati EU</w:t>
      </w:r>
    </w:p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3. Business Model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3.1 Piani principali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247"/>
        <w:gridCol w:w="2268"/>
        <w:gridCol w:w="1984"/>
        <w:gridCol w:w="1304"/>
      </w:tblGrid>
      <w:tr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Piano</w:t>
            </w:r>
          </w:p>
        </w:tc>
        <w:tc>
          <w:tcPr>
            <w:tcW w:type="dxa" w:w="124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Prezzo/mese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Target cliente</w:t>
            </w:r>
          </w:p>
        </w:tc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Crediti AI inclusi</w:t>
            </w:r>
          </w:p>
        </w:tc>
        <w:tc>
          <w:tcPr>
            <w:tcW w:type="dxa" w:w="130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BYOK</w:t>
            </w:r>
          </w:p>
        </w:tc>
      </w:tr>
      <w:tr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Free Trial 14gg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Lead qualificati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200 (eredita Pro)</w:t>
            </w:r>
          </w:p>
        </w:tc>
        <w:tc>
          <w:tcPr>
            <w:tcW w:type="dxa" w:w="130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No</w:t>
            </w:r>
          </w:p>
        </w:tc>
      </w:tr>
      <w:tr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Starter</w:t>
            </w:r>
          </w:p>
        </w:tc>
        <w:tc>
          <w:tcPr>
            <w:tcW w:type="dxa" w:w="124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€49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Freelance, PMI piccole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0 - solo BYOK</w:t>
            </w:r>
          </w:p>
        </w:tc>
        <w:tc>
          <w:tcPr>
            <w:tcW w:type="dxa" w:w="130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Si</w:t>
            </w:r>
          </w:p>
        </w:tc>
      </w:tr>
      <w:tr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Professional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€149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PMI mid-market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200/mese</w:t>
            </w:r>
          </w:p>
        </w:tc>
        <w:tc>
          <w:tcPr>
            <w:tcW w:type="dxa" w:w="130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Si</w:t>
            </w:r>
          </w:p>
        </w:tc>
      </w:tr>
      <w:tr>
        <w:tc>
          <w:tcPr>
            <w:tcW w:type="dxa" w:w="198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Enterprise</w:t>
            </w:r>
          </w:p>
        </w:tc>
        <w:tc>
          <w:tcPr>
            <w:tcW w:type="dxa" w:w="124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€399</w:t>
            </w:r>
          </w:p>
        </w:tc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Aziende strutturate</w:t>
            </w:r>
          </w:p>
        </w:tc>
        <w:tc>
          <w:tcPr>
            <w:tcW w:type="dxa" w:w="198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1.500/mese</w:t>
            </w:r>
          </w:p>
        </w:tc>
        <w:tc>
          <w:tcPr>
            <w:tcW w:type="dxa" w:w="130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Illimitato</w:t>
            </w:r>
          </w:p>
        </w:tc>
      </w:tr>
      <w:tr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Azure Enterprise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da €1.500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Corporate, PA, regolamentati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Custom</w:t>
            </w:r>
          </w:p>
        </w:tc>
        <w:tc>
          <w:tcPr>
            <w:tcW w:type="dxa" w:w="130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Illimitato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color w:val="64748B"/>
          <w:sz w:val="18"/>
        </w:rPr>
        <w:t>Il piano consigliato e' Professional (badge "Il piu' scelto" sul sito). Enterprise e' il vettore di espansione. Azure Enterprise e' il lift premium per mercati regolamentati.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3.2 Pacchetti Top-up crediti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Disponibili per utenti con piano attivo. Crediti validi 12 mesi dall'ultimo acquisto. Consumo "piano-first": prima i crediti del piano mensile, poi i top-up. Incentivo volume: sconto progressivo per pacchetti piu' grandi.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134"/>
        <w:gridCol w:w="1134"/>
        <w:gridCol w:w="1304"/>
        <w:gridCol w:w="1587"/>
        <w:gridCol w:w="2551"/>
      </w:tblGrid>
      <w:tr>
        <w:tc>
          <w:tcPr>
            <w:tcW w:type="dxa" w:w="124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Pacchetto</w:t>
            </w:r>
          </w:p>
        </w:tc>
        <w:tc>
          <w:tcPr>
            <w:tcW w:type="dxa" w:w="113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Crediti</w:t>
            </w:r>
          </w:p>
        </w:tc>
        <w:tc>
          <w:tcPr>
            <w:tcW w:type="dxa" w:w="113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Prezzo</w:t>
            </w:r>
          </w:p>
        </w:tc>
        <w:tc>
          <w:tcPr>
            <w:tcW w:type="dxa" w:w="130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€/credito</w:t>
            </w:r>
          </w:p>
        </w:tc>
        <w:tc>
          <w:tcPr>
            <w:tcW w:type="dxa" w:w="158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Badge</w:t>
            </w:r>
          </w:p>
        </w:tc>
        <w:tc>
          <w:tcPr>
            <w:tcW w:type="dxa" w:w="255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Small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100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€15</w:t>
            </w:r>
          </w:p>
        </w:tc>
        <w:tc>
          <w:tcPr>
            <w:tcW w:type="dxa" w:w="130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€0,15</w:t>
            </w:r>
          </w:p>
        </w:tc>
        <w:tc>
          <w:tcPr>
            <w:tcW w:type="dxa" w:w="158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-</w:t>
            </w:r>
          </w:p>
        </w:tc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Prova / picco occasionale</w:t>
            </w:r>
          </w:p>
        </w:tc>
      </w:tr>
      <w:tr>
        <w:tc>
          <w:tcPr>
            <w:tcW w:type="dxa" w:w="124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500</w:t>
            </w:r>
          </w:p>
        </w:tc>
        <w:tc>
          <w:tcPr>
            <w:tcW w:type="dxa" w:w="113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€59</w:t>
            </w:r>
          </w:p>
        </w:tc>
        <w:tc>
          <w:tcPr>
            <w:tcW w:type="dxa" w:w="130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€0,118</w:t>
            </w:r>
          </w:p>
        </w:tc>
        <w:tc>
          <w:tcPr>
            <w:tcW w:type="dxa" w:w="158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Piu' venduto</w:t>
            </w:r>
          </w:p>
        </w:tc>
        <w:tc>
          <w:tcPr>
            <w:tcW w:type="dxa" w:w="2551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Boost mensile Pro</w:t>
            </w:r>
          </w:p>
        </w:tc>
      </w:tr>
      <w:tr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Large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2.000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€199</w:t>
            </w:r>
          </w:p>
        </w:tc>
        <w:tc>
          <w:tcPr>
            <w:tcW w:type="dxa" w:w="130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€0,10</w:t>
            </w:r>
          </w:p>
        </w:tc>
        <w:tc>
          <w:tcPr>
            <w:tcW w:type="dxa" w:w="158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Miglior prezzo</w:t>
            </w:r>
          </w:p>
        </w:tc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Enterprise overflow</w:t>
            </w:r>
          </w:p>
        </w:tc>
      </w:tr>
      <w:tr>
        <w:tc>
          <w:tcPr>
            <w:tcW w:type="dxa" w:w="124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XL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10.000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€799</w:t>
            </w:r>
          </w:p>
        </w:tc>
        <w:tc>
          <w:tcPr>
            <w:tcW w:type="dxa" w:w="130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€0,08</w:t>
            </w:r>
          </w:p>
        </w:tc>
        <w:tc>
          <w:tcPr>
            <w:tcW w:type="dxa" w:w="158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-</w:t>
            </w:r>
          </w:p>
        </w:tc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Campagne massive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A"/>
            <w:tcMar>
              <w:top w:w="180" w:type="dxa"/>
              <w:right w:w="240" w:type="dxa"/>
              <w:bottom w:w="180" w:type="dxa"/>
              <w:left w:w="240" w:type="dxa"/>
            </w:tcMar>
            <w:tcBorders>
              <w:top w:val="single" w:sz="4" w:color="D1E7E5"/>
              <w:bottom w:val="single" w:sz="4" w:color="D1E7E5"/>
              <w:right w:val="single" w:sz="4" w:color="D1E7E5"/>
              <w:left w:val="single" w:sz="24" w:color="0D9488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B2A4A"/>
                <w:sz w:val="20"/>
              </w:rPr>
              <w:t>Regola operativa: BYOK e utenti Free non possono acquistare top-up. BYOK = l'utente paga Anthropic direttamente, Wamply non conteggia crediti. Free = deve prima scegliere un piano. Pattern standard in linea con OpenAI/altri SaaS.</w:t>
            </w:r>
          </w:p>
        </w:tc>
      </w:tr>
    </w:tbl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4. Struttura dei Costi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4.1 Costi variabili AI (Anthropic)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Il backend applica routing automatico al modello ottimale per ogni operazione. Il costo medio pesato e' ~$0,026 per credito (€0,024 al cambio corrente).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2835"/>
        <w:gridCol w:w="1701"/>
      </w:tblGrid>
      <w:tr>
        <w:tc>
          <w:tcPr>
            <w:tcW w:type="dxa" w:w="3402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Operazione AI</w:t>
            </w:r>
          </w:p>
        </w:tc>
        <w:tc>
          <w:tcPr>
            <w:tcW w:type="dxa" w:w="113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Crediti</w:t>
            </w:r>
          </w:p>
        </w:tc>
        <w:tc>
          <w:tcPr>
            <w:tcW w:type="dxa" w:w="283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Modello (invisibile utente)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Costo stimato</w:t>
            </w:r>
          </w:p>
        </w:tc>
      </w:tr>
      <w:tr>
        <w:tc>
          <w:tcPr>
            <w:tcW w:type="dxa" w:w="3402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Chat turn standard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1.0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Sonnet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$0.020</w:t>
            </w:r>
          </w:p>
        </w:tc>
      </w:tr>
      <w:tr>
        <w:tc>
          <w:tcPr>
            <w:tcW w:type="dxa" w:w="3402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Chat turn con tool-use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2.0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Sonnet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$0.040</w:t>
            </w:r>
          </w:p>
        </w:tc>
      </w:tr>
      <w:tr>
        <w:tc>
          <w:tcPr>
            <w:tcW w:type="dxa" w:w="3402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Chat turn con pianificazione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3.0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Opus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$0.080</w:t>
            </w:r>
          </w:p>
        </w:tc>
      </w:tr>
      <w:tr>
        <w:tc>
          <w:tcPr>
            <w:tcW w:type="dxa" w:w="3402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Template generate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2.0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Sonnet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$0.040</w:t>
            </w:r>
          </w:p>
        </w:tc>
      </w:tr>
      <w:tr>
        <w:tc>
          <w:tcPr>
            <w:tcW w:type="dxa" w:w="3402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Template improve (3 varianti)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3.0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Sonnet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$0.060</w:t>
            </w:r>
          </w:p>
        </w:tc>
      </w:tr>
      <w:tr>
        <w:tc>
          <w:tcPr>
            <w:tcW w:type="dxa" w:w="3402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Template compliance check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3.0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Opus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$0.090</w:t>
            </w:r>
          </w:p>
        </w:tc>
      </w:tr>
      <w:tr>
        <w:tc>
          <w:tcPr>
            <w:tcW w:type="dxa" w:w="3402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Template translate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1.0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Haiku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$0.005</w:t>
            </w:r>
          </w:p>
        </w:tc>
      </w:tr>
      <w:tr>
        <w:tc>
          <w:tcPr>
            <w:tcW w:type="dxa" w:w="3402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Personalize per messaggio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0.5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Haiku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$0.003</w:t>
            </w:r>
          </w:p>
        </w:tc>
      </w:tr>
      <w:tr>
        <w:tc>
          <w:tcPr>
            <w:tcW w:type="dxa" w:w="3402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Batch bulk personalize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0.5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Haiku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$0.003</w:t>
            </w:r>
          </w:p>
        </w:tc>
      </w:tr>
      <w:tr>
        <w:tc>
          <w:tcPr>
            <w:tcW w:type="dxa" w:w="3402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Planner campagna (endpoint dedicato)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5.0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Opus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$0.150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color w:val="64748B"/>
          <w:sz w:val="18"/>
        </w:rPr>
        <w:t>Il mix reale d'uso e' ~60% Sonnet, 25% Haiku, 15% Opus. Con 200 crediti pro-rata, costo Anthropic stimato: $5,20 (~€4,80). Con 1.500 crediti Enterprise: $52 (~€48).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4.2 Altri costi variabili per cliente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3969"/>
      </w:tblGrid>
      <w:tr>
        <w:tc>
          <w:tcPr>
            <w:tcW w:type="dxa" w:w="283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 di costo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Importo</w:t>
            </w:r>
          </w:p>
        </w:tc>
        <w:tc>
          <w:tcPr>
            <w:tcW w:type="dxa" w:w="3969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Twilio WhatsApp API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$0,005-0,12 per msg</w:t>
            </w:r>
          </w:p>
        </w:tc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Pass-through al cliente (markup 0-10%)</w:t>
            </w:r>
          </w:p>
        </w:tc>
      </w:tr>
      <w:tr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Stripe fees EU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1,5% + €0,25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Per transazione (carte UE)</w:t>
            </w:r>
          </w:p>
        </w:tc>
      </w:tr>
      <w:tr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Email SMTP Aruba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€0,002 per email</w:t>
            </w:r>
          </w:p>
        </w:tc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Reminder trial + transactional</w:t>
            </w:r>
          </w:p>
        </w:tc>
      </w:tr>
      <w:tr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Monitoring / logging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~€0,30/utente/mese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Jaeger, logs, Redis InsightRate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4.3 Costi fissi di piattaforma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Costi che non scalano direttamente col numero di clienti, spalmati sulla base utenti.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2268"/>
      </w:tblGrid>
      <w:tr>
        <w:tc>
          <w:tcPr>
            <w:tcW w:type="dxa" w:w="453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Costo mensile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Scalabilita'</w:t>
            </w:r>
          </w:p>
        </w:tc>
      </w:tr>
      <w:tr>
        <w:tc>
          <w:tcPr>
            <w:tcW w:type="dxa" w:w="45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Hosting Kubernetes (backend + agent + frontend)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€200-500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Fino a 500 utenti</w:t>
            </w:r>
          </w:p>
        </w:tc>
      </w:tr>
      <w:tr>
        <w:tc>
          <w:tcPr>
            <w:tcW w:type="dxa" w:w="45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Supabase Postgres + GoTrue + Redis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€100-300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Fino a 1000 utenti</w:t>
            </w:r>
          </w:p>
        </w:tc>
      </w:tr>
      <w:tr>
        <w:tc>
          <w:tcPr>
            <w:tcW w:type="dxa" w:w="45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Kong Gateway + CDN + domini + SSL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Fisso</w:t>
            </w:r>
          </w:p>
        </w:tc>
      </w:tr>
      <w:tr>
        <w:tc>
          <w:tcPr>
            <w:tcW w:type="dxa" w:w="45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Monitoring (Sentry, Jaeger cloud)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€50-100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Fisso</w:t>
            </w:r>
          </w:p>
        </w:tc>
      </w:tr>
      <w:tr>
        <w:tc>
          <w:tcPr>
            <w:tcW w:type="dxa" w:w="45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Compliance + legal + contabilita'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€300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Fisso</w:t>
            </w:r>
          </w:p>
        </w:tc>
      </w:tr>
      <w:tr>
        <w:tc>
          <w:tcPr>
            <w:tcW w:type="dxa" w:w="45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Customer support (part-time)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€1.500-3.000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Scala con Enterprise</w:t>
            </w:r>
          </w:p>
        </w:tc>
      </w:tr>
      <w:tr>
        <w:tc>
          <w:tcPr>
            <w:tcW w:type="dxa" w:w="4535"/>
            <w:shd w:val="clear" w:color="auto" w:fill="FFF5E6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TOTALE piattaforma</w:t>
            </w:r>
          </w:p>
        </w:tc>
        <w:tc>
          <w:tcPr>
            <w:tcW w:type="dxa" w:w="2268"/>
            <w:shd w:val="clear" w:color="auto" w:fill="FFF5E6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€2.200-4.250</w:t>
            </w:r>
          </w:p>
        </w:tc>
        <w:tc>
          <w:tcPr>
            <w:tcW w:type="dxa" w:w="2268"/>
            <w:shd w:val="clear" w:color="auto" w:fill="FFF5E6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</w:tbl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5. Analisi Margini per Piano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5.1 Piano Starter (€49/mese)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Piano di ingresso BYOK-first. Il cliente usa la sua API key Claude, Wamply non conteggia crediti AI. Pensato per freelance, professionisti, PMI che hanno gia' familiarita' con Anthropic o vogliono controllo diretto dei costi AI.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2268"/>
        <w:gridCol w:w="3118"/>
      </w:tblGrid>
      <w:tr>
        <w:tc>
          <w:tcPr>
            <w:tcW w:type="dxa" w:w="368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Valore</w:t>
            </w:r>
          </w:p>
        </w:tc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Revenue mensile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€49,00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Pagamento Stripe ricorrente</w:t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AI (Anthropic)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€0,00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BYOK - paga il cliente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Stripe fees (1,5% + €0,25)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-€0,99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infrastruttura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-€4,00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Quota piatta spalmata</w:t>
            </w:r>
          </w:p>
        </w:tc>
      </w:tr>
      <w:tr>
        <w:tc>
          <w:tcPr>
            <w:tcW w:type="dxa" w:w="368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lordo</w:t>
            </w:r>
          </w:p>
        </w:tc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€44,01</w:t>
            </w:r>
          </w:p>
        </w:tc>
        <w:tc>
          <w:tcPr>
            <w:tcW w:type="dxa" w:w="311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89,8%</w:t>
            </w:r>
          </w:p>
        </w:tc>
      </w:tr>
      <w:tr>
        <w:tc>
          <w:tcPr>
            <w:tcW w:type="dxa" w:w="3685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netto post-CAC</w:t>
            </w:r>
          </w:p>
        </w:tc>
        <w:tc>
          <w:tcPr>
            <w:tcW w:type="dxa" w:w="2268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€18-38</w:t>
            </w:r>
          </w:p>
        </w:tc>
        <w:tc>
          <w:tcPr>
            <w:tcW w:type="dxa" w:w="3118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CAC stimato €50-200 ammortizzato 12 mesi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A"/>
            <w:tcMar>
              <w:top w:w="180" w:type="dxa"/>
              <w:right w:w="240" w:type="dxa"/>
              <w:bottom w:w="180" w:type="dxa"/>
              <w:left w:w="240" w:type="dxa"/>
            </w:tcMar>
            <w:tcBorders>
              <w:top w:val="single" w:sz="4" w:color="D1E7E5"/>
              <w:bottom w:val="single" w:sz="4" w:color="D1E7E5"/>
              <w:right w:val="single" w:sz="4" w:color="D1E7E5"/>
              <w:left w:val="single" w:sz="24" w:color="0D9488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B2A4A"/>
                <w:sz w:val="20"/>
              </w:rPr>
              <w:t>Insight vendita: Starter e' il piano con margine % piu' alto ma revenue assoluta bassa. Usato come "gateway" - il 40% degli Starter attivi passa a Professional entro 6 mesi quando serve l'AI system-managed per scalare.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5.2 Piano Professional (€149/mese)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Piano consigliato (badge "Il piu' scelto" sul sito). Include 200 crediti AI/mese con modello auto-selected. Target: marketing team di PMI mid-market che fanno 1-3 campagne/settimana.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2268"/>
        <w:gridCol w:w="3118"/>
      </w:tblGrid>
      <w:tr>
        <w:tc>
          <w:tcPr>
            <w:tcW w:type="dxa" w:w="368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Valore</w:t>
            </w:r>
          </w:p>
        </w:tc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Revenue mensile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€149,00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Pagamento Stripe ricorrente</w:t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AI (200 crediti @ $0.026)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-€4,80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Mix Sonnet 60% + Haiku 25% + Opus 15%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Stripe fees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-€2,49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infrastruttura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-€4,00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68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lordo</w:t>
            </w:r>
          </w:p>
        </w:tc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€137,71</w:t>
            </w:r>
          </w:p>
        </w:tc>
        <w:tc>
          <w:tcPr>
            <w:tcW w:type="dxa" w:w="311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92,4%</w:t>
            </w:r>
          </w:p>
        </w:tc>
      </w:tr>
      <w:tr>
        <w:tc>
          <w:tcPr>
            <w:tcW w:type="dxa" w:w="3685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netto post-CAC</w:t>
            </w:r>
          </w:p>
        </w:tc>
        <w:tc>
          <w:tcPr>
            <w:tcW w:type="dxa" w:w="2268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€85-120</w:t>
            </w:r>
          </w:p>
        </w:tc>
        <w:tc>
          <w:tcPr>
            <w:tcW w:type="dxa" w:w="3118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CAC €150-400 ammortizzato 18 mesi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A"/>
            <w:tcMar>
              <w:top w:w="180" w:type="dxa"/>
              <w:right w:w="240" w:type="dxa"/>
              <w:bottom w:w="180" w:type="dxa"/>
              <w:left w:w="240" w:type="dxa"/>
            </w:tcMar>
            <w:tcBorders>
              <w:top w:val="single" w:sz="4" w:color="D1E7E5"/>
              <w:bottom w:val="single" w:sz="4" w:color="D1E7E5"/>
              <w:right w:val="single" w:sz="4" w:color="D1E7E5"/>
              <w:left w:val="single" w:sz="24" w:color="0D9488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B2A4A"/>
                <w:sz w:val="20"/>
              </w:rPr>
              <w:t>Insight vendita: il Professional ha il LTV/CAC piu' favorevole. Con retention 70% su 18 mesi, LTV ~€1.880, break-even CAC raggiunto entro 3 mesi. E' il pilastro della growth machine.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5.3 Piano Enterprise (€399/mese)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Per aziende strutturate con esigenze multi-team. 1.500 crediti/mese + BYOK illimitato + white-label + supporto dedicato. Target: aziende retail, servizi, finanza con 10+ addetti marketing.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2268"/>
        <w:gridCol w:w="3118"/>
      </w:tblGrid>
      <w:tr>
        <w:tc>
          <w:tcPr>
            <w:tcW w:type="dxa" w:w="368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Valore</w:t>
            </w:r>
          </w:p>
        </w:tc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Revenue mensile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€399,00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Pagamento Stripe ricorrente</w:t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AI (1.500 crediti @ $0.026)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-€36,00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Mix simile a Pro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Stripe fees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-€6,24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infrastruttura + support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-€15,00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Quota piu' alta: CSM dedicato part-time</w:t>
            </w:r>
          </w:p>
        </w:tc>
      </w:tr>
      <w:tr>
        <w:tc>
          <w:tcPr>
            <w:tcW w:type="dxa" w:w="368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lordo</w:t>
            </w:r>
          </w:p>
        </w:tc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€341,76</w:t>
            </w:r>
          </w:p>
        </w:tc>
        <w:tc>
          <w:tcPr>
            <w:tcW w:type="dxa" w:w="311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85,7%</w:t>
            </w:r>
          </w:p>
        </w:tc>
      </w:tr>
      <w:tr>
        <w:tc>
          <w:tcPr>
            <w:tcW w:type="dxa" w:w="3685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netto post-CAC</w:t>
            </w:r>
          </w:p>
        </w:tc>
        <w:tc>
          <w:tcPr>
            <w:tcW w:type="dxa" w:w="2268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€200-280</w:t>
            </w:r>
          </w:p>
        </w:tc>
        <w:tc>
          <w:tcPr>
            <w:tcW w:type="dxa" w:w="3118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CAC outbound €1.500-3.000 ammortizzato 24 mesi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A"/>
            <w:tcMar>
              <w:top w:w="180" w:type="dxa"/>
              <w:right w:w="240" w:type="dxa"/>
              <w:bottom w:w="180" w:type="dxa"/>
              <w:left w:w="240" w:type="dxa"/>
            </w:tcMar>
            <w:tcBorders>
              <w:top w:val="single" w:sz="4" w:color="D1E7E5"/>
              <w:bottom w:val="single" w:sz="4" w:color="D1E7E5"/>
              <w:right w:val="single" w:sz="4" w:color="D1E7E5"/>
              <w:left w:val="single" w:sz="24" w:color="0D9488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B2A4A"/>
                <w:sz w:val="20"/>
              </w:rPr>
              <w:t>Insight vendita: Enterprise ha revenue assoluta 2,7x Professional. LTV medio €8.140 (24 mesi retention 85%). Da negoziare sempre contratto annuale con sconto 10-15% per assicurare retention e pagamento anticipato.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5.4 Free Trial 14 giorni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Il trial eredita il piano Professional per 14 giorni. E' il principale driver di conversione del funnel di acquisizione. Nessuna carta richiesta al signup per ridurre attrito.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2268"/>
        <w:gridCol w:w="3118"/>
      </w:tblGrid>
      <w:tr>
        <w:tc>
          <w:tcPr>
            <w:tcW w:type="dxa" w:w="368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Valore</w:t>
            </w:r>
          </w:p>
        </w:tc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Revenue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-</w:t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AI stimato (media 100 crediti/14gg)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-€2,40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 trial consumano meno della meta'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infrastruttura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-€2,00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14/30 giorni di fisso</w:t>
            </w:r>
          </w:p>
        </w:tc>
      </w:tr>
      <w:tr>
        <w:tc>
          <w:tcPr>
            <w:tcW w:type="dxa" w:w="3685"/>
            <w:shd w:val="clear" w:color="auto" w:fill="FFF5E6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per trial</w:t>
            </w:r>
          </w:p>
        </w:tc>
        <w:tc>
          <w:tcPr>
            <w:tcW w:type="dxa" w:w="2268"/>
            <w:shd w:val="clear" w:color="auto" w:fill="FFF5E6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-€4,40</w:t>
            </w:r>
          </w:p>
        </w:tc>
        <w:tc>
          <w:tcPr>
            <w:tcW w:type="dxa" w:w="3118"/>
            <w:shd w:val="clear" w:color="auto" w:fill="FFF5E6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Conversion rate atteso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15-25%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Basato su benchmark SaaS B2B</w:t>
            </w:r>
          </w:p>
        </w:tc>
      </w:tr>
      <w:tr>
        <w:tc>
          <w:tcPr>
            <w:tcW w:type="dxa" w:w="368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acquisizione per cliente pagante</w:t>
            </w:r>
          </w:p>
        </w:tc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€18-29</w:t>
            </w:r>
          </w:p>
        </w:tc>
        <w:tc>
          <w:tcPr>
            <w:tcW w:type="dxa" w:w="311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€4,40 diviso tasso conversione</w:t>
            </w:r>
          </w:p>
        </w:tc>
      </w:tr>
    </w:tbl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6. Economia dei Top-up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I pacchetti top-up sono acquisti one-shot attivabili quando il cliente esaurisce i crediti mensili. Hanno margine inferiore rispetto al piano (non c'e' la "rendita" mensile) ma generano revenue aggiuntiva significativa.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134"/>
        <w:gridCol w:w="1134"/>
        <w:gridCol w:w="1417"/>
        <w:gridCol w:w="1134"/>
        <w:gridCol w:w="1417"/>
        <w:gridCol w:w="1304"/>
      </w:tblGrid>
      <w:tr>
        <w:tc>
          <w:tcPr>
            <w:tcW w:type="dxa" w:w="124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Pacchetto</w:t>
            </w:r>
          </w:p>
        </w:tc>
        <w:tc>
          <w:tcPr>
            <w:tcW w:type="dxa" w:w="113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Crediti</w:t>
            </w:r>
          </w:p>
        </w:tc>
        <w:tc>
          <w:tcPr>
            <w:tcW w:type="dxa" w:w="113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Prezzo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Costo AI (*)</w:t>
            </w:r>
          </w:p>
        </w:tc>
        <w:tc>
          <w:tcPr>
            <w:tcW w:type="dxa" w:w="113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Stripe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Margine €</w:t>
            </w:r>
          </w:p>
        </w:tc>
        <w:tc>
          <w:tcPr>
            <w:tcW w:type="dxa" w:w="130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Margine %</w:t>
            </w:r>
          </w:p>
        </w:tc>
      </w:tr>
      <w:tr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Small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100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€15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-€2,40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-€0,48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€12,12</w:t>
            </w:r>
          </w:p>
        </w:tc>
        <w:tc>
          <w:tcPr>
            <w:tcW w:type="dxa" w:w="130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80,8%</w:t>
            </w:r>
          </w:p>
        </w:tc>
      </w:tr>
      <w:tr>
        <w:tc>
          <w:tcPr>
            <w:tcW w:type="dxa" w:w="124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Medium</w:t>
            </w:r>
          </w:p>
        </w:tc>
        <w:tc>
          <w:tcPr>
            <w:tcW w:type="dxa" w:w="113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500</w:t>
            </w:r>
          </w:p>
        </w:tc>
        <w:tc>
          <w:tcPr>
            <w:tcW w:type="dxa" w:w="113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€59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-€12,00</w:t>
            </w:r>
          </w:p>
        </w:tc>
        <w:tc>
          <w:tcPr>
            <w:tcW w:type="dxa" w:w="113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-€1,14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€45,86</w:t>
            </w:r>
          </w:p>
        </w:tc>
        <w:tc>
          <w:tcPr>
            <w:tcW w:type="dxa" w:w="130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77,7%</w:t>
            </w:r>
          </w:p>
        </w:tc>
      </w:tr>
      <w:tr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Large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2.000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€199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-€48,00</w:t>
            </w:r>
          </w:p>
        </w:tc>
        <w:tc>
          <w:tcPr>
            <w:tcW w:type="dxa" w:w="113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-€3,24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€147,76</w:t>
            </w:r>
          </w:p>
        </w:tc>
        <w:tc>
          <w:tcPr>
            <w:tcW w:type="dxa" w:w="130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74,3%</w:t>
            </w:r>
          </w:p>
        </w:tc>
      </w:tr>
      <w:tr>
        <w:tc>
          <w:tcPr>
            <w:tcW w:type="dxa" w:w="124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XL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10.000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€799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-€240,00</w:t>
            </w:r>
          </w:p>
        </w:tc>
        <w:tc>
          <w:tcPr>
            <w:tcW w:type="dxa" w:w="113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-€12,24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€546,76</w:t>
            </w:r>
          </w:p>
        </w:tc>
        <w:tc>
          <w:tcPr>
            <w:tcW w:type="dxa" w:w="130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68,4%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color w:val="64748B"/>
          <w:sz w:val="18"/>
        </w:rPr>
        <w:t>(*) Costo AI calcolato come crediti × $0.026. Non include quota infra (fissa, non scala col top-up).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6.1 Proiezione revenue top-up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A"/>
            <w:tcMar>
              <w:top w:w="180" w:type="dxa"/>
              <w:right w:w="240" w:type="dxa"/>
              <w:bottom w:w="180" w:type="dxa"/>
              <w:left w:w="240" w:type="dxa"/>
            </w:tcMar>
            <w:tcBorders>
              <w:top w:val="single" w:sz="4" w:color="D1E7E5"/>
              <w:bottom w:val="single" w:sz="4" w:color="D1E7E5"/>
              <w:right w:val="single" w:sz="4" w:color="D1E7E5"/>
              <w:left w:val="single" w:sz="24" w:color="0D9488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B2A4A"/>
                <w:sz w:val="20"/>
              </w:rPr>
              <w:t>Assumendo che il 20% dei clienti Professional acquisti 2 pacchetti Medium/anno: 100 Pro x 20% x 2 x €59 = €2.360/anno di revenue top-up aggiuntiva. Con margine 78%: €1.840/anno di margine incrementale senza nuovi clienti.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6.2 Leve commerciali top-up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Email warning automatica a 80% consumo crediti: CTA "Ricarica crediti" con pacchetto Medium evidenziato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Banner in dashboard per utenti che hanno raggiunto il limite: CTA "Ricarica" + "Passa a Enterprise"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Pacchetto Large posizionato come "Miglior prezzo" per stimolare l'upsell volume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Pacchetto XL per eventi speciali (Black Friday, lancio prodotto) - remarketing mirato</w:t>
      </w:r>
    </w:p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7. Azure Enterprise Edition (premium)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L'Azure Enterprise Edition e' un'offerta dedicata per clienti che richiedono deployment su infrastruttura Microsoft Azure, SLA garantiti e conformita' a standard regolamentari stringenti (banche, sanita', PA, assicurazioni).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7.1 Contesto di mercato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Molte aziende italiane strutturate (soprattutto settori regolamentati) hanno contratti enterprise Microsoft Azure, policy di data residency EU e processi di vendor security che impongono l'uso di cloud Microsoft. Queste aziende non possono adottare una SaaS "off-the-shelf" ospitata altrove.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Al contempo, Anthropic Claude non e' nativamente disponibile su Azure (e' esposto via AWS Bedrock, Google Vertex e API diretta Anthropic). Le soluzioni tecniche sono due.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268"/>
        <w:gridCol w:w="2551"/>
      </w:tblGrid>
      <w:tr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55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Architettura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Vantaggi</w:t>
            </w:r>
          </w:p>
        </w:tc>
        <w:tc>
          <w:tcPr>
            <w:tcW w:type="dxa" w:w="255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Svantaggi</w:t>
            </w:r>
          </w:p>
        </w:tc>
      </w:tr>
      <w:tr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Path A - Ibrido</w:t>
            </w:r>
          </w:p>
        </w:tc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App su Azure EU, Claude via AWS Bedrock EU Frankfurt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Claude native quality, compliance EU</w:t>
            </w:r>
          </w:p>
        </w:tc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Doppio cloud, latenza cross-region 40-80ms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Path B - Azure-only</w:t>
            </w:r>
          </w:p>
        </w:tc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App su Azure, AI via Azure OpenAI (GPT-5)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Single-cloud, TCO ridotto</w:t>
            </w:r>
          </w:p>
        </w:tc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Qualita' AI inferiore per copy marketing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7.2 Pricing Azure Enterprise Edition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3969"/>
      </w:tblGrid>
      <w:tr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Importo</w:t>
            </w:r>
          </w:p>
        </w:tc>
        <w:tc>
          <w:tcPr>
            <w:tcW w:type="dxa" w:w="3969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Setup one-time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€5.000</w:t>
            </w:r>
          </w:p>
        </w:tc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Implementazione, data migration, training team</w:t>
            </w:r>
          </w:p>
        </w:tc>
      </w:tr>
      <w:tr>
        <w:tc>
          <w:tcPr>
            <w:tcW w:type="dxa" w:w="311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Canone mensile base</w:t>
            </w:r>
          </w:p>
        </w:tc>
        <w:tc>
          <w:tcPr>
            <w:tcW w:type="dxa" w:w="198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da €1.500</w:t>
            </w:r>
          </w:p>
        </w:tc>
        <w:tc>
          <w:tcPr>
            <w:tcW w:type="dxa" w:w="3969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Scala con seats e volume crediti</w:t>
            </w:r>
          </w:p>
        </w:tc>
      </w:tr>
      <w:tr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Prezzo crediti AI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€0,30/credito</w:t>
            </w:r>
          </w:p>
        </w:tc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vs €0,03 standard (markup 10x per Azure/Bedrock)</w:t>
            </w:r>
          </w:p>
        </w:tc>
      </w:tr>
      <w:tr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Seats dashboard aggiuntivi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€25/seat/mese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Oltre i 10 del piano base</w:t>
            </w:r>
          </w:p>
        </w:tc>
      </w:tr>
      <w:tr>
        <w:tc>
          <w:tcPr>
            <w:tcW w:type="dxa" w:w="311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SLA 99,9% con penalty</w:t>
            </w:r>
          </w:p>
        </w:tc>
        <w:tc>
          <w:tcPr>
            <w:tcW w:type="dxa" w:w="198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incluso</w:t>
            </w:r>
          </w:p>
        </w:tc>
        <w:tc>
          <w:tcPr>
            <w:tcW w:type="dxa" w:w="3969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Rimborso pro-rata in caso di downtime</w:t>
            </w:r>
          </w:p>
        </w:tc>
      </w:tr>
      <w:tr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Support dedicato 24/7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incluso</w:t>
            </w:r>
          </w:p>
        </w:tc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Response SLA: 2h critical, 4h standard</w:t>
            </w:r>
          </w:p>
        </w:tc>
      </w:tr>
      <w:tr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Security audit &amp; reports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incluso</w:t>
            </w:r>
          </w:p>
        </w:tc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SOC2 + ISO 27001 annuale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7.3 Analisi margini Azure Enterprise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Simulazione su tenant medio con canone €3.000/mese + 5.000 crediti AI consumati + 20 seats.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2835"/>
      </w:tblGrid>
      <w:tr>
        <w:tc>
          <w:tcPr>
            <w:tcW w:type="dxa" w:w="3969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Valore</w:t>
            </w:r>
          </w:p>
        </w:tc>
        <w:tc>
          <w:tcPr>
            <w:tcW w:type="dxa" w:w="283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Revenue mensile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€3.000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Canone base €1.500 + crediti €1.500</w:t>
            </w:r>
          </w:p>
        </w:tc>
      </w:tr>
      <w:tr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+ Revenue seats aggiuntivi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€250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10 seats extra @ €25</w:t>
            </w:r>
          </w:p>
        </w:tc>
      </w:tr>
      <w:tr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Revenue totale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€3.250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AI (5.000 crediti @ $0,034 su Bedrock)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-€155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Markup Bedrock +30% vs direct</w:t>
            </w:r>
          </w:p>
        </w:tc>
      </w:tr>
      <w:tr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infra Azure dedicata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-€600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AKS + Postgres Flexible + Azure Cache</w:t>
            </w:r>
          </w:p>
        </w:tc>
      </w:tr>
      <w:tr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CSM dedicato (quota tenant)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-€400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CSM condiviso su 10 tenant</w:t>
            </w:r>
          </w:p>
        </w:tc>
      </w:tr>
      <w:tr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compliance (audit, reports)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-€150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Quota annua spalmata</w:t>
            </w:r>
          </w:p>
        </w:tc>
      </w:tr>
      <w:tr>
        <w:tc>
          <w:tcPr>
            <w:tcW w:type="dxa" w:w="3969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Costo support dedicato (quota)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-€250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969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Costi totali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-€1.555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  <w:tr>
        <w:tc>
          <w:tcPr>
            <w:tcW w:type="dxa" w:w="3969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lordo</w:t>
            </w:r>
          </w:p>
        </w:tc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€1.695</w:t>
            </w:r>
          </w:p>
        </w:tc>
        <w:tc>
          <w:tcPr>
            <w:tcW w:type="dxa" w:w="283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52,2%</w:t>
            </w:r>
          </w:p>
        </w:tc>
      </w:tr>
      <w:tr>
        <w:tc>
          <w:tcPr>
            <w:tcW w:type="dxa" w:w="3969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Margine annualizzato</w:t>
            </w:r>
          </w:p>
        </w:tc>
        <w:tc>
          <w:tcPr>
            <w:tcW w:type="dxa" w:w="2268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€20.340</w:t>
            </w:r>
          </w:p>
        </w:tc>
        <w:tc>
          <w:tcPr>
            <w:tcW w:type="dxa" w:w="2835"/>
            <w:shd w:val="clear" w:color="auto" w:fill="FFFBEB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0FDFA"/>
            <w:tcMar>
              <w:top w:w="180" w:type="dxa"/>
              <w:right w:w="240" w:type="dxa"/>
              <w:bottom w:w="180" w:type="dxa"/>
              <w:left w:w="240" w:type="dxa"/>
            </w:tcMar>
            <w:tcBorders>
              <w:top w:val="single" w:sz="4" w:color="D1E7E5"/>
              <w:bottom w:val="single" w:sz="4" w:color="D1E7E5"/>
              <w:right w:val="single" w:sz="4" w:color="D1E7E5"/>
              <w:left w:val="single" w:sz="24" w:color="0D9488"/>
            </w:tcBorders>
          </w:tcPr>
          <w:p>
            <w:pPr>
              <w:spacing w:after="0"/>
            </w:pPr>
            <w:r>
              <w:rPr>
                <w:rFonts w:ascii="Arial" w:hAnsi="Arial"/>
                <w:color w:val="1B2A4A"/>
                <w:sz w:val="20"/>
              </w:rPr>
              <w:t>Il margine percentuale e' inferiore (52% vs 85%+ su Enterprise standard) ma la revenue assoluta e' 7-10x maggiore. LTV stimato per Azure Enterprise: €136.800 (36 mesi, retention 95%). Il CAC outbound (€5.000-15.000 via sales cycle 3-6 mesi) e' recuperato in 4-8 mesi.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7.4 Setup team commerciale per Azure Enterprise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Lead qualification: aziende &gt;50 dipendenti, settori regolamentati, contratto Azure attivo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Sales cycle atteso: 3-6 mesi (technical review, compliance review, legal review, POC)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Deal size medio: €40.000-80.000/anno (canone + consumo + setup)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Materiale di supporto: case study, security whitepaper, SLA doc, DPA template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Partner canale: system integrator Microsoft (Reply, Accenture, Engineering)</w:t>
      </w:r>
    </w:p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8. Unit Economics &amp; Scenari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8.1 CAC target per canale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2268"/>
        <w:gridCol w:w="1984"/>
      </w:tblGrid>
      <w:tr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Canale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CAC atteso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Target piano</w:t>
            </w:r>
          </w:p>
        </w:tc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Payback</w:t>
            </w:r>
          </w:p>
        </w:tc>
      </w:tr>
      <w:tr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Content marketing / SEO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€50-150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Starter + Free Trial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1-3 mesi</w:t>
            </w:r>
          </w:p>
        </w:tc>
      </w:tr>
      <w:tr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Paid ads (Google, Meta, LinkedIn)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€200-400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Professional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2-4 mesi</w:t>
            </w:r>
          </w:p>
        </w:tc>
      </w:tr>
      <w:tr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Outbound sales (cold email/LinkedIn)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€800-1.500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Enterprise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3-5 mesi</w:t>
            </w:r>
          </w:p>
        </w:tc>
      </w:tr>
      <w:tr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Partner channel (agenzie)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€300-600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Professional / Enterprise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2-4 mesi</w:t>
            </w:r>
          </w:p>
        </w:tc>
      </w:tr>
      <w:tr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Enterprise sales cycle Azure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€5.000-15.000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Azure Enterprise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4-8 mesi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8.2 LTV stimato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1701"/>
        <w:gridCol w:w="1701"/>
      </w:tblGrid>
      <w:tr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Piano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MRR medio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Retention mesi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Churn annuo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LTV</w:t>
            </w:r>
          </w:p>
        </w:tc>
      </w:tr>
      <w:tr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Starter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€49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12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35%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€353</w:t>
            </w:r>
          </w:p>
        </w:tc>
      </w:tr>
      <w:tr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Professional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€149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18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30%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€1.880</w:t>
            </w:r>
          </w:p>
        </w:tc>
      </w:tr>
      <w:tr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Enterprise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€399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24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15%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€8.140</w:t>
            </w:r>
          </w:p>
        </w:tc>
      </w:tr>
      <w:tr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Azure Enterprise</w:t>
            </w:r>
          </w:p>
        </w:tc>
        <w:tc>
          <w:tcPr>
            <w:tcW w:type="dxa" w:w="1701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€3.800</w:t>
            </w:r>
          </w:p>
        </w:tc>
        <w:tc>
          <w:tcPr>
            <w:tcW w:type="dxa" w:w="1701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36</w:t>
            </w:r>
          </w:p>
        </w:tc>
        <w:tc>
          <w:tcPr>
            <w:tcW w:type="dxa" w:w="1701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5%</w:t>
            </w:r>
          </w:p>
        </w:tc>
        <w:tc>
          <w:tcPr>
            <w:tcW w:type="dxa" w:w="1701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€136.800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8.3 Break-even piattaforma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Costi fissi piattaforma stimati: €10.000/mese (include sviluppo prodotto, hosting, compliance, support, marketing operativo).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1984"/>
        <w:gridCol w:w="2268"/>
      </w:tblGrid>
      <w:tr>
        <w:tc>
          <w:tcPr>
            <w:tcW w:type="dxa" w:w="283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Scenario break-even</w:t>
            </w:r>
          </w:p>
        </w:tc>
        <w:tc>
          <w:tcPr>
            <w:tcW w:type="dxa" w:w="283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Clienti richiesti</w:t>
            </w:r>
          </w:p>
        </w:tc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ARR equivalente</w:t>
            </w:r>
          </w:p>
        </w:tc>
        <w:tc>
          <w:tcPr>
            <w:tcW w:type="dxa" w:w="226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Fattibilita'</w:t>
            </w:r>
          </w:p>
        </w:tc>
      </w:tr>
      <w:tr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Solo Starter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230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€135.000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Molto difficile - bassa revenue/cliente</w:t>
            </w:r>
          </w:p>
        </w:tc>
      </w:tr>
      <w:tr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Solo Professional</w:t>
            </w:r>
          </w:p>
        </w:tc>
        <w:tc>
          <w:tcPr>
            <w:tcW w:type="dxa" w:w="283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73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€130.000</w:t>
            </w:r>
          </w:p>
        </w:tc>
        <w:tc>
          <w:tcPr>
            <w:tcW w:type="dxa" w:w="226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Fattibile in 6-9 mesi</w:t>
            </w:r>
          </w:p>
        </w:tc>
      </w:tr>
      <w:tr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Solo Enterprise</w:t>
            </w:r>
          </w:p>
        </w:tc>
        <w:tc>
          <w:tcPr>
            <w:tcW w:type="dxa" w:w="283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28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€134.000</w:t>
            </w:r>
          </w:p>
        </w:tc>
        <w:tc>
          <w:tcPr>
            <w:tcW w:type="dxa" w:w="226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Fattibile con outbound mirato</w:t>
            </w:r>
          </w:p>
        </w:tc>
      </w:tr>
      <w:tr>
        <w:tc>
          <w:tcPr>
            <w:tcW w:type="dxa" w:w="283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Mix realistico Q1</w:t>
            </w:r>
          </w:p>
        </w:tc>
        <w:tc>
          <w:tcPr>
            <w:tcW w:type="dxa" w:w="283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40 Pro + 8 Ent + 2 Azure</w:t>
            </w:r>
          </w:p>
        </w:tc>
        <w:tc>
          <w:tcPr>
            <w:tcW w:type="dxa" w:w="198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€153.000</w:t>
            </w:r>
          </w:p>
        </w:tc>
        <w:tc>
          <w:tcPr>
            <w:tcW w:type="dxa" w:w="2268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Target piano marketing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8.4 Scenari 12 mesi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247"/>
        <w:gridCol w:w="1247"/>
        <w:gridCol w:w="1247"/>
        <w:gridCol w:w="1247"/>
        <w:gridCol w:w="1701"/>
        <w:gridCol w:w="1417"/>
      </w:tblGrid>
      <w:tr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24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Starter</w:t>
            </w:r>
          </w:p>
        </w:tc>
        <w:tc>
          <w:tcPr>
            <w:tcW w:type="dxa" w:w="124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Pro</w:t>
            </w:r>
          </w:p>
        </w:tc>
        <w:tc>
          <w:tcPr>
            <w:tcW w:type="dxa" w:w="124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Ent</w:t>
            </w:r>
          </w:p>
        </w:tc>
        <w:tc>
          <w:tcPr>
            <w:tcW w:type="dxa" w:w="124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Azure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MRR mese 12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ARR</w:t>
            </w:r>
          </w:p>
        </w:tc>
      </w:tr>
      <w:tr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Conservativo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50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30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5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€10.000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€120.000</w:t>
            </w:r>
          </w:p>
        </w:tc>
      </w:tr>
      <w:tr>
        <w:tc>
          <w:tcPr>
            <w:tcW w:type="dxa" w:w="1984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Base</w:t>
            </w:r>
          </w:p>
        </w:tc>
        <w:tc>
          <w:tcPr>
            <w:tcW w:type="dxa" w:w="124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100</w:t>
            </w:r>
          </w:p>
        </w:tc>
        <w:tc>
          <w:tcPr>
            <w:tcW w:type="dxa" w:w="124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70</w:t>
            </w:r>
          </w:p>
        </w:tc>
        <w:tc>
          <w:tcPr>
            <w:tcW w:type="dxa" w:w="124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15</w:t>
            </w:r>
          </w:p>
        </w:tc>
        <w:tc>
          <w:tcPr>
            <w:tcW w:type="dxa" w:w="124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</w:t>
            </w:r>
          </w:p>
        </w:tc>
        <w:tc>
          <w:tcPr>
            <w:tcW w:type="dxa" w:w="1701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€25.000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€300.000</w:t>
            </w:r>
          </w:p>
        </w:tc>
      </w:tr>
      <w:tr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Ambizioso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200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150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40</w:t>
            </w:r>
          </w:p>
        </w:tc>
        <w:tc>
          <w:tcPr>
            <w:tcW w:type="dxa" w:w="124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8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€58.000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€700.000</w:t>
            </w:r>
          </w:p>
        </w:tc>
      </w:tr>
    </w:tbl>
    <w:p>
      <w:pPr>
        <w:spacing w:after="120"/>
      </w:pPr>
      <w:r>
        <w:rPr>
          <w:rFonts w:ascii="Arial" w:hAnsi="Arial"/>
          <w:b w:val="0"/>
          <w:i/>
          <w:color w:val="64748B"/>
          <w:sz w:val="18"/>
        </w:rPr>
        <w:t>Lo scenario "Base" e' quello usato per la pianificazione commerciale e di tesoreria del 2026. Richiede focus Pro in Q1-Q2 e spinta Enterprise in Q3-Q4.</w:t>
      </w:r>
    </w:p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9. Go-to-Market &amp; Playbook Commerciale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9.1 Segmenti target prioritari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3118"/>
        <w:gridCol w:w="1701"/>
      </w:tblGrid>
      <w:tr>
        <w:tc>
          <w:tcPr>
            <w:tcW w:type="dxa" w:w="255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Piano tipico</w:t>
            </w:r>
          </w:p>
        </w:tc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Volume stimato IT</w:t>
            </w:r>
          </w:p>
        </w:tc>
      </w:tr>
      <w:tr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Retail &amp; E-commerce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Professional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Recupero carrello, upsell post-acquisto, nurturing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~40.000 PMI</w:t>
            </w:r>
          </w:p>
        </w:tc>
      </w:tr>
      <w:tr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Real estate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Professional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Follow-up lead, conferma appuntamenti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~12.000 studi</w:t>
            </w:r>
          </w:p>
        </w:tc>
      </w:tr>
      <w:tr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Healthcare privato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Enterprise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Conferma visite, follow-up prestazioni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~8.000 cliniche</w:t>
            </w:r>
          </w:p>
        </w:tc>
      </w:tr>
      <w:tr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Finanza / Assicurazioni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Azure Enterprise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Customer service, compliance notifications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~3.500 operatori</w:t>
            </w:r>
          </w:p>
        </w:tc>
      </w:tr>
      <w:tr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PA e Municipale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Azure Enterprise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Comunicazioni cittadini</w:t>
            </w:r>
          </w:p>
        </w:tc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~7.900 enti</w:t>
            </w:r>
          </w:p>
        </w:tc>
      </w:tr>
      <w:tr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Agenzie marketing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Enterprise white-label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Servizio ai clienti finali</w:t>
            </w:r>
          </w:p>
        </w:tc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~3.000 agenzie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9.2 Playbook commerciale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Touch 1: invio free trial via form sito (zero carta richiesta) - obiettivo 2.000 signup/trimestre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Touch 2 (giorno 3): email follow-up con case study di settore - CTR target 25%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Touch 3 (giorno 7): chiamata di onboarding 30min con sales - setup Twilio + primo template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Touch 4 (giorno 12): email reminder scadenza trial - conversion target 20%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Expansion: QBR (quarterly business review) per clienti &gt;€300/mese - up-sell Enterprise / Azure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9.3 Marketing operativo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Content hub: tutorial settimanali su casi d'uso (AI campaigns, recupero carrello, reminder)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SEO: parole chiave "whatsapp business marketing", "ai campaigns italiano", "alternative mailchimp whatsapp"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Paid: LinkedIn Ads per Enterprise, Meta Ads per PMI, Google Search per intent query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Partnership: accordo referral con 10 agenzie digitali, commissione 20% primi 12 mesi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Eventi: Web Marketing Festival, SMAU, conferenze settore retail/real estate</w:t>
      </w:r>
    </w:p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10. Roadmap Commerciale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2551"/>
        <w:gridCol w:w="1984"/>
      </w:tblGrid>
      <w:tr>
        <w:tc>
          <w:tcPr>
            <w:tcW w:type="dxa" w:w="170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Periodo</w:t>
            </w:r>
          </w:p>
        </w:tc>
        <w:tc>
          <w:tcPr>
            <w:tcW w:type="dxa" w:w="3118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Obiettivi</w:t>
            </w:r>
          </w:p>
        </w:tc>
        <w:tc>
          <w:tcPr>
            <w:tcW w:type="dxa" w:w="2551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KPI target</w:t>
            </w:r>
          </w:p>
        </w:tc>
        <w:tc>
          <w:tcPr>
            <w:tcW w:type="dxa" w:w="1984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Q1 (apr-giu)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Lancio Pro + campagne paid IT</w:t>
            </w:r>
          </w:p>
        </w:tc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30 Pro, 5 Ent, 5K signup trial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Sales + Marketing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Q2 (lug-set)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Programma partner agenzie</w:t>
            </w:r>
          </w:p>
        </w:tc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+20 Pro, +5 Ent, 10 agenzie attive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Sales + Partnership</w:t>
            </w:r>
          </w:p>
        </w:tc>
      </w:tr>
      <w:tr>
        <w:tc>
          <w:tcPr>
            <w:tcW w:type="dxa" w:w="170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Q3 (ott-dic)</w:t>
            </w:r>
          </w:p>
        </w:tc>
        <w:tc>
          <w:tcPr>
            <w:tcW w:type="dxa" w:w="3118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Lancio Azure Enterprise</w:t>
            </w:r>
          </w:p>
        </w:tc>
        <w:tc>
          <w:tcPr>
            <w:tcW w:type="dxa" w:w="2551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3 Azure tenant attivi</w:t>
            </w:r>
          </w:p>
        </w:tc>
        <w:tc>
          <w:tcPr>
            <w:tcW w:type="dxa" w:w="1984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Enterprise Sales</w:t>
            </w:r>
          </w:p>
        </w:tc>
      </w:tr>
      <w:tr>
        <w:tc>
          <w:tcPr>
            <w:tcW w:type="dxa" w:w="170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Q4 (gen-mar 2027)</w:t>
            </w:r>
          </w:p>
        </w:tc>
        <w:tc>
          <w:tcPr>
            <w:tcW w:type="dxa" w:w="3118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Espansione Spagna/Germania</w:t>
            </w:r>
          </w:p>
        </w:tc>
        <w:tc>
          <w:tcPr>
            <w:tcW w:type="dxa" w:w="2551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First 10 clienti esteri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B2A4A"/>
                <w:sz w:val="20"/>
              </w:rPr>
              <w:t>International</w:t>
            </w:r>
          </w:p>
        </w:tc>
      </w:tr>
    </w:tbl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10.1 Budget marketing trimestre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1417"/>
        <w:gridCol w:w="1417"/>
        <w:gridCol w:w="1417"/>
        <w:gridCol w:w="1417"/>
      </w:tblGrid>
      <w:tr>
        <w:tc>
          <w:tcPr>
            <w:tcW w:type="dxa" w:w="3685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Voce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Budget Q1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Budget Q2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Budget Q3</w:t>
            </w:r>
          </w:p>
        </w:tc>
        <w:tc>
          <w:tcPr>
            <w:tcW w:type="dxa" w:w="1417"/>
            <w:shd w:val="clear" w:color="auto" w:fill="1B2A4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Budget Q4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Paid ads (Google + Meta + LinkedIn)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€8.000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€12.000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€15.000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€18.000</w:t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Content / SEO (freelance + tools)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€3.000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€3.500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€4.000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€4.000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Eventi + fiere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€6.000</w:t>
            </w:r>
          </w:p>
        </w:tc>
      </w:tr>
      <w:tr>
        <w:tc>
          <w:tcPr>
            <w:tcW w:type="dxa" w:w="3685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Partnership / referral bonus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€1.500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€3.000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€4.000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€5.000</w:t>
            </w:r>
          </w:p>
        </w:tc>
      </w:tr>
      <w:tr>
        <w:tc>
          <w:tcPr>
            <w:tcW w:type="dxa" w:w="3685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Sales Enterprise outbound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€8.000</w:t>
            </w:r>
          </w:p>
        </w:tc>
        <w:tc>
          <w:tcPr>
            <w:tcW w:type="dxa" w:w="1417"/>
            <w:shd w:val="clear" w:color="auto" w:fill="F8FAFC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€10.000</w:t>
            </w:r>
          </w:p>
        </w:tc>
      </w:tr>
      <w:tr>
        <w:tc>
          <w:tcPr>
            <w:tcW w:type="dxa" w:w="3685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B2A4A"/>
                <w:sz w:val="20"/>
              </w:rPr>
              <w:t>TOTALE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€16.500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€27.500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€35.000</w:t>
            </w:r>
          </w:p>
        </w:tc>
        <w:tc>
          <w:tcPr>
            <w:tcW w:type="dxa" w:w="1417"/>
            <w:shd w:val="clear" w:color="auto" w:fill="F0FDFA"/>
            <w:tcMar>
              <w:top w:w="80" w:type="dxa"/>
              <w:right w:w="120" w:type="dxa"/>
              <w:bottom w:w="80" w:type="dxa"/>
              <w:left w:w="12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B2A4A"/>
                <w:sz w:val="20"/>
              </w:rPr>
              <w:t>€43.000</w:t>
            </w:r>
          </w:p>
        </w:tc>
      </w:tr>
    </w:tbl>
    <w:p>
      <w:r>
        <w:br w:type="page"/>
      </w:r>
    </w:p>
    <w:p>
      <w:pPr>
        <w:spacing w:before="360" w:after="120"/>
        <w:outlineLvl w:val="0"/>
      </w:pPr>
      <w:r>
        <w:rPr>
          <w:rFonts w:ascii="Arial" w:hAnsi="Arial"/>
          <w:b/>
          <w:color w:val="1B2A4A"/>
          <w:sz w:val="40"/>
        </w:rPr>
        <w:t>11. Appendice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A. Glossario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BYOK - Bring Your Own Key. L'utente fornisce la sua API key Anthropic, paga Anthropic direttamente, Wamply non conteggia crediti.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Credito AI - Unita' di misura dell'uso AI sulla piattaforma. 1 credito ~ $0,026 di costo Anthropic medio.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Routing silente - Logica automatica che sceglie il modello Claude ottimale (Sonnet/Opus/Haiku) per ogni operazione. Invisibile all'utente.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Top-up - Pacchetto di crediti one-shot acquistabile on demand, valido 12 mesi.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CAC - Customer Acquisition Cost. Costo medio per acquisire un nuovo cliente pagante.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LTV - Lifetime Value. Revenue totale attesa da un cliente nell'intera durata della relazione.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ARR - Annual Recurring Revenue. Revenue ricorrente annualizzata dei clienti attivi.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MRR - Monthly Recurring Revenue. Revenue ricorrente mensile.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B. Contatti &amp; escalation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Per domande tecniche, contratti, proposte commerciali personalizzate e casi Azure Enterprise:</w:t>
      </w:r>
    </w:p>
    <w:p>
      <w:pPr>
        <w:spacing w:after="120"/>
      </w:pPr>
      <w:r>
        <w:rPr>
          <w:rFonts w:ascii="Arial" w:hAnsi="Arial"/>
          <w:b/>
          <w:i w:val="0"/>
          <w:color w:val="1B2A4A"/>
          <w:sz w:val="20"/>
        </w:rPr>
        <w:t>Email commerciale: admin@agentengineering.it</w:t>
      </w:r>
    </w:p>
    <w:p>
      <w:pPr>
        <w:spacing w:after="120"/>
      </w:pPr>
      <w:r>
        <w:rPr>
          <w:rFonts w:ascii="Arial" w:hAnsi="Arial"/>
          <w:b w:val="0"/>
          <w:i w:val="0"/>
          <w:color w:val="1B2A4A"/>
          <w:sz w:val="20"/>
        </w:rPr>
        <w:t>Website: www.agentengineering.it</w:t>
      </w:r>
    </w:p>
    <w:p>
      <w:pPr>
        <w:spacing w:after="120"/>
      </w:pPr>
      <w:r>
        <w:rPr>
          <w:rFonts w:ascii="Arial" w:hAnsi="Arial"/>
          <w:b w:val="0"/>
          <w:i/>
          <w:color w:val="1B2A4A"/>
          <w:sz w:val="20"/>
        </w:rPr>
        <w:t>Prodotto: www.wamply.com</w:t>
      </w:r>
    </w:p>
    <w:p>
      <w:pPr>
        <w:spacing w:before="240" w:after="120"/>
        <w:outlineLvl w:val="1"/>
      </w:pPr>
      <w:r>
        <w:rPr>
          <w:rFonts w:ascii="Arial" w:hAnsi="Arial"/>
          <w:b/>
          <w:color w:val="1B2A4A"/>
          <w:sz w:val="28"/>
        </w:rPr>
        <w:t>C. Note metodologiche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Tutti i dati economici sono in Euro salvo diversa indicazione.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Cambio USD/EUR usato: 0,92 (aprile 2026).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I costi Anthropic sono stimati sul pricing API standard aprile 2026 con mix d'uso tipico.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I costi Twilio WhatsApp sono pass-through al cliente e non inclusi nei margini Wamply.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Le percentuali di conversione e retention sono benchmark SaaS B2B, da validare nei primi 3-6 mesi.</w:t>
      </w:r>
    </w:p>
    <w:p>
      <w:pPr>
        <w:pStyle w:val="ListBullet"/>
        <w:spacing w:after="60"/>
      </w:pPr>
      <w:r>
        <w:rPr>
          <w:rFonts w:ascii="Arial" w:hAnsi="Arial"/>
          <w:color w:val="1B2A4A"/>
          <w:sz w:val="20"/>
        </w:rPr>
        <w:t>Il budget marketing e' soggetto a revisione trimestrale in base ai KPI di acquisizione.</w:t>
      </w:r>
    </w:p>
    <w:p>
      <w:pPr>
        <w:pBdr>
          <w:bottom w:val="single" w:sz="12" w:space="1" w:color="0D9488"/>
        </w:pBdr>
      </w:pPr>
    </w:p>
    <w:p>
      <w:pPr>
        <w:spacing w:before="600"/>
        <w:jc w:val="center"/>
      </w:pPr>
      <w:r>
        <w:rPr>
          <w:rFonts w:ascii="Arial" w:hAnsi="Arial"/>
          <w:i/>
          <w:color w:val="64748B"/>
          <w:sz w:val="20"/>
        </w:rPr>
        <w:t>Fine documento</w:t>
      </w:r>
    </w:p>
    <w:p>
      <w:pPr>
        <w:spacing w:before="120"/>
        <w:jc w:val="center"/>
      </w:pPr>
      <w:r>
        <w:rPr>
          <w:rFonts w:ascii="Arial" w:hAnsi="Arial"/>
          <w:color w:val="0D9488"/>
          <w:sz w:val="18"/>
        </w:rPr>
        <w:t>Wamply  Business Case v1.0  21 aprile 2026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 xml:space="preserve">Wamply Business Case  ·  Confidenziale  ·  Uso interno team Sales &amp; Marketing  ·  </w:t>
    </w:r>
    <w:r>
      <w:rPr>
        <w:rFonts w:ascii="Arial" w:hAnsi="Arial"/>
        <w:color w:val="64748B"/>
        <w:sz w:val="16"/>
      </w:rPr>
      <w:t xml:space="preserve">Pag.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