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Verifiable Governance for AI Agents: The 4M+1 Framework as Enterprise Architecture</w:t>
      </w:r>
    </w:p>
    <w:p>
      <w:pPr>
        <w:jc w:val="center"/>
      </w:pPr>
      <w:r>
        <w:rPr>
          <w:i/>
          <w:sz w:val="20"/>
        </w:rPr>
        <w:t>Working draft — appendices G, H, I (paper 1 of series) — 2026-05-04</w:t>
      </w:r>
    </w:p>
    <w:p/>
    <w:p>
      <w:r>
        <w:rPr>
          <w:b w:val="0"/>
          <w:i/>
          <w:sz w:val="22"/>
        </w:rPr>
        <w:t>This document carries the three concrete-content appendices for paper 1 — the naming map and the benchmark scaffolding. The body of the paper describes the framework, architecture, and verification chain in abstract terms; this appendix layer makes the abstract terms cross-referenceable to a specific reference implementation, and reserves the structure for industry- and internally-measured benchmarks that subsequent versioned releases will populate. v1 of this paper publishes with placeholders; subsequent DOIs are minted as values fill in.</w:t>
      </w:r>
    </w:p>
    <w:p>
      <w:r>
        <w:br w:type="page"/>
      </w:r>
    </w:p>
    <w:p>
      <w:pPr>
        <w:pStyle w:val="Heading1"/>
      </w:pPr>
      <w:r>
        <w:rPr>
          <w:color w:val="000000"/>
        </w:rPr>
        <w:t>Appendix G — Reference Implementation Naming and Mapping</w:t>
      </w:r>
    </w:p>
    <w:p>
      <w:r>
        <w:rPr>
          <w:b w:val="0"/>
          <w:i w:val="0"/>
          <w:sz w:val="22"/>
        </w:rPr>
        <w:t>The body of this paper describes the framework, the architecture, and the verification chain in abstract terms. This appendix maps every abstract term used in the paper to the concrete name and artefact in the reference implementation maintained by the authors. Independent implementations of the 4M+1 framework are expected; the abstract names in the paper body are the canonical ones. The names in this appendix identify a specific reference implementation suitable for the case-study and benchmark appendices that follow.</w:t>
      </w:r>
    </w:p>
    <w:p/>
    <w:p>
      <w:pPr>
        <w:pStyle w:val="Heading2"/>
      </w:pPr>
      <w:r>
        <w:rPr>
          <w:color w:val="000000"/>
        </w:rPr>
        <w:t>G.1 Term Mapping</w:t>
      </w:r>
    </w:p>
    <w:tbl>
      <w:tblPr>
        <w:tblStyle w:val="LightGrid-Accent1"/>
        <w:tblW w:type="auto" w:w="0"/>
        <w:jc w:val="left"/>
        <w:tblLayout w:type="autofit"/>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Paper-body abstract term</w:t>
            </w:r>
          </w:p>
        </w:tc>
        <w:tc>
          <w:tcPr>
            <w:tcW w:type="dxa" w:w="2160"/>
            <w:shd w:val="clear" w:color="auto" w:fill="D9E2F3"/>
          </w:tcPr>
          <w:p>
            <w:r/>
            <w:r>
              <w:rPr>
                <w:b/>
                <w:sz w:val="20"/>
              </w:rPr>
              <w:t>Reference-implementation name</w:t>
            </w:r>
          </w:p>
        </w:tc>
        <w:tc>
          <w:tcPr>
            <w:tcW w:type="dxa" w:w="2160"/>
            <w:shd w:val="clear" w:color="auto" w:fill="D9E2F3"/>
          </w:tcPr>
          <w:p>
            <w:r/>
            <w:r>
              <w:rPr>
                <w:b/>
                <w:sz w:val="20"/>
              </w:rPr>
              <w:t>Type</w:t>
            </w:r>
          </w:p>
        </w:tc>
        <w:tc>
          <w:tcPr>
            <w:tcW w:type="dxa" w:w="2160"/>
            <w:shd w:val="clear" w:color="auto" w:fill="D9E2F3"/>
          </w:tcPr>
          <w:p>
            <w:r/>
            <w:r>
              <w:rPr>
                <w:b/>
                <w:sz w:val="20"/>
              </w:rPr>
              <w:t>Notes</w:t>
            </w:r>
          </w:p>
        </w:tc>
      </w:tr>
      <w:tr>
        <w:tc>
          <w:tcPr>
            <w:tcW w:type="dxa" w:w="2160"/>
          </w:tcPr>
          <w:p>
            <w:r/>
            <w:r>
              <w:rPr>
                <w:sz w:val="20"/>
              </w:rPr>
              <w:t>The 4M+1 framework</w:t>
            </w:r>
          </w:p>
        </w:tc>
        <w:tc>
          <w:tcPr>
            <w:tcW w:type="dxa" w:w="2160"/>
          </w:tcPr>
          <w:p>
            <w:r/>
            <w:r>
              <w:rPr>
                <w:sz w:val="20"/>
              </w:rPr>
              <w:t>4M+1</w:t>
            </w:r>
          </w:p>
        </w:tc>
        <w:tc>
          <w:tcPr>
            <w:tcW w:type="dxa" w:w="2160"/>
          </w:tcPr>
          <w:p>
            <w:r/>
            <w:r>
              <w:rPr>
                <w:sz w:val="20"/>
              </w:rPr>
              <w:t>Framework name</w:t>
            </w:r>
          </w:p>
        </w:tc>
        <w:tc>
          <w:tcPr>
            <w:tcW w:type="dxa" w:w="2160"/>
          </w:tcPr>
          <w:p>
            <w:r/>
            <w:r>
              <w:rPr>
                <w:sz w:val="20"/>
              </w:rPr>
              <w:t>Identical — 4M+1 is the contribution name, not internal-only</w:t>
            </w:r>
          </w:p>
        </w:tc>
      </w:tr>
      <w:tr>
        <w:tc>
          <w:tcPr>
            <w:tcW w:type="dxa" w:w="2160"/>
          </w:tcPr>
          <w:p>
            <w:r/>
            <w:r>
              <w:rPr>
                <w:sz w:val="20"/>
              </w:rPr>
              <w:t>The canonical entry-point file</w:t>
            </w:r>
          </w:p>
        </w:tc>
        <w:tc>
          <w:tcPr>
            <w:tcW w:type="dxa" w:w="2160"/>
          </w:tcPr>
          <w:p>
            <w:r/>
            <w:r>
              <w:rPr>
                <w:sz w:val="20"/>
              </w:rPr>
              <w:t>maestro.md</w:t>
            </w:r>
          </w:p>
        </w:tc>
        <w:tc>
          <w:tcPr>
            <w:tcW w:type="dxa" w:w="2160"/>
          </w:tcPr>
          <w:p>
            <w:r/>
            <w:r>
              <w:rPr>
                <w:sz w:val="20"/>
              </w:rPr>
              <w:t>File</w:t>
            </w:r>
          </w:p>
        </w:tc>
        <w:tc>
          <w:tcPr>
            <w:tcW w:type="dxa" w:w="2160"/>
          </w:tcPr>
          <w:p>
            <w:r/>
            <w:r>
              <w:rPr>
                <w:sz w:val="20"/>
              </w:rPr>
              <w:t>Markdown with YAML frontmatter; harness-agnostic</w:t>
            </w:r>
          </w:p>
        </w:tc>
      </w:tr>
      <w:tr>
        <w:tc>
          <w:tcPr>
            <w:tcW w:type="dxa" w:w="2160"/>
          </w:tcPr>
          <w:p>
            <w:r/>
            <w:r>
              <w:rPr>
                <w:sz w:val="20"/>
              </w:rPr>
              <w:t>The governance plane / orchestrator process</w:t>
            </w:r>
          </w:p>
        </w:tc>
        <w:tc>
          <w:tcPr>
            <w:tcW w:type="dxa" w:w="2160"/>
          </w:tcPr>
          <w:p>
            <w:r/>
            <w:r>
              <w:rPr>
                <w:sz w:val="20"/>
              </w:rPr>
              <w:t>omaestro</w:t>
            </w:r>
          </w:p>
        </w:tc>
        <w:tc>
          <w:tcPr>
            <w:tcW w:type="dxa" w:w="2160"/>
          </w:tcPr>
          <w:p>
            <w:r/>
            <w:r>
              <w:rPr>
                <w:sz w:val="20"/>
              </w:rPr>
              <w:t>Repository / process</w:t>
            </w:r>
          </w:p>
        </w:tc>
        <w:tc>
          <w:tcPr>
            <w:tcW w:type="dxa" w:w="2160"/>
          </w:tcPr>
          <w:p>
            <w:r/>
            <w:r>
              <w:rPr>
                <w:sz w:val="20"/>
              </w:rPr>
              <w:t>agent-harness-engineering/omaestro</w:t>
            </w:r>
          </w:p>
        </w:tc>
      </w:tr>
      <w:tr>
        <w:tc>
          <w:tcPr>
            <w:tcW w:type="dxa" w:w="2160"/>
          </w:tcPr>
          <w:p>
            <w:r/>
            <w:r>
              <w:rPr>
                <w:sz w:val="20"/>
              </w:rPr>
              <w:t>The security peer agent</w:t>
            </w:r>
          </w:p>
        </w:tc>
        <w:tc>
          <w:tcPr>
            <w:tcW w:type="dxa" w:w="2160"/>
          </w:tcPr>
          <w:p>
            <w:r/>
            <w:r>
              <w:rPr>
                <w:sz w:val="20"/>
              </w:rPr>
              <w:t>sec-agent</w:t>
            </w:r>
          </w:p>
        </w:tc>
        <w:tc>
          <w:tcPr>
            <w:tcW w:type="dxa" w:w="2160"/>
          </w:tcPr>
          <w:p>
            <w:r/>
            <w:r>
              <w:rPr>
                <w:sz w:val="20"/>
              </w:rPr>
              <w:t>Repository / process</w:t>
            </w:r>
          </w:p>
        </w:tc>
        <w:tc>
          <w:tcPr>
            <w:tcW w:type="dxa" w:w="2160"/>
          </w:tcPr>
          <w:p>
            <w:r/>
            <w:r>
              <w:rPr>
                <w:sz w:val="20"/>
              </w:rPr>
              <w:t>agent-harness-engineering/sec-agent — separate sidecar via gRPC over Unix socket</w:t>
            </w:r>
          </w:p>
        </w:tc>
      </w:tr>
      <w:tr>
        <w:tc>
          <w:tcPr>
            <w:tcW w:type="dxa" w:w="2160"/>
          </w:tcPr>
          <w:p>
            <w:r/>
            <w:r>
              <w:rPr>
                <w:sz w:val="20"/>
              </w:rPr>
              <w:t>The quality peer agent</w:t>
            </w:r>
          </w:p>
        </w:tc>
        <w:tc>
          <w:tcPr>
            <w:tcW w:type="dxa" w:w="2160"/>
          </w:tcPr>
          <w:p>
            <w:r/>
            <w:r>
              <w:rPr>
                <w:sz w:val="20"/>
              </w:rPr>
              <w:t>qa-agent</w:t>
            </w:r>
          </w:p>
        </w:tc>
        <w:tc>
          <w:tcPr>
            <w:tcW w:type="dxa" w:w="2160"/>
          </w:tcPr>
          <w:p>
            <w:r/>
            <w:r>
              <w:rPr>
                <w:sz w:val="20"/>
              </w:rPr>
              <w:t>Repository / process</w:t>
            </w:r>
          </w:p>
        </w:tc>
        <w:tc>
          <w:tcPr>
            <w:tcW w:type="dxa" w:w="2160"/>
          </w:tcPr>
          <w:p>
            <w:r/>
            <w:r>
              <w:rPr>
                <w:sz w:val="20"/>
              </w:rPr>
              <w:t>agent-harness-engineering/qa-agent (planned; ologos-ai's qa-agent/agent.py seeds v1)</w:t>
            </w:r>
          </w:p>
        </w:tc>
      </w:tr>
      <w:tr>
        <w:tc>
          <w:tcPr>
            <w:tcW w:type="dxa" w:w="2160"/>
          </w:tcPr>
          <w:p>
            <w:r/>
            <w:r>
              <w:rPr>
                <w:sz w:val="20"/>
              </w:rPr>
              <w:t>A predecessor 4M-tradition harness (lineage analysis)</w:t>
            </w:r>
          </w:p>
        </w:tc>
        <w:tc>
          <w:tcPr>
            <w:tcW w:type="dxa" w:w="2160"/>
          </w:tcPr>
          <w:p>
            <w:r/>
            <w:r>
              <w:rPr>
                <w:sz w:val="20"/>
              </w:rPr>
              <w:t>ThinxS</w:t>
            </w:r>
          </w:p>
        </w:tc>
        <w:tc>
          <w:tcPr>
            <w:tcW w:type="dxa" w:w="2160"/>
          </w:tcPr>
          <w:p>
            <w:r/>
            <w:r>
              <w:rPr>
                <w:sz w:val="20"/>
              </w:rPr>
              <w:t>Repository</w:t>
            </w:r>
          </w:p>
        </w:tc>
        <w:tc>
          <w:tcPr>
            <w:tcW w:type="dxa" w:w="2160"/>
          </w:tcPr>
          <w:p>
            <w:r/>
            <w:r>
              <w:rPr>
                <w:sz w:val="20"/>
              </w:rPr>
              <w:t>agent-harness-engineering/ThinxS — primary 4M development repo</w:t>
            </w:r>
          </w:p>
        </w:tc>
      </w:tr>
      <w:tr>
        <w:tc>
          <w:tcPr>
            <w:tcW w:type="dxa" w:w="2160"/>
          </w:tcPr>
          <w:p>
            <w:r/>
            <w:r>
              <w:rPr>
                <w:sz w:val="20"/>
              </w:rPr>
              <w:t>The reference deployment / operator system</w:t>
            </w:r>
          </w:p>
        </w:tc>
        <w:tc>
          <w:tcPr>
            <w:tcW w:type="dxa" w:w="2160"/>
          </w:tcPr>
          <w:p>
            <w:r/>
            <w:r>
              <w:rPr>
                <w:sz w:val="20"/>
              </w:rPr>
              <w:t>ologos-ai</w:t>
            </w:r>
          </w:p>
        </w:tc>
        <w:tc>
          <w:tcPr>
            <w:tcW w:type="dxa" w:w="2160"/>
          </w:tcPr>
          <w:p>
            <w:r/>
            <w:r>
              <w:rPr>
                <w:sz w:val="20"/>
              </w:rPr>
              <w:t>Repository / deployment</w:t>
            </w:r>
          </w:p>
        </w:tc>
        <w:tc>
          <w:tcPr>
            <w:tcW w:type="dxa" w:w="2160"/>
          </w:tcPr>
          <w:p>
            <w:r/>
            <w:r>
              <w:rPr>
                <w:sz w:val="20"/>
              </w:rPr>
              <w:t>ologos-corp/ologos-ai — reference deployment exemplar</w:t>
            </w:r>
          </w:p>
        </w:tc>
      </w:tr>
      <w:tr>
        <w:tc>
          <w:tcPr>
            <w:tcW w:type="dxa" w:w="2160"/>
          </w:tcPr>
          <w:p>
            <w:r/>
            <w:r>
              <w:rPr>
                <w:sz w:val="20"/>
              </w:rPr>
              <w:t>The Claude Code-shaped harness stub</w:t>
            </w:r>
          </w:p>
        </w:tc>
        <w:tc>
          <w:tcPr>
            <w:tcW w:type="dxa" w:w="2160"/>
          </w:tcPr>
          <w:p>
            <w:r/>
            <w:r>
              <w:rPr>
                <w:sz w:val="20"/>
              </w:rPr>
              <w:t>CLAUDE.md</w:t>
            </w:r>
          </w:p>
        </w:tc>
        <w:tc>
          <w:tcPr>
            <w:tcW w:type="dxa" w:w="2160"/>
          </w:tcPr>
          <w:p>
            <w:r/>
            <w:r>
              <w:rPr>
                <w:sz w:val="20"/>
              </w:rPr>
              <w:t>File</w:t>
            </w:r>
          </w:p>
        </w:tc>
        <w:tc>
          <w:tcPr>
            <w:tcW w:type="dxa" w:w="2160"/>
          </w:tcPr>
          <w:p>
            <w:r/>
            <w:r>
              <w:rPr>
                <w:sz w:val="20"/>
              </w:rPr>
              <w:t>One line: @maestro.md — Means-adapter file, not a framework component</w:t>
            </w:r>
          </w:p>
        </w:tc>
      </w:tr>
      <w:tr>
        <w:tc>
          <w:tcPr>
            <w:tcW w:type="dxa" w:w="2160"/>
          </w:tcPr>
          <w:p>
            <w:r/>
            <w:r>
              <w:rPr>
                <w:sz w:val="20"/>
              </w:rPr>
              <w:t>The cross-tool standard harness stub</w:t>
            </w:r>
          </w:p>
        </w:tc>
        <w:tc>
          <w:tcPr>
            <w:tcW w:type="dxa" w:w="2160"/>
          </w:tcPr>
          <w:p>
            <w:r/>
            <w:r>
              <w:rPr>
                <w:sz w:val="20"/>
              </w:rPr>
              <w:t>AGENTS.md</w:t>
            </w:r>
          </w:p>
        </w:tc>
        <w:tc>
          <w:tcPr>
            <w:tcW w:type="dxa" w:w="2160"/>
          </w:tcPr>
          <w:p>
            <w:r/>
            <w:r>
              <w:rPr>
                <w:sz w:val="20"/>
              </w:rPr>
              <w:t>File</w:t>
            </w:r>
          </w:p>
        </w:tc>
        <w:tc>
          <w:tcPr>
            <w:tcW w:type="dxa" w:w="2160"/>
          </w:tcPr>
          <w:p>
            <w:r/>
            <w:r>
              <w:rPr>
                <w:sz w:val="20"/>
              </w:rPr>
              <w:t>Brief markdown pointer to maestro.md — public AGENTS.md convention</w:t>
            </w:r>
          </w:p>
        </w:tc>
      </w:tr>
      <w:tr>
        <w:tc>
          <w:tcPr>
            <w:tcW w:type="dxa" w:w="2160"/>
          </w:tcPr>
          <w:p>
            <w:r/>
            <w:r>
              <w:rPr>
                <w:sz w:val="20"/>
              </w:rPr>
              <w:t>The five governance / Means module files</w:t>
            </w:r>
          </w:p>
        </w:tc>
        <w:tc>
          <w:tcPr>
            <w:tcW w:type="dxa" w:w="2160"/>
          </w:tcPr>
          <w:p>
            <w:r/>
            <w:r>
              <w:rPr>
                <w:sz w:val="20"/>
              </w:rPr>
              <w:t>mission.md / mind.md / morals.md / memory.md / means.md</w:t>
            </w:r>
          </w:p>
        </w:tc>
        <w:tc>
          <w:tcPr>
            <w:tcW w:type="dxa" w:w="2160"/>
          </w:tcPr>
          <w:p>
            <w:r/>
            <w:r>
              <w:rPr>
                <w:sz w:val="20"/>
              </w:rPr>
              <w:t>Files</w:t>
            </w:r>
          </w:p>
        </w:tc>
        <w:tc>
          <w:tcPr>
            <w:tcW w:type="dxa" w:w="2160"/>
          </w:tcPr>
          <w:p>
            <w:r/>
            <w:r>
              <w:rPr>
                <w:sz w:val="20"/>
              </w:rPr>
              <w:t>At repo root, peer-organized</w:t>
            </w:r>
          </w:p>
        </w:tc>
      </w:tr>
      <w:tr>
        <w:tc>
          <w:tcPr>
            <w:tcW w:type="dxa" w:w="2160"/>
          </w:tcPr>
          <w:p>
            <w:r/>
            <w:r>
              <w:rPr>
                <w:sz w:val="20"/>
              </w:rPr>
              <w:t>The Means adapter for Claude Code</w:t>
            </w:r>
          </w:p>
        </w:tc>
        <w:tc>
          <w:tcPr>
            <w:tcW w:type="dxa" w:w="2160"/>
          </w:tcPr>
          <w:p>
            <w:r/>
            <w:r>
              <w:rPr>
                <w:sz w:val="20"/>
              </w:rPr>
              <w:t>adapters/claude-code.md</w:t>
            </w:r>
          </w:p>
        </w:tc>
        <w:tc>
          <w:tcPr>
            <w:tcW w:type="dxa" w:w="2160"/>
          </w:tcPr>
          <w:p>
            <w:r/>
            <w:r>
              <w:rPr>
                <w:sz w:val="20"/>
              </w:rPr>
              <w:t>File</w:t>
            </w:r>
          </w:p>
        </w:tc>
        <w:tc>
          <w:tcPr>
            <w:tcW w:type="dxa" w:w="2160"/>
          </w:tcPr>
          <w:p>
            <w:r/>
            <w:r>
              <w:rPr>
                <w:sz w:val="20"/>
              </w:rPr>
              <w:t>Per-harness adapter; declares supports_modes + adapter identity</w:t>
            </w:r>
          </w:p>
        </w:tc>
      </w:tr>
      <w:tr>
        <w:tc>
          <w:tcPr>
            <w:tcW w:type="dxa" w:w="2160"/>
          </w:tcPr>
          <w:p>
            <w:r/>
            <w:r>
              <w:rPr>
                <w:sz w:val="20"/>
              </w:rPr>
              <w:t>The provider abstraction registry</w:t>
            </w:r>
          </w:p>
        </w:tc>
        <w:tc>
          <w:tcPr>
            <w:tcW w:type="dxa" w:w="2160"/>
          </w:tcPr>
          <w:p>
            <w:r/>
            <w:r>
              <w:rPr>
                <w:sz w:val="20"/>
              </w:rPr>
              <w:t>profiles.yaml</w:t>
            </w:r>
          </w:p>
        </w:tc>
        <w:tc>
          <w:tcPr>
            <w:tcW w:type="dxa" w:w="2160"/>
          </w:tcPr>
          <w:p>
            <w:r/>
            <w:r>
              <w:rPr>
                <w:sz w:val="20"/>
              </w:rPr>
              <w:t>File</w:t>
            </w:r>
          </w:p>
        </w:tc>
        <w:tc>
          <w:tcPr>
            <w:tcW w:type="dxa" w:w="2160"/>
          </w:tcPr>
          <w:p>
            <w:r/>
            <w:r>
              <w:rPr>
                <w:sz w:val="20"/>
              </w:rPr>
              <w:t>Sibling to maestro.md; required for model_mode types single and multi</w:t>
            </w:r>
          </w:p>
        </w:tc>
      </w:tr>
      <w:tr>
        <w:tc>
          <w:tcPr>
            <w:tcW w:type="dxa" w:w="2160"/>
          </w:tcPr>
          <w:p>
            <w:r/>
            <w:r>
              <w:rPr>
                <w:sz w:val="20"/>
              </w:rPr>
              <w:t>The multi-mode routing rules</w:t>
            </w:r>
          </w:p>
        </w:tc>
        <w:tc>
          <w:tcPr>
            <w:tcW w:type="dxa" w:w="2160"/>
          </w:tcPr>
          <w:p>
            <w:r/>
            <w:r>
              <w:rPr>
                <w:sz w:val="20"/>
              </w:rPr>
              <w:t>routers.yaml</w:t>
            </w:r>
          </w:p>
        </w:tc>
        <w:tc>
          <w:tcPr>
            <w:tcW w:type="dxa" w:w="2160"/>
          </w:tcPr>
          <w:p>
            <w:r/>
            <w:r>
              <w:rPr>
                <w:sz w:val="20"/>
              </w:rPr>
              <w:t>File</w:t>
            </w:r>
          </w:p>
        </w:tc>
        <w:tc>
          <w:tcPr>
            <w:tcW w:type="dxa" w:w="2160"/>
          </w:tcPr>
          <w:p>
            <w:r/>
            <w:r>
              <w:rPr>
                <w:sz w:val="20"/>
              </w:rPr>
              <w:t>Sibling to maestro.md; required for model_mode type multi (v1.x)</w:t>
            </w:r>
          </w:p>
        </w:tc>
      </w:tr>
      <w:tr>
        <w:tc>
          <w:tcPr>
            <w:tcW w:type="dxa" w:w="2160"/>
          </w:tcPr>
          <w:p>
            <w:r/>
            <w:r>
              <w:rPr>
                <w:sz w:val="20"/>
              </w:rPr>
              <w:t>The governance ledger (Stream A)</w:t>
            </w:r>
          </w:p>
        </w:tc>
        <w:tc>
          <w:tcPr>
            <w:tcW w:type="dxa" w:w="2160"/>
          </w:tcPr>
          <w:p>
            <w:r/>
            <w:r>
              <w:rPr>
                <w:sz w:val="20"/>
              </w:rPr>
              <w:t>audit/governance.jsonl</w:t>
            </w:r>
          </w:p>
        </w:tc>
        <w:tc>
          <w:tcPr>
            <w:tcW w:type="dxa" w:w="2160"/>
          </w:tcPr>
          <w:p>
            <w:r/>
            <w:r>
              <w:rPr>
                <w:sz w:val="20"/>
              </w:rPr>
              <w:t>Append-only file</w:t>
            </w:r>
          </w:p>
        </w:tc>
        <w:tc>
          <w:tcPr>
            <w:tcW w:type="dxa" w:w="2160"/>
          </w:tcPr>
          <w:p>
            <w:r/>
            <w:r>
              <w:rPr>
                <w:sz w:val="20"/>
              </w:rPr>
              <w:t>File-level schema-versioned; tamper-evident; run-finalized at exit</w:t>
            </w:r>
          </w:p>
        </w:tc>
      </w:tr>
      <w:tr>
        <w:tc>
          <w:tcPr>
            <w:tcW w:type="dxa" w:w="2160"/>
          </w:tcPr>
          <w:p>
            <w:r/>
            <w:r>
              <w:rPr>
                <w:sz w:val="20"/>
              </w:rPr>
              <w:t>The operational trace (Stream B)</w:t>
            </w:r>
          </w:p>
        </w:tc>
        <w:tc>
          <w:tcPr>
            <w:tcW w:type="dxa" w:w="2160"/>
          </w:tcPr>
          <w:p>
            <w:r/>
            <w:r>
              <w:rPr>
                <w:sz w:val="20"/>
              </w:rPr>
              <w:t>OTel spans via OTLP</w:t>
            </w:r>
          </w:p>
        </w:tc>
        <w:tc>
          <w:tcPr>
            <w:tcW w:type="dxa" w:w="2160"/>
          </w:tcPr>
          <w:p>
            <w:r/>
            <w:r>
              <w:rPr>
                <w:sz w:val="20"/>
              </w:rPr>
              <w:t>Wire stream</w:t>
            </w:r>
          </w:p>
        </w:tc>
        <w:tc>
          <w:tcPr>
            <w:tcW w:type="dxa" w:w="2160"/>
          </w:tcPr>
          <w:p>
            <w:r/>
            <w:r>
              <w:rPr>
                <w:sz w:val="20"/>
              </w:rPr>
              <w:t>Default exporter: Arize Phoenix self-hosted</w:t>
            </w:r>
          </w:p>
        </w:tc>
      </w:tr>
      <w:tr>
        <w:tc>
          <w:tcPr>
            <w:tcW w:type="dxa" w:w="2160"/>
          </w:tcPr>
          <w:p>
            <w:r/>
            <w:r>
              <w:rPr>
                <w:sz w:val="20"/>
              </w:rPr>
              <w:t>The wire protocol</w:t>
            </w:r>
          </w:p>
        </w:tc>
        <w:tc>
          <w:tcPr>
            <w:tcW w:type="dxa" w:w="2160"/>
          </w:tcPr>
          <w:p>
            <w:r/>
            <w:r>
              <w:rPr>
                <w:sz w:val="20"/>
              </w:rPr>
              <w:t>stdio JSON-RPC on FDs 3/4</w:t>
            </w:r>
          </w:p>
        </w:tc>
        <w:tc>
          <w:tcPr>
            <w:tcW w:type="dxa" w:w="2160"/>
          </w:tcPr>
          <w:p>
            <w:r/>
            <w:r>
              <w:rPr>
                <w:sz w:val="20"/>
              </w:rPr>
              <w:t>Protocol</w:t>
            </w:r>
          </w:p>
        </w:tc>
        <w:tc>
          <w:tcPr>
            <w:tcW w:type="dxa" w:w="2160"/>
          </w:tcPr>
          <w:p>
            <w:r/>
            <w:r>
              <w:rPr>
                <w:sz w:val="20"/>
              </w:rPr>
              <w:t>Per-agent-run lifecycle; fail-stop on disconnect or timeout</w:t>
            </w:r>
          </w:p>
        </w:tc>
      </w:tr>
      <w:tr>
        <w:tc>
          <w:tcPr>
            <w:tcW w:type="dxa" w:w="2160"/>
          </w:tcPr>
          <w:p>
            <w:r/>
            <w:r>
              <w:rPr>
                <w:sz w:val="20"/>
              </w:rPr>
              <w:t>The digital thread / MBSE modeling layer</w:t>
            </w:r>
          </w:p>
        </w:tc>
        <w:tc>
          <w:tcPr>
            <w:tcW w:type="dxa" w:w="2160"/>
          </w:tcPr>
          <w:p>
            <w:r/>
            <w:r>
              <w:rPr>
                <w:sz w:val="20"/>
              </w:rPr>
              <w:t>O-Model</w:t>
            </w:r>
          </w:p>
        </w:tc>
        <w:tc>
          <w:tcPr>
            <w:tcW w:type="dxa" w:w="2160"/>
          </w:tcPr>
          <w:p>
            <w:r/>
            <w:r>
              <w:rPr>
                <w:sz w:val="20"/>
              </w:rPr>
              <w:t>Repository / companion product</w:t>
            </w:r>
          </w:p>
        </w:tc>
        <w:tc>
          <w:tcPr>
            <w:tcW w:type="dxa" w:w="2160"/>
          </w:tcPr>
          <w:p>
            <w:r/>
            <w:r>
              <w:rPr>
                <w:sz w:val="20"/>
              </w:rPr>
              <w:t>agent-harness-engineering/o-model — UAF-conformant, SysMLv2-friendly; reads runtime artefacts as the model; one-way XMI export for Papyrus / Capella consumption</w:t>
            </w:r>
          </w:p>
        </w:tc>
      </w:tr>
    </w:tbl>
    <w:p>
      <w:pPr>
        <w:jc w:val="center"/>
      </w:pPr>
      <w:r>
        <w:rPr>
          <w:i/>
          <w:sz w:val="20"/>
        </w:rPr>
        <w:t>Table G.1 — Abstract terms used in the paper body and their reference-implementation names.</w:t>
      </w:r>
    </w:p>
    <w:p/>
    <w:p>
      <w:pPr>
        <w:pStyle w:val="Heading2"/>
      </w:pPr>
      <w:r>
        <w:rPr>
          <w:color w:val="000000"/>
        </w:rPr>
        <w:t>G.2 Repository Inventory</w:t>
      </w:r>
    </w:p>
    <w:p>
      <w:r>
        <w:rPr>
          <w:b w:val="0"/>
          <w:i w:val="0"/>
          <w:sz w:val="22"/>
        </w:rPr>
        <w:t>Repository URLs and DOIs are redacted in the public preprint where the underlying repository is currently private. Each will receive a Zenodo DOI minted at release; this table is the canonical reference once minted.</w:t>
      </w:r>
    </w:p>
    <w:p/>
    <w:tbl>
      <w:tblPr>
        <w:tblStyle w:val="LightGrid-Accent1"/>
        <w:tblW w:type="auto" w:w="0"/>
        <w:jc w:val="left"/>
        <w:tblLayout w:type="autofit"/>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Repository</w:t>
            </w:r>
          </w:p>
        </w:tc>
        <w:tc>
          <w:tcPr>
            <w:tcW w:type="dxa" w:w="2160"/>
            <w:shd w:val="clear" w:color="auto" w:fill="D9E2F3"/>
          </w:tcPr>
          <w:p>
            <w:r/>
            <w:r>
              <w:rPr>
                <w:b/>
                <w:sz w:val="20"/>
              </w:rPr>
              <w:t>URL</w:t>
            </w:r>
          </w:p>
        </w:tc>
        <w:tc>
          <w:tcPr>
            <w:tcW w:type="dxa" w:w="2160"/>
            <w:shd w:val="clear" w:color="auto" w:fill="D9E2F3"/>
          </w:tcPr>
          <w:p>
            <w:r/>
            <w:r>
              <w:rPr>
                <w:b/>
                <w:sz w:val="20"/>
              </w:rPr>
              <w:t>Visibility</w:t>
            </w:r>
          </w:p>
        </w:tc>
        <w:tc>
          <w:tcPr>
            <w:tcW w:type="dxa" w:w="2160"/>
            <w:shd w:val="clear" w:color="auto" w:fill="D9E2F3"/>
          </w:tcPr>
          <w:p>
            <w:r/>
            <w:r>
              <w:rPr>
                <w:b/>
                <w:sz w:val="20"/>
              </w:rPr>
              <w:t>Role</w:t>
            </w:r>
          </w:p>
        </w:tc>
      </w:tr>
      <w:tr>
        <w:tc>
          <w:tcPr>
            <w:tcW w:type="dxa" w:w="2160"/>
          </w:tcPr>
          <w:p>
            <w:r/>
            <w:r>
              <w:rPr>
                <w:sz w:val="20"/>
              </w:rPr>
              <w:t>agent-harness-engineering/omaestro</w:t>
            </w:r>
          </w:p>
        </w:tc>
        <w:tc>
          <w:tcPr>
            <w:tcW w:type="dxa" w:w="2160"/>
          </w:tcPr>
          <w:p>
            <w:r/>
            <w:r>
              <w:rPr>
                <w:sz w:val="20"/>
              </w:rPr>
              <w:t>(redacted in public preprint; Zenodo DOI to be minted)</w:t>
            </w:r>
          </w:p>
        </w:tc>
        <w:tc>
          <w:tcPr>
            <w:tcW w:type="dxa" w:w="2160"/>
          </w:tcPr>
          <w:p>
            <w:r/>
            <w:r>
              <w:rPr>
                <w:sz w:val="20"/>
              </w:rPr>
              <w:t>Private (initial)</w:t>
            </w:r>
          </w:p>
        </w:tc>
        <w:tc>
          <w:tcPr>
            <w:tcW w:type="dxa" w:w="2160"/>
          </w:tcPr>
          <w:p>
            <w:r/>
            <w:r>
              <w:rPr>
                <w:sz w:val="20"/>
              </w:rPr>
              <w:t>Reference implementation of the governance plane</w:t>
            </w:r>
          </w:p>
        </w:tc>
      </w:tr>
      <w:tr>
        <w:tc>
          <w:tcPr>
            <w:tcW w:type="dxa" w:w="2160"/>
          </w:tcPr>
          <w:p>
            <w:r/>
            <w:r>
              <w:rPr>
                <w:sz w:val="20"/>
              </w:rPr>
              <w:t>agent-harness-engineering/sec-agent</w:t>
            </w:r>
          </w:p>
        </w:tc>
        <w:tc>
          <w:tcPr>
            <w:tcW w:type="dxa" w:w="2160"/>
          </w:tcPr>
          <w:p>
            <w:r/>
            <w:r>
              <w:rPr>
                <w:sz w:val="20"/>
              </w:rPr>
              <w:t>(redacted in public preprint; Zenodo DOI to be minted)</w:t>
            </w:r>
          </w:p>
        </w:tc>
        <w:tc>
          <w:tcPr>
            <w:tcW w:type="dxa" w:w="2160"/>
          </w:tcPr>
          <w:p>
            <w:r/>
            <w:r>
              <w:rPr>
                <w:sz w:val="20"/>
              </w:rPr>
              <w:t>Private (initial)</w:t>
            </w:r>
          </w:p>
        </w:tc>
        <w:tc>
          <w:tcPr>
            <w:tcW w:type="dxa" w:w="2160"/>
          </w:tcPr>
          <w:p>
            <w:r/>
            <w:r>
              <w:rPr>
                <w:sz w:val="20"/>
              </w:rPr>
              <w:t>Reference implementation of the security peer agent</w:t>
            </w:r>
          </w:p>
        </w:tc>
      </w:tr>
      <w:tr>
        <w:tc>
          <w:tcPr>
            <w:tcW w:type="dxa" w:w="2160"/>
          </w:tcPr>
          <w:p>
            <w:r/>
            <w:r>
              <w:rPr>
                <w:sz w:val="20"/>
              </w:rPr>
              <w:t>agent-harness-engineering/qa-agent</w:t>
            </w:r>
          </w:p>
        </w:tc>
        <w:tc>
          <w:tcPr>
            <w:tcW w:type="dxa" w:w="2160"/>
          </w:tcPr>
          <w:p>
            <w:r/>
            <w:r>
              <w:rPr>
                <w:sz w:val="20"/>
              </w:rPr>
              <w:t>(planned)</w:t>
            </w:r>
          </w:p>
        </w:tc>
        <w:tc>
          <w:tcPr>
            <w:tcW w:type="dxa" w:w="2160"/>
          </w:tcPr>
          <w:p>
            <w:r/>
            <w:r>
              <w:rPr>
                <w:sz w:val="20"/>
              </w:rPr>
              <w:t>Private (initial)</w:t>
            </w:r>
          </w:p>
        </w:tc>
        <w:tc>
          <w:tcPr>
            <w:tcW w:type="dxa" w:w="2160"/>
          </w:tcPr>
          <w:p>
            <w:r/>
            <w:r>
              <w:rPr>
                <w:sz w:val="20"/>
              </w:rPr>
              <w:t>Reference implementation of the quality peer agent</w:t>
            </w:r>
          </w:p>
        </w:tc>
      </w:tr>
      <w:tr>
        <w:tc>
          <w:tcPr>
            <w:tcW w:type="dxa" w:w="2160"/>
          </w:tcPr>
          <w:p>
            <w:r/>
            <w:r>
              <w:rPr>
                <w:sz w:val="20"/>
              </w:rPr>
              <w:t>agent-harness-engineering/o-model</w:t>
            </w:r>
          </w:p>
        </w:tc>
        <w:tc>
          <w:tcPr>
            <w:tcW w:type="dxa" w:w="2160"/>
          </w:tcPr>
          <w:p>
            <w:r/>
            <w:r>
              <w:rPr>
                <w:sz w:val="20"/>
              </w:rPr>
              <w:t>(redacted in public preprint; Zenodo DOI to be minted)</w:t>
            </w:r>
          </w:p>
        </w:tc>
        <w:tc>
          <w:tcPr>
            <w:tcW w:type="dxa" w:w="2160"/>
          </w:tcPr>
          <w:p>
            <w:r/>
            <w:r>
              <w:rPr>
                <w:sz w:val="20"/>
              </w:rPr>
              <w:t>Private (initial)</w:t>
            </w:r>
          </w:p>
        </w:tc>
        <w:tc>
          <w:tcPr>
            <w:tcW w:type="dxa" w:w="2160"/>
          </w:tcPr>
          <w:p>
            <w:r/>
            <w:r>
              <w:rPr>
                <w:sz w:val="20"/>
              </w:rPr>
              <w:t>Reference implementation of the digital thread / MBSE modeling layer (UAF-conformant, SysMLv2-friendly)</w:t>
            </w:r>
          </w:p>
        </w:tc>
      </w:tr>
      <w:tr>
        <w:tc>
          <w:tcPr>
            <w:tcW w:type="dxa" w:w="2160"/>
          </w:tcPr>
          <w:p>
            <w:r/>
            <w:r>
              <w:rPr>
                <w:sz w:val="20"/>
              </w:rPr>
              <w:t>agent-harness-engineering/ThinxS</w:t>
            </w:r>
          </w:p>
        </w:tc>
        <w:tc>
          <w:tcPr>
            <w:tcW w:type="dxa" w:w="2160"/>
          </w:tcPr>
          <w:p>
            <w:r/>
            <w:r>
              <w:rPr>
                <w:sz w:val="20"/>
              </w:rPr>
              <w:t>(redacted in public preprint)</w:t>
            </w:r>
          </w:p>
        </w:tc>
        <w:tc>
          <w:tcPr>
            <w:tcW w:type="dxa" w:w="2160"/>
          </w:tcPr>
          <w:p>
            <w:r/>
            <w:r>
              <w:rPr>
                <w:sz w:val="20"/>
              </w:rPr>
              <w:t>Private</w:t>
            </w:r>
          </w:p>
        </w:tc>
        <w:tc>
          <w:tcPr>
            <w:tcW w:type="dxa" w:w="2160"/>
          </w:tcPr>
          <w:p>
            <w:r/>
            <w:r>
              <w:rPr>
                <w:sz w:val="20"/>
              </w:rPr>
              <w:t>Predecessor 4M-tradition harness; lineage analysis</w:t>
            </w:r>
          </w:p>
        </w:tc>
      </w:tr>
      <w:tr>
        <w:tc>
          <w:tcPr>
            <w:tcW w:type="dxa" w:w="2160"/>
          </w:tcPr>
          <w:p>
            <w:r/>
            <w:r>
              <w:rPr>
                <w:sz w:val="20"/>
              </w:rPr>
              <w:t>agent-harness-engineering/harness-engineering</w:t>
            </w:r>
          </w:p>
        </w:tc>
        <w:tc>
          <w:tcPr>
            <w:tcW w:type="dxa" w:w="2160"/>
          </w:tcPr>
          <w:p>
            <w:r/>
            <w:r>
              <w:rPr>
                <w:sz w:val="20"/>
              </w:rPr>
              <w:t>(public)</w:t>
            </w:r>
          </w:p>
        </w:tc>
        <w:tc>
          <w:tcPr>
            <w:tcW w:type="dxa" w:w="2160"/>
          </w:tcPr>
          <w:p>
            <w:r/>
            <w:r>
              <w:rPr>
                <w:sz w:val="20"/>
              </w:rPr>
              <w:t>Public</w:t>
            </w:r>
          </w:p>
        </w:tc>
        <w:tc>
          <w:tcPr>
            <w:tcW w:type="dxa" w:w="2160"/>
          </w:tcPr>
          <w:p>
            <w:r/>
            <w:r>
              <w:rPr>
                <w:sz w:val="20"/>
              </w:rPr>
              <w:t>This research programme; theory, synthesis, evaluations</w:t>
            </w:r>
          </w:p>
        </w:tc>
      </w:tr>
      <w:tr>
        <w:tc>
          <w:tcPr>
            <w:tcW w:type="dxa" w:w="2160"/>
          </w:tcPr>
          <w:p>
            <w:r/>
            <w:r>
              <w:rPr>
                <w:sz w:val="20"/>
              </w:rPr>
              <w:t>ologos-corp/ologos-ai</w:t>
            </w:r>
          </w:p>
        </w:tc>
        <w:tc>
          <w:tcPr>
            <w:tcW w:type="dxa" w:w="2160"/>
          </w:tcPr>
          <w:p>
            <w:r/>
            <w:r>
              <w:rPr>
                <w:sz w:val="20"/>
              </w:rPr>
              <w:t>(redacted in public preprint)</w:t>
            </w:r>
          </w:p>
        </w:tc>
        <w:tc>
          <w:tcPr>
            <w:tcW w:type="dxa" w:w="2160"/>
          </w:tcPr>
          <w:p>
            <w:r/>
            <w:r>
              <w:rPr>
                <w:sz w:val="20"/>
              </w:rPr>
              <w:t>Private</w:t>
            </w:r>
          </w:p>
        </w:tc>
        <w:tc>
          <w:tcPr>
            <w:tcW w:type="dxa" w:w="2160"/>
          </w:tcPr>
          <w:p>
            <w:r/>
            <w:r>
              <w:rPr>
                <w:sz w:val="20"/>
              </w:rPr>
              <w:t>Reference deployment / operator system</w:t>
            </w:r>
          </w:p>
        </w:tc>
      </w:tr>
    </w:tbl>
    <w:p>
      <w:pPr>
        <w:jc w:val="center"/>
      </w:pPr>
      <w:r>
        <w:rPr>
          <w:i/>
          <w:sz w:val="20"/>
        </w:rPr>
        <w:t>Table G.2 — Reference-implementation repository inventory.</w:t>
      </w:r>
    </w:p>
    <w:p/>
    <w:p>
      <w:pPr>
        <w:pStyle w:val="Heading2"/>
      </w:pPr>
      <w:r>
        <w:rPr>
          <w:color w:val="000000"/>
        </w:rPr>
        <w:t>G.3 Independent Implementations</w:t>
      </w:r>
    </w:p>
    <w:p>
      <w:r>
        <w:rPr>
          <w:b w:val="0"/>
          <w:i w:val="0"/>
          <w:sz w:val="22"/>
        </w:rPr>
        <w:t>Independent implementations of the 4M+1 framework are explicitly invited. An implementation is conformant if it (i) exposes a canonical entry-point file analogous to maestro.md and the five module files; (ii) implements the wire-protocol contract specified in Appendix B; (iii) emits a Stream A governance ledger conformant with Appendix C and a Stream B trace via OTLP; (iv) supports the harness-stub pattern such that agent tools' auto-load conventions are satisfiable by thin pointer files. Conformant implementations may use different concrete names, identity providers, or transport choices within the constraints documented above.</w:t>
      </w:r>
    </w:p>
    <w:p/>
    <w:p>
      <w:pPr>
        <w:pStyle w:val="Heading2"/>
      </w:pPr>
      <w:r>
        <w:rPr>
          <w:color w:val="000000"/>
        </w:rPr>
        <w:t>G.4 Module Roster (Modular Federated Digital Enterprise)</w:t>
      </w:r>
    </w:p>
    <w:p>
      <w:r>
        <w:rPr>
          <w:b w:val="0"/>
          <w:i w:val="0"/>
          <w:sz w:val="22"/>
        </w:rPr>
        <w:t>The reference implementation is structured as a modular federated digital enterprise: omaestro is the governance plane for an N-module enterprise, where each capability domain attaches as an independently-governed module with its own manifest, gates, tool registry, and model-mode choice. Shared infrastructure (one orchestrator binary, one wire protocol, one verification chain, one peer-agent ecosystem) underlies all modules. The v1 reference deployment ships modules 1 and 2; subsequent modules attach without architectural change. This subsection enumerates the planned module roster.</w:t>
      </w:r>
    </w:p>
    <w:p/>
    <w:tbl>
      <w:tblPr>
        <w:tblStyle w:val="LightGrid-Accent1"/>
        <w:tblW w:type="auto" w:w="0"/>
        <w:jc w:val="left"/>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20"/>
              </w:rPr>
              <w:t>#</w:t>
            </w:r>
          </w:p>
        </w:tc>
        <w:tc>
          <w:tcPr>
            <w:tcW w:type="dxa" w:w="1440"/>
            <w:shd w:val="clear" w:color="auto" w:fill="D9E2F3"/>
          </w:tcPr>
          <w:p>
            <w:r/>
            <w:r>
              <w:rPr>
                <w:b/>
                <w:sz w:val="20"/>
              </w:rPr>
              <w:t>Module</w:t>
            </w:r>
          </w:p>
        </w:tc>
        <w:tc>
          <w:tcPr>
            <w:tcW w:type="dxa" w:w="1440"/>
            <w:shd w:val="clear" w:color="auto" w:fill="D9E2F3"/>
          </w:tcPr>
          <w:p>
            <w:r/>
            <w:r>
              <w:rPr>
                <w:b/>
                <w:sz w:val="20"/>
              </w:rPr>
              <w:t>Telos</w:t>
            </w:r>
          </w:p>
        </w:tc>
        <w:tc>
          <w:tcPr>
            <w:tcW w:type="dxa" w:w="1440"/>
            <w:shd w:val="clear" w:color="auto" w:fill="D9E2F3"/>
          </w:tcPr>
          <w:p>
            <w:r/>
            <w:r>
              <w:rPr>
                <w:b/>
                <w:sz w:val="20"/>
              </w:rPr>
              <w:t>Likely model-mode</w:t>
            </w:r>
          </w:p>
        </w:tc>
        <w:tc>
          <w:tcPr>
            <w:tcW w:type="dxa" w:w="1440"/>
            <w:shd w:val="clear" w:color="auto" w:fill="D9E2F3"/>
          </w:tcPr>
          <w:p>
            <w:r/>
            <w:r>
              <w:rPr>
                <w:b/>
                <w:sz w:val="20"/>
              </w:rPr>
              <w:t>Distinguishing constraint</w:t>
            </w:r>
          </w:p>
        </w:tc>
        <w:tc>
          <w:tcPr>
            <w:tcW w:type="dxa" w:w="1440"/>
            <w:shd w:val="clear" w:color="auto" w:fill="D9E2F3"/>
          </w:tcPr>
          <w:p>
            <w:r/>
            <w:r>
              <w:rPr>
                <w:b/>
                <w:sz w:val="20"/>
              </w:rPr>
              <w:t>v1 status</w:t>
            </w:r>
          </w:p>
        </w:tc>
      </w:tr>
      <w:tr>
        <w:tc>
          <w:tcPr>
            <w:tcW w:type="dxa" w:w="1440"/>
          </w:tcPr>
          <w:p>
            <w:r/>
            <w:r>
              <w:rPr>
                <w:sz w:val="20"/>
              </w:rPr>
              <w:t>1</w:t>
            </w:r>
          </w:p>
        </w:tc>
        <w:tc>
          <w:tcPr>
            <w:tcW w:type="dxa" w:w="1440"/>
          </w:tcPr>
          <w:p>
            <w:r/>
            <w:r>
              <w:rPr>
                <w:sz w:val="20"/>
              </w:rPr>
              <w:t>Dev</w:t>
            </w:r>
          </w:p>
        </w:tc>
        <w:tc>
          <w:tcPr>
            <w:tcW w:type="dxa" w:w="1440"/>
          </w:tcPr>
          <w:p>
            <w:r/>
            <w:r>
              <w:rPr>
                <w:sz w:val="20"/>
              </w:rPr>
              <w:t>Code work — software engineering, code review, test authoring, build orchestration</w:t>
            </w:r>
          </w:p>
        </w:tc>
        <w:tc>
          <w:tcPr>
            <w:tcW w:type="dxa" w:w="1440"/>
          </w:tcPr>
          <w:p>
            <w:r/>
            <w:r>
              <w:rPr>
                <w:sz w:val="20"/>
              </w:rPr>
              <w:t>harness_owned (frontier reasoning)</w:t>
            </w:r>
          </w:p>
        </w:tc>
        <w:tc>
          <w:tcPr>
            <w:tcW w:type="dxa" w:w="1440"/>
          </w:tcPr>
          <w:p>
            <w:r/>
            <w:r>
              <w:rPr>
                <w:sz w:val="20"/>
              </w:rPr>
              <w:t>Tight code-quality gates; secrets and force-push emphasis</w:t>
            </w:r>
          </w:p>
        </w:tc>
        <w:tc>
          <w:tcPr>
            <w:tcW w:type="dxa" w:w="1440"/>
          </w:tcPr>
          <w:p>
            <w:r/>
            <w:r>
              <w:rPr>
                <w:sz w:val="20"/>
              </w:rPr>
              <w:t>v1.0 — reference deployment</w:t>
            </w:r>
          </w:p>
        </w:tc>
      </w:tr>
      <w:tr>
        <w:tc>
          <w:tcPr>
            <w:tcW w:type="dxa" w:w="1440"/>
          </w:tcPr>
          <w:p>
            <w:r/>
            <w:r>
              <w:rPr>
                <w:sz w:val="20"/>
              </w:rPr>
              <w:t>2</w:t>
            </w:r>
          </w:p>
        </w:tc>
        <w:tc>
          <w:tcPr>
            <w:tcW w:type="dxa" w:w="1440"/>
          </w:tcPr>
          <w:p>
            <w:r/>
            <w:r>
              <w:rPr>
                <w:sz w:val="20"/>
              </w:rPr>
              <w:t>Ops / Infra</w:t>
            </w:r>
          </w:p>
        </w:tc>
        <w:tc>
          <w:tcPr>
            <w:tcW w:type="dxa" w:w="1440"/>
          </w:tcPr>
          <w:p>
            <w:r/>
            <w:r>
              <w:rPr>
                <w:sz w:val="20"/>
              </w:rPr>
              <w:t>System administration — deployment, configuration management, infrastructure as code</w:t>
            </w:r>
          </w:p>
        </w:tc>
        <w:tc>
          <w:tcPr>
            <w:tcW w:type="dxa" w:w="1440"/>
          </w:tcPr>
          <w:p>
            <w:r/>
            <w:r>
              <w:rPr>
                <w:sz w:val="20"/>
              </w:rPr>
              <w:t>single (local LLM)</w:t>
            </w:r>
          </w:p>
        </w:tc>
        <w:tc>
          <w:tcPr>
            <w:tcW w:type="dxa" w:w="1440"/>
          </w:tcPr>
          <w:p>
            <w:r/>
            <w:r>
              <w:rPr>
                <w:sz w:val="20"/>
              </w:rPr>
              <w:t>High-volume, cost-sensitive; tight destructive-action gates</w:t>
            </w:r>
          </w:p>
        </w:tc>
        <w:tc>
          <w:tcPr>
            <w:tcW w:type="dxa" w:w="1440"/>
          </w:tcPr>
          <w:p>
            <w:r/>
            <w:r>
              <w:rPr>
                <w:sz w:val="20"/>
              </w:rPr>
              <w:t>v1.0 — reference deployment</w:t>
            </w:r>
          </w:p>
        </w:tc>
      </w:tr>
      <w:tr>
        <w:tc>
          <w:tcPr>
            <w:tcW w:type="dxa" w:w="1440"/>
          </w:tcPr>
          <w:p>
            <w:r/>
            <w:r>
              <w:rPr>
                <w:sz w:val="20"/>
              </w:rPr>
              <w:t>3</w:t>
            </w:r>
          </w:p>
        </w:tc>
        <w:tc>
          <w:tcPr>
            <w:tcW w:type="dxa" w:w="1440"/>
          </w:tcPr>
          <w:p>
            <w:r/>
            <w:r>
              <w:rPr>
                <w:sz w:val="20"/>
              </w:rPr>
              <w:t>Digital Engineering</w:t>
            </w:r>
          </w:p>
        </w:tc>
        <w:tc>
          <w:tcPr>
            <w:tcW w:type="dxa" w:w="1440"/>
          </w:tcPr>
          <w:p>
            <w:r/>
            <w:r>
              <w:rPr>
                <w:sz w:val="20"/>
              </w:rPr>
              <w:t>Systems engineering and MBSE — model-based design, requirements traceability, verification</w:t>
            </w:r>
          </w:p>
        </w:tc>
        <w:tc>
          <w:tcPr>
            <w:tcW w:type="dxa" w:w="1440"/>
          </w:tcPr>
          <w:p>
            <w:r/>
            <w:r>
              <w:rPr>
                <w:sz w:val="20"/>
              </w:rPr>
              <w:t>single or multi</w:t>
            </w:r>
          </w:p>
        </w:tc>
        <w:tc>
          <w:tcPr>
            <w:tcW w:type="dxa" w:w="1440"/>
          </w:tcPr>
          <w:p>
            <w:r/>
            <w:r>
              <w:rPr>
                <w:sz w:val="20"/>
              </w:rPr>
              <w:t>Long-running model-based artifacts; traceability across artifact lifecycle</w:t>
            </w:r>
          </w:p>
        </w:tc>
        <w:tc>
          <w:tcPr>
            <w:tcW w:type="dxa" w:w="1440"/>
          </w:tcPr>
          <w:p>
            <w:r/>
            <w:r>
              <w:rPr>
                <w:sz w:val="20"/>
              </w:rPr>
              <w:t>Future</w:t>
            </w:r>
          </w:p>
        </w:tc>
      </w:tr>
      <w:tr>
        <w:tc>
          <w:tcPr>
            <w:tcW w:type="dxa" w:w="1440"/>
          </w:tcPr>
          <w:p>
            <w:r/>
            <w:r>
              <w:rPr>
                <w:sz w:val="20"/>
              </w:rPr>
              <w:t>4</w:t>
            </w:r>
          </w:p>
        </w:tc>
        <w:tc>
          <w:tcPr>
            <w:tcW w:type="dxa" w:w="1440"/>
          </w:tcPr>
          <w:p>
            <w:r/>
            <w:r>
              <w:rPr>
                <w:sz w:val="20"/>
              </w:rPr>
              <w:t>ERP</w:t>
            </w:r>
          </w:p>
        </w:tc>
        <w:tc>
          <w:tcPr>
            <w:tcW w:type="dxa" w:w="1440"/>
          </w:tcPr>
          <w:p>
            <w:r/>
            <w:r>
              <w:rPr>
                <w:sz w:val="20"/>
              </w:rPr>
              <w:t>Business processes — finance, procurement, HR, supplier management</w:t>
            </w:r>
          </w:p>
        </w:tc>
        <w:tc>
          <w:tcPr>
            <w:tcW w:type="dxa" w:w="1440"/>
          </w:tcPr>
          <w:p>
            <w:r/>
            <w:r>
              <w:rPr>
                <w:sz w:val="20"/>
              </w:rPr>
              <w:t>single (audited cloud)</w:t>
            </w:r>
          </w:p>
        </w:tc>
        <w:tc>
          <w:tcPr>
            <w:tcW w:type="dxa" w:w="1440"/>
          </w:tcPr>
          <w:p>
            <w:r/>
            <w:r>
              <w:rPr>
                <w:sz w:val="20"/>
              </w:rPr>
              <w:t>Compliance-heavy; strict audit retention; PII gates</w:t>
            </w:r>
          </w:p>
        </w:tc>
        <w:tc>
          <w:tcPr>
            <w:tcW w:type="dxa" w:w="1440"/>
          </w:tcPr>
          <w:p>
            <w:r/>
            <w:r>
              <w:rPr>
                <w:sz w:val="20"/>
              </w:rPr>
              <w:t>Future</w:t>
            </w:r>
          </w:p>
        </w:tc>
      </w:tr>
      <w:tr>
        <w:tc>
          <w:tcPr>
            <w:tcW w:type="dxa" w:w="1440"/>
          </w:tcPr>
          <w:p>
            <w:r/>
            <w:r>
              <w:rPr>
                <w:sz w:val="20"/>
              </w:rPr>
              <w:t>5</w:t>
            </w:r>
          </w:p>
        </w:tc>
        <w:tc>
          <w:tcPr>
            <w:tcW w:type="dxa" w:w="1440"/>
          </w:tcPr>
          <w:p>
            <w:r/>
            <w:r>
              <w:rPr>
                <w:sz w:val="20"/>
              </w:rPr>
              <w:t>Mod-Sim</w:t>
            </w:r>
          </w:p>
        </w:tc>
        <w:tc>
          <w:tcPr>
            <w:tcW w:type="dxa" w:w="1440"/>
          </w:tcPr>
          <w:p>
            <w:r/>
            <w:r>
              <w:rPr>
                <w:sz w:val="20"/>
              </w:rPr>
              <w:t>Modeling and simulation — physics, finance, operations research</w:t>
            </w:r>
          </w:p>
        </w:tc>
        <w:tc>
          <w:tcPr>
            <w:tcW w:type="dxa" w:w="1440"/>
          </w:tcPr>
          <w:p>
            <w:r/>
            <w:r>
              <w:rPr>
                <w:sz w:val="20"/>
              </w:rPr>
              <w:t>single specialized</w:t>
            </w:r>
          </w:p>
        </w:tc>
        <w:tc>
          <w:tcPr>
            <w:tcW w:type="dxa" w:w="1440"/>
          </w:tcPr>
          <w:p>
            <w:r/>
            <w:r>
              <w:rPr>
                <w:sz w:val="20"/>
              </w:rPr>
              <w:t>Specialized model selection; long compute jobs; GPU/HPC profile awareness</w:t>
            </w:r>
          </w:p>
        </w:tc>
        <w:tc>
          <w:tcPr>
            <w:tcW w:type="dxa" w:w="1440"/>
          </w:tcPr>
          <w:p>
            <w:r/>
            <w:r>
              <w:rPr>
                <w:sz w:val="20"/>
              </w:rPr>
              <w:t>Future</w:t>
            </w:r>
          </w:p>
        </w:tc>
      </w:tr>
      <w:tr>
        <w:tc>
          <w:tcPr>
            <w:tcW w:type="dxa" w:w="1440"/>
          </w:tcPr>
          <w:p>
            <w:r/>
            <w:r>
              <w:rPr>
                <w:sz w:val="20"/>
              </w:rPr>
              <w:t>N+</w:t>
            </w:r>
          </w:p>
        </w:tc>
        <w:tc>
          <w:tcPr>
            <w:tcW w:type="dxa" w:w="1440"/>
          </w:tcPr>
          <w:p>
            <w:r/>
            <w:r>
              <w:rPr>
                <w:sz w:val="20"/>
              </w:rPr>
              <w:t>Future capabilities</w:t>
            </w:r>
          </w:p>
        </w:tc>
        <w:tc>
          <w:tcPr>
            <w:tcW w:type="dxa" w:w="1440"/>
          </w:tcPr>
          <w:p>
            <w:r/>
            <w:r>
              <w:rPr>
                <w:sz w:val="20"/>
              </w:rPr>
              <w:t>TBD per organization</w:t>
            </w:r>
          </w:p>
        </w:tc>
        <w:tc>
          <w:tcPr>
            <w:tcW w:type="dxa" w:w="1440"/>
          </w:tcPr>
          <w:p>
            <w:r/>
            <w:r>
              <w:rPr>
                <w:sz w:val="20"/>
              </w:rPr>
              <w:t>Per-module choice</w:t>
            </w:r>
          </w:p>
        </w:tc>
        <w:tc>
          <w:tcPr>
            <w:tcW w:type="dxa" w:w="1440"/>
          </w:tcPr>
          <w:p>
            <w:r/>
            <w:r>
              <w:rPr>
                <w:sz w:val="20"/>
              </w:rPr>
              <w:t>Same federated pattern; no architecture change required</w:t>
            </w:r>
          </w:p>
        </w:tc>
        <w:tc>
          <w:tcPr>
            <w:tcW w:type="dxa" w:w="1440"/>
          </w:tcPr>
          <w:p>
            <w:r/>
            <w:r>
              <w:rPr>
                <w:sz w:val="20"/>
              </w:rPr>
              <w:t>Future</w:t>
            </w:r>
          </w:p>
        </w:tc>
      </w:tr>
    </w:tbl>
    <w:p>
      <w:pPr>
        <w:jc w:val="center"/>
      </w:pPr>
      <w:r>
        <w:rPr>
          <w:i/>
          <w:sz w:val="20"/>
        </w:rPr>
        <w:t>Table G.4 — Reference deployment module roster. v1 deployment ships modules 1 and 2; subsequent modules attach without architectural change.</w:t>
      </w:r>
    </w:p>
    <w:p/>
    <w:p>
      <w:r>
        <w:rPr>
          <w:b w:val="0"/>
          <w:i w:val="0"/>
          <w:sz w:val="22"/>
        </w:rPr>
        <w:t>Per-module independence and shared infrastructure are made explicit in the body of the paper (Section 6.1, Strategic Viewpoint, and Section 6.4, Resources / Services Viewpoint). The reference deployment realizing this roster is documented in the deployment-plan tracker (referenced in the repository inventory of Table G.2).</w:t>
      </w:r>
    </w:p>
    <w:p>
      <w:r>
        <w:br w:type="page"/>
      </w:r>
    </w:p>
    <w:p>
      <w:pPr>
        <w:pStyle w:val="Heading1"/>
      </w:pPr>
      <w:r>
        <w:rPr>
          <w:color w:val="000000"/>
        </w:rPr>
        <w:t>Appendix H — Industry Benchmarks</w:t>
      </w:r>
    </w:p>
    <w:p>
      <w:r>
        <w:rPr>
          <w:b w:val="0"/>
          <w:i w:val="0"/>
          <w:sz w:val="22"/>
        </w:rPr>
        <w:t>This appendix structures the comparative evaluation of the 4M+1 framework and its reference implementation against industry alternatives. v1 of this paper publishes the appendix with the structures defined and rows identified, but with measurements pending. Subsequent versioned releases (each minting a new DOI) will populate the values as data becomes available, with measurement methodology documented per row. This appendix is intentionally cross-paper — papers later in the series may extend the same tables with additional rows.</w:t>
      </w:r>
    </w:p>
    <w:p/>
    <w:p>
      <w:pPr>
        <w:pStyle w:val="Heading2"/>
      </w:pPr>
      <w:r>
        <w:rPr>
          <w:color w:val="000000"/>
        </w:rPr>
        <w:t>H.1 Capability Coverage Matrix</w:t>
      </w:r>
    </w:p>
    <w:p>
      <w:r>
        <w:rPr>
          <w:b w:val="0"/>
          <w:i w:val="0"/>
          <w:sz w:val="22"/>
        </w:rPr>
        <w:t>Capability coverage of the 4M+1 framework alongside industry alternatives. Marked [v1] indicates a capability shipped by 4M+1's reference implementation in version 1; [TBD] indicates measurements or claims pending publication.</w:t>
      </w:r>
    </w:p>
    <w:p/>
    <w:tbl>
      <w:tblPr>
        <w:tblStyle w:val="LightGrid-Accent1"/>
        <w:tblW w:type="auto" w:w="0"/>
        <w:jc w:val="left"/>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
              <w:rPr>
                <w:b/>
                <w:sz w:val="20"/>
              </w:rPr>
              <w:t>Capability</w:t>
            </w:r>
          </w:p>
        </w:tc>
        <w:tc>
          <w:tcPr>
            <w:tcW w:type="dxa" w:w="1234"/>
            <w:shd w:val="clear" w:color="auto" w:fill="D9E2F3"/>
          </w:tcPr>
          <w:p>
            <w:r/>
            <w:r>
              <w:rPr>
                <w:b/>
                <w:sz w:val="20"/>
              </w:rPr>
              <w:t>4M+1 (this work)</w:t>
            </w:r>
          </w:p>
        </w:tc>
        <w:tc>
          <w:tcPr>
            <w:tcW w:type="dxa" w:w="1234"/>
            <w:shd w:val="clear" w:color="auto" w:fill="D9E2F3"/>
          </w:tcPr>
          <w:p>
            <w:r/>
            <w:r>
              <w:rPr>
                <w:b/>
                <w:sz w:val="20"/>
              </w:rPr>
              <w:t>NemoClaw / OpenClaw</w:t>
            </w:r>
          </w:p>
        </w:tc>
        <w:tc>
          <w:tcPr>
            <w:tcW w:type="dxa" w:w="1234"/>
            <w:shd w:val="clear" w:color="auto" w:fill="D9E2F3"/>
          </w:tcPr>
          <w:p>
            <w:r/>
            <w:r>
              <w:rPr>
                <w:b/>
                <w:sz w:val="20"/>
              </w:rPr>
              <w:t>Constitutional AI</w:t>
            </w:r>
          </w:p>
        </w:tc>
        <w:tc>
          <w:tcPr>
            <w:tcW w:type="dxa" w:w="1234"/>
            <w:shd w:val="clear" w:color="auto" w:fill="D9E2F3"/>
          </w:tcPr>
          <w:p>
            <w:r/>
            <w:r>
              <w:rPr>
                <w:b/>
                <w:sz w:val="20"/>
              </w:rPr>
              <w:t>RLHF gates</w:t>
            </w:r>
          </w:p>
        </w:tc>
        <w:tc>
          <w:tcPr>
            <w:tcW w:type="dxa" w:w="1234"/>
            <w:shd w:val="clear" w:color="auto" w:fill="D9E2F3"/>
          </w:tcPr>
          <w:p>
            <w:r/>
            <w:r>
              <w:rPr>
                <w:b/>
                <w:sz w:val="20"/>
              </w:rPr>
              <w:t>MCP</w:t>
            </w:r>
          </w:p>
        </w:tc>
        <w:tc>
          <w:tcPr>
            <w:tcW w:type="dxa" w:w="1234"/>
            <w:shd w:val="clear" w:color="auto" w:fill="D9E2F3"/>
          </w:tcPr>
          <w:p>
            <w:r/>
            <w:r>
              <w:rPr>
                <w:b/>
                <w:sz w:val="20"/>
              </w:rPr>
              <w:t>Notes</w:t>
            </w:r>
          </w:p>
        </w:tc>
      </w:tr>
      <w:tr>
        <w:tc>
          <w:tcPr>
            <w:tcW w:type="dxa" w:w="1234"/>
          </w:tcPr>
          <w:p>
            <w:r/>
            <w:r>
              <w:rPr>
                <w:sz w:val="20"/>
              </w:rPr>
              <w:t>Semantic gate enforcement</w:t>
            </w:r>
          </w:p>
        </w:tc>
        <w:tc>
          <w:tcPr>
            <w:tcW w:type="dxa" w:w="1234"/>
          </w:tcPr>
          <w:p>
            <w:r/>
            <w:r>
              <w:rPr>
                <w:sz w:val="20"/>
              </w:rPr>
              <w:t>[v1]</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BLOCK / CONFIRM / LOG taxonomy</w:t>
            </w:r>
          </w:p>
        </w:tc>
      </w:tr>
      <w:tr>
        <w:tc>
          <w:tcPr>
            <w:tcW w:type="dxa" w:w="1234"/>
          </w:tcPr>
          <w:p>
            <w:r/>
            <w:r>
              <w:rPr>
                <w:sz w:val="20"/>
              </w:rPr>
              <w:t>Structural sandbox enforcement</w:t>
            </w:r>
          </w:p>
        </w:tc>
        <w:tc>
          <w:tcPr>
            <w:tcW w:type="dxa" w:w="1234"/>
          </w:tcPr>
          <w:p>
            <w:r/>
            <w:r>
              <w:rPr>
                <w:sz w:val="20"/>
              </w:rPr>
              <w:t>[interop only]</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4M+1 composes; does not implement</w:t>
            </w:r>
          </w:p>
        </w:tc>
      </w:tr>
      <w:tr>
        <w:tc>
          <w:tcPr>
            <w:tcW w:type="dxa" w:w="1234"/>
          </w:tcPr>
          <w:p>
            <w:r/>
            <w:r>
              <w:rPr>
                <w:sz w:val="20"/>
              </w:rPr>
              <w:t>Cryptographic audit chain</w:t>
            </w:r>
          </w:p>
        </w:tc>
        <w:tc>
          <w:tcPr>
            <w:tcW w:type="dxa" w:w="1234"/>
          </w:tcPr>
          <w:p>
            <w:r/>
            <w:r>
              <w:rPr>
                <w:sz w:val="20"/>
              </w:rPr>
              <w:t>[v1]</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Five-actor Ed25519 model</w:t>
            </w:r>
          </w:p>
        </w:tc>
      </w:tr>
      <w:tr>
        <w:tc>
          <w:tcPr>
            <w:tcW w:type="dxa" w:w="1234"/>
          </w:tcPr>
          <w:p>
            <w:r/>
            <w:r>
              <w:rPr>
                <w:sz w:val="20"/>
              </w:rPr>
              <w:t>Per-call model attribution</w:t>
            </w:r>
          </w:p>
        </w:tc>
        <w:tc>
          <w:tcPr>
            <w:tcW w:type="dxa" w:w="1234"/>
          </w:tcPr>
          <w:p>
            <w:r/>
            <w:r>
              <w:rPr>
                <w:sz w:val="20"/>
              </w:rPr>
              <w:t>[v1]</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In both governance ledger and OTel trace</w:t>
            </w:r>
          </w:p>
        </w:tc>
      </w:tr>
      <w:tr>
        <w:tc>
          <w:tcPr>
            <w:tcW w:type="dxa" w:w="1234"/>
          </w:tcPr>
          <w:p>
            <w:r/>
            <w:r>
              <w:rPr>
                <w:sz w:val="20"/>
              </w:rPr>
              <w:t>Harness portability</w:t>
            </w:r>
          </w:p>
        </w:tc>
        <w:tc>
          <w:tcPr>
            <w:tcW w:type="dxa" w:w="1234"/>
          </w:tcPr>
          <w:p>
            <w:r/>
            <w:r>
              <w:rPr>
                <w:sz w:val="20"/>
              </w:rPr>
              <w:t>[v1]</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Harness-stub pattern + Means adapter</w:t>
            </w:r>
          </w:p>
        </w:tc>
      </w:tr>
      <w:tr>
        <w:tc>
          <w:tcPr>
            <w:tcW w:type="dxa" w:w="1234"/>
          </w:tcPr>
          <w:p>
            <w:r/>
            <w:r>
              <w:rPr>
                <w:sz w:val="20"/>
              </w:rPr>
              <w:t>Model-mode independence</w:t>
            </w:r>
          </w:p>
        </w:tc>
        <w:tc>
          <w:tcPr>
            <w:tcW w:type="dxa" w:w="1234"/>
          </w:tcPr>
          <w:p>
            <w:r/>
            <w:r>
              <w:rPr>
                <w:sz w:val="20"/>
              </w:rPr>
              <w:t>[v1]</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harness_owned / single / multi</w:t>
            </w:r>
          </w:p>
        </w:tc>
      </w:tr>
      <w:tr>
        <w:tc>
          <w:tcPr>
            <w:tcW w:type="dxa" w:w="1234"/>
          </w:tcPr>
          <w:p>
            <w:r/>
            <w:r>
              <w:rPr>
                <w:sz w:val="20"/>
              </w:rPr>
              <w:t>Peer-agent decomposition (DevSecOps roles)</w:t>
            </w:r>
          </w:p>
        </w:tc>
        <w:tc>
          <w:tcPr>
            <w:tcW w:type="dxa" w:w="1234"/>
          </w:tcPr>
          <w:p>
            <w:r/>
            <w:r>
              <w:rPr>
                <w:sz w:val="20"/>
              </w:rPr>
              <w:t>[v1]</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Sec, QA, future Ops</w:t>
            </w:r>
          </w:p>
        </w:tc>
      </w:tr>
      <w:tr>
        <w:tc>
          <w:tcPr>
            <w:tcW w:type="dxa" w:w="1234"/>
          </w:tcPr>
          <w:p>
            <w:r/>
            <w:r>
              <w:rPr>
                <w:sz w:val="20"/>
              </w:rPr>
              <w:t>Self-modification prohibition</w:t>
            </w:r>
          </w:p>
        </w:tc>
        <w:tc>
          <w:tcPr>
            <w:tcW w:type="dxa" w:w="1234"/>
          </w:tcPr>
          <w:p>
            <w:r/>
            <w:r>
              <w:rPr>
                <w:sz w:val="20"/>
              </w:rPr>
              <w:t>[v1]</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Explicit by absence of code</w:t>
            </w:r>
          </w:p>
        </w:tc>
      </w:tr>
      <w:tr>
        <w:tc>
          <w:tcPr>
            <w:tcW w:type="dxa" w:w="1234"/>
          </w:tcPr>
          <w:p>
            <w:r/>
            <w:r>
              <w:rPr>
                <w:sz w:val="20"/>
              </w:rPr>
              <w:t>Operator authentication standardised</w:t>
            </w:r>
          </w:p>
        </w:tc>
        <w:tc>
          <w:tcPr>
            <w:tcW w:type="dxa" w:w="1234"/>
          </w:tcPr>
          <w:p>
            <w:r/>
            <w:r>
              <w:rPr>
                <w:sz w:val="20"/>
              </w:rPr>
              <w:t>[v1]</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Pluggable IdentityProvider</w:t>
            </w:r>
          </w:p>
        </w:tc>
      </w:tr>
      <w:tr>
        <w:tc>
          <w:tcPr>
            <w:tcW w:type="dxa" w:w="1234"/>
          </w:tcPr>
          <w:p>
            <w:r/>
            <w:r>
              <w:rPr>
                <w:sz w:val="20"/>
              </w:rPr>
              <w:t>Tier 3 hardware-attestation hooks</w:t>
            </w:r>
          </w:p>
        </w:tc>
        <w:tc>
          <w:tcPr>
            <w:tcW w:type="dxa" w:w="1234"/>
          </w:tcPr>
          <w:p>
            <w:r/>
            <w:r>
              <w:rPr>
                <w:sz w:val="20"/>
              </w:rPr>
              <w:t>[v1 reserved; v2 wired]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[TBD]</w:t>
            </w:r>
          </w:p>
        </w:tc>
        <w:tc>
          <w:tcPr>
            <w:tcW w:type="dxa" w:w="1234"/>
          </w:tcPr>
          <w:p>
            <w:r/>
            <w:r>
              <w:rPr>
                <w:sz w:val="20"/>
              </w:rPr>
              <w:t>Schema fields present in v1</w:t>
            </w:r>
          </w:p>
        </w:tc>
      </w:tr>
    </w:tbl>
    <w:p>
      <w:pPr>
        <w:jc w:val="center"/>
      </w:pPr>
      <w:r>
        <w:rPr>
          <w:i/>
          <w:sz w:val="20"/>
        </w:rPr>
        <w:t>Table H.1 — Capability coverage matrix (placeholder; values populate in subsequent revisions).</w:t>
      </w:r>
    </w:p>
    <w:p/>
    <w:p>
      <w:pPr>
        <w:pStyle w:val="Heading2"/>
      </w:pPr>
      <w:r>
        <w:rPr>
          <w:color w:val="000000"/>
        </w:rPr>
        <w:t>H.2 Architectural Properties Comparison</w:t>
      </w:r>
    </w:p>
    <w:p>
      <w:r>
        <w:rPr>
          <w:b w:val="0"/>
          <w:i w:val="0"/>
          <w:sz w:val="22"/>
        </w:rPr>
        <w:t>Architectural properties relevant to verifiability and operator trust. The comparison is qualitative; each [TBD] cell anchors a measurement or documented-claim entry to be produced in subsequent paper revisions.</w:t>
      </w:r>
    </w:p>
    <w:p/>
    <w:tbl>
      <w:tblPr>
        <w:tblStyle w:val="LightGrid-Accent1"/>
        <w:tblW w:type="auto" w:w="0"/>
        <w:jc w:val="left"/>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20"/>
              </w:rPr>
              <w:t>Comparator</w:t>
            </w:r>
          </w:p>
        </w:tc>
        <w:tc>
          <w:tcPr>
            <w:tcW w:type="dxa" w:w="1440"/>
            <w:shd w:val="clear" w:color="auto" w:fill="D9E2F3"/>
          </w:tcPr>
          <w:p>
            <w:r/>
            <w:r>
              <w:rPr>
                <w:b/>
                <w:sz w:val="20"/>
              </w:rPr>
              <w:t>Audit format</w:t>
            </w:r>
          </w:p>
        </w:tc>
        <w:tc>
          <w:tcPr>
            <w:tcW w:type="dxa" w:w="1440"/>
            <w:shd w:val="clear" w:color="auto" w:fill="D9E2F3"/>
          </w:tcPr>
          <w:p>
            <w:r/>
            <w:r>
              <w:rPr>
                <w:b/>
                <w:sz w:val="20"/>
              </w:rPr>
              <w:t>Tamper-evident?</w:t>
            </w:r>
          </w:p>
        </w:tc>
        <w:tc>
          <w:tcPr>
            <w:tcW w:type="dxa" w:w="1440"/>
            <w:shd w:val="clear" w:color="auto" w:fill="D9E2F3"/>
          </w:tcPr>
          <w:p>
            <w:r/>
            <w:r>
              <w:rPr>
                <w:b/>
                <w:sz w:val="20"/>
              </w:rPr>
              <w:t>Standardised wire?</w:t>
            </w:r>
          </w:p>
        </w:tc>
        <w:tc>
          <w:tcPr>
            <w:tcW w:type="dxa" w:w="1440"/>
            <w:shd w:val="clear" w:color="auto" w:fill="D9E2F3"/>
          </w:tcPr>
          <w:p>
            <w:r/>
            <w:r>
              <w:rPr>
                <w:b/>
                <w:sz w:val="20"/>
              </w:rPr>
              <w:t>Independent peer agents?</w:t>
            </w:r>
          </w:p>
        </w:tc>
        <w:tc>
          <w:tcPr>
            <w:tcW w:type="dxa" w:w="1440"/>
            <w:shd w:val="clear" w:color="auto" w:fill="D9E2F3"/>
          </w:tcPr>
          <w:p>
            <w:r/>
            <w:r>
              <w:rPr>
                <w:b/>
                <w:sz w:val="20"/>
              </w:rPr>
              <w:t>Notes</w:t>
            </w:r>
          </w:p>
        </w:tc>
      </w:tr>
      <w:tr>
        <w:tc>
          <w:tcPr>
            <w:tcW w:type="dxa" w:w="1440"/>
          </w:tcPr>
          <w:p>
            <w:r/>
            <w:r>
              <w:rPr>
                <w:sz w:val="20"/>
              </w:rPr>
              <w:t>4M+1 (this work)</w:t>
            </w:r>
          </w:p>
        </w:tc>
        <w:tc>
          <w:tcPr>
            <w:tcW w:type="dxa" w:w="1440"/>
          </w:tcPr>
          <w:p>
            <w:r/>
            <w:r>
              <w:rPr>
                <w:sz w:val="20"/>
              </w:rPr>
              <w:t>JSONL + OTel</w:t>
            </w:r>
          </w:p>
        </w:tc>
        <w:tc>
          <w:tcPr>
            <w:tcW w:type="dxa" w:w="1440"/>
          </w:tcPr>
          <w:p>
            <w:r/>
            <w:r>
              <w:rPr>
                <w:sz w:val="20"/>
              </w:rPr>
              <w:t>Yes (Stream A signed, append-only)</w:t>
            </w:r>
          </w:p>
        </w:tc>
        <w:tc>
          <w:tcPr>
            <w:tcW w:type="dxa" w:w="1440"/>
          </w:tcPr>
          <w:p>
            <w:r/>
            <w:r>
              <w:rPr>
                <w:sz w:val="20"/>
              </w:rPr>
              <w:t>Yes (stdio JSON-RPC)</w:t>
            </w:r>
          </w:p>
        </w:tc>
        <w:tc>
          <w:tcPr>
            <w:tcW w:type="dxa" w:w="1440"/>
          </w:tcPr>
          <w:p>
            <w:r/>
            <w:r>
              <w:rPr>
                <w:sz w:val="20"/>
              </w:rPr>
              <w:t>Yes (sec-agent + qa-agent)</w:t>
            </w:r>
          </w:p>
        </w:tc>
        <w:tc>
          <w:tcPr>
            <w:tcW w:type="dxa" w:w="1440"/>
          </w:tcPr>
          <w:p>
            <w:r/>
            <w:r>
              <w:rPr>
                <w:sz w:val="20"/>
              </w:rPr>
              <w:t>Reference implementation</w:t>
            </w:r>
          </w:p>
        </w:tc>
      </w:tr>
      <w:tr>
        <w:tc>
          <w:tcPr>
            <w:tcW w:type="dxa" w:w="1440"/>
          </w:tcPr>
          <w:p>
            <w:r/>
            <w:r>
              <w:rPr>
                <w:sz w:val="20"/>
              </w:rPr>
              <w:t>NemoClaw / OpenClaw</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Structural focus; complementary to semantic</w:t>
            </w:r>
          </w:p>
        </w:tc>
      </w:tr>
      <w:tr>
        <w:tc>
          <w:tcPr>
            <w:tcW w:type="dxa" w:w="1440"/>
          </w:tcPr>
          <w:p>
            <w:r/>
            <w:r>
              <w:rPr>
                <w:sz w:val="20"/>
              </w:rPr>
              <w:t>Constitutional AI</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Training-time, not runtime governance</w:t>
            </w:r>
          </w:p>
        </w:tc>
      </w:tr>
      <w:tr>
        <w:tc>
          <w:tcPr>
            <w:tcW w:type="dxa" w:w="1440"/>
          </w:tcPr>
          <w:p>
            <w:r/>
            <w:r>
              <w:rPr>
                <w:sz w:val="20"/>
              </w:rPr>
              <w:t>RLHF (general)</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Training-time, not auditable per-action</w:t>
            </w:r>
          </w:p>
        </w:tc>
      </w:tr>
      <w:tr>
        <w:tc>
          <w:tcPr>
            <w:tcW w:type="dxa" w:w="1440"/>
          </w:tcPr>
          <w:p>
            <w:r/>
            <w:r>
              <w:rPr>
                <w:sz w:val="20"/>
              </w:rPr>
              <w:t>MCP</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Tool protocol, not governance</w:t>
            </w:r>
          </w:p>
        </w:tc>
      </w:tr>
      <w:tr>
        <w:tc>
          <w:tcPr>
            <w:tcW w:type="dxa" w:w="1440"/>
          </w:tcPr>
          <w:p>
            <w:r/>
            <w:r>
              <w:rPr>
                <w:sz w:val="20"/>
              </w:rPr>
              <w:t>LangSmith / Braintrust / Weave / Phoenix</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[TBD]</w:t>
            </w:r>
          </w:p>
        </w:tc>
        <w:tc>
          <w:tcPr>
            <w:tcW w:type="dxa" w:w="1440"/>
          </w:tcPr>
          <w:p>
            <w:r/>
            <w:r>
              <w:rPr>
                <w:sz w:val="20"/>
              </w:rPr>
              <w:t>Observability, not governance</w:t>
            </w:r>
          </w:p>
        </w:tc>
      </w:tr>
    </w:tbl>
    <w:p>
      <w:pPr>
        <w:jc w:val="center"/>
      </w:pPr>
      <w:r>
        <w:rPr>
          <w:i/>
          <w:sz w:val="20"/>
        </w:rPr>
        <w:t>Table H.2 — Architectural properties comparison (placeholder).</w:t>
      </w:r>
    </w:p>
    <w:p/>
    <w:p>
      <w:pPr>
        <w:pStyle w:val="Heading2"/>
      </w:pPr>
      <w:r>
        <w:rPr>
          <w:color w:val="000000"/>
        </w:rPr>
        <w:t>H.3 Methodology Notes</w:t>
      </w:r>
    </w:p>
    <w:p>
      <w:r>
        <w:rPr>
          <w:b w:val="0"/>
          <w:i w:val="0"/>
          <w:sz w:val="22"/>
        </w:rPr>
        <w:t>Industry comparisons are produced from public documentation, peer-reviewed publications, and reproduction-where-possible against published interfaces. Each populated cell will reference the source of the comparison datum; for comparators that do not publish equivalent measurements, the corresponding row will be marked "not published" rather than left as [TBD].</w:t>
      </w:r>
    </w:p>
    <w:p>
      <w:r>
        <w:br w:type="page"/>
      </w:r>
    </w:p>
    <w:p>
      <w:pPr>
        <w:pStyle w:val="Heading1"/>
      </w:pPr>
      <w:r>
        <w:rPr>
          <w:color w:val="000000"/>
        </w:rPr>
        <w:t>Appendix I — Internal Benchmarks</w:t>
      </w:r>
    </w:p>
    <w:p>
      <w:r>
        <w:rPr>
          <w:b w:val="0"/>
          <w:i w:val="0"/>
          <w:sz w:val="22"/>
        </w:rPr>
        <w:t>This appendix structures the measured performance of the 4M+1 reference implementation. v1 of this paper publishes the appendix with the metrics defined and the methodology specified, but with measurements pending — the reference implementation is in active development per the phased plan (see Appendix E). Subsequent versioned releases will populate the values as the implementation phases land. Methodology notes accompany each metric so the measurement is reproducible against any conforming implementation.</w:t>
      </w:r>
    </w:p>
    <w:p/>
    <w:p>
      <w:pPr>
        <w:pStyle w:val="Heading2"/>
      </w:pPr>
      <w:r>
        <w:rPr>
          <w:color w:val="000000"/>
        </w:rPr>
        <w:t>I.1 Latency Metrics</w:t>
      </w:r>
    </w:p>
    <w:p>
      <w:r>
        <w:rPr>
          <w:b w:val="0"/>
          <w:i w:val="0"/>
          <w:sz w:val="22"/>
        </w:rPr>
        <w:t>Latency metrics for the reference implementation. Phase column references the implementation phase (Appendix E) at which the measurement becomes possible. All measurements taken on a documented reference profile (TBD: specific hardware, OS, kernel version, Go version, governance ledger filesystem class).</w:t>
      </w:r>
    </w:p>
    <w:p/>
    <w:tbl>
      <w:tblPr>
        <w:tblStyle w:val="LightGrid-Accent1"/>
        <w:tblW w:type="auto" w:w="0"/>
        <w:jc w:val="left"/>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20"/>
              </w:rPr>
              <w:t>Metric</w:t>
            </w:r>
          </w:p>
        </w:tc>
        <w:tc>
          <w:tcPr>
            <w:tcW w:type="dxa" w:w="1440"/>
            <w:shd w:val="clear" w:color="auto" w:fill="D9E2F3"/>
          </w:tcPr>
          <w:p>
            <w:r/>
            <w:r>
              <w:rPr>
                <w:b/>
                <w:sz w:val="20"/>
              </w:rPr>
              <w:t>Median</w:t>
            </w:r>
          </w:p>
        </w:tc>
        <w:tc>
          <w:tcPr>
            <w:tcW w:type="dxa" w:w="1440"/>
            <w:shd w:val="clear" w:color="auto" w:fill="D9E2F3"/>
          </w:tcPr>
          <w:p>
            <w:r/>
            <w:r>
              <w:rPr>
                <w:b/>
                <w:sz w:val="20"/>
              </w:rPr>
              <w:t>p99</w:t>
            </w:r>
          </w:p>
        </w:tc>
        <w:tc>
          <w:tcPr>
            <w:tcW w:type="dxa" w:w="1440"/>
            <w:shd w:val="clear" w:color="auto" w:fill="D9E2F3"/>
          </w:tcPr>
          <w:p>
            <w:r/>
            <w:r>
              <w:rPr>
                <w:b/>
                <w:sz w:val="20"/>
              </w:rPr>
              <w:t>Methodology</w:t>
            </w:r>
          </w:p>
        </w:tc>
        <w:tc>
          <w:tcPr>
            <w:tcW w:type="dxa" w:w="1440"/>
            <w:shd w:val="clear" w:color="auto" w:fill="D9E2F3"/>
          </w:tcPr>
          <w:p>
            <w:r/>
            <w:r>
              <w:rPr>
                <w:b/>
                <w:sz w:val="20"/>
              </w:rPr>
              <w:t>Phase landed</w:t>
            </w:r>
          </w:p>
        </w:tc>
        <w:tc>
          <w:tcPr>
            <w:tcW w:type="dxa" w:w="1440"/>
            <w:shd w:val="clear" w:color="auto" w:fill="D9E2F3"/>
          </w:tcPr>
          <w:p>
            <w:r/>
            <w:r>
              <w:rPr>
                <w:b/>
                <w:sz w:val="20"/>
              </w:rPr>
              <w:t>Notes</w:t>
            </w:r>
          </w:p>
        </w:tc>
      </w:tr>
      <w:tr>
        <w:tc>
          <w:tcPr>
            <w:tcW w:type="dxa" w:w="1440"/>
          </w:tcPr>
          <w:p>
            <w:r/>
            <w:r>
              <w:rPr>
                <w:sz w:val="20"/>
              </w:rPr>
              <w:t>Wire-protocol handshake latency (FDs 3/4 setup → first verdict ready)</w:t>
            </w:r>
          </w:p>
        </w:tc>
        <w:tc>
          <w:tcPr>
            <w:tcW w:type="dxa" w:w="1440"/>
          </w:tcPr>
          <w:p>
            <w:r/>
            <w:r>
              <w:rPr>
                <w:sz w:val="20"/>
              </w:rPr>
              <w:t>[TBD]</w:t>
            </w:r>
          </w:p>
        </w:tc>
        <w:tc>
          <w:tcPr>
            <w:tcW w:type="dxa" w:w="1440"/>
          </w:tcPr>
          <w:p>
            <w:r/>
            <w:r>
              <w:rPr>
                <w:sz w:val="20"/>
              </w:rPr>
              <w:t>[TBD]</w:t>
            </w:r>
          </w:p>
        </w:tc>
        <w:tc>
          <w:tcPr>
            <w:tcW w:type="dxa" w:w="1440"/>
          </w:tcPr>
          <w:p>
            <w:r/>
            <w:r>
              <w:rPr>
                <w:sz w:val="20"/>
              </w:rPr>
              <w:t>10k synthetic handshakes; per-run sidecar lifecycle; warm filesystem cache; stable hardware reference profile (TBD spec)</w:t>
            </w:r>
          </w:p>
        </w:tc>
        <w:tc>
          <w:tcPr>
            <w:tcW w:type="dxa" w:w="1440"/>
          </w:tcPr>
          <w:p>
            <w:r/>
            <w:r>
              <w:rPr>
                <w:sz w:val="20"/>
              </w:rPr>
              <w:t>P1</w:t>
            </w:r>
          </w:p>
        </w:tc>
        <w:tc>
          <w:tcPr>
            <w:tcW w:type="dxa" w:w="1440"/>
          </w:tcPr>
          <w:p>
            <w:r/>
            <w:r>
              <w:rPr>
                <w:sz w:val="20"/>
              </w:rPr>
              <w:t>Per-agent-run cost</w:t>
            </w:r>
          </w:p>
        </w:tc>
      </w:tr>
      <w:tr>
        <w:tc>
          <w:tcPr>
            <w:tcW w:type="dxa" w:w="1440"/>
          </w:tcPr>
          <w:p>
            <w:r/>
            <w:r>
              <w:rPr>
                <w:sz w:val="20"/>
              </w:rPr>
              <w:t>Gate evaluation latency (single gate, in-process)</w:t>
            </w:r>
          </w:p>
        </w:tc>
        <w:tc>
          <w:tcPr>
            <w:tcW w:type="dxa" w:w="1440"/>
          </w:tcPr>
          <w:p>
            <w:r/>
            <w:r>
              <w:rPr>
                <w:sz w:val="20"/>
              </w:rPr>
              <w:t>[TBD]</w:t>
            </w:r>
          </w:p>
        </w:tc>
        <w:tc>
          <w:tcPr>
            <w:tcW w:type="dxa" w:w="1440"/>
          </w:tcPr>
          <w:p>
            <w:r/>
            <w:r>
              <w:rPr>
                <w:sz w:val="20"/>
              </w:rPr>
              <w:t>[TBD]</w:t>
            </w:r>
          </w:p>
        </w:tc>
        <w:tc>
          <w:tcPr>
            <w:tcW w:type="dxa" w:w="1440"/>
          </w:tcPr>
          <w:p>
            <w:r/>
            <w:r>
              <w:rPr>
                <w:sz w:val="20"/>
              </w:rPr>
              <w:t>10k synthetic actions; mixed gate types; reference profile</w:t>
            </w:r>
          </w:p>
        </w:tc>
        <w:tc>
          <w:tcPr>
            <w:tcW w:type="dxa" w:w="1440"/>
          </w:tcPr>
          <w:p>
            <w:r/>
            <w:r>
              <w:rPr>
                <w:sz w:val="20"/>
              </w:rPr>
              <w:t>P3</w:t>
            </w:r>
          </w:p>
        </w:tc>
        <w:tc>
          <w:tcPr>
            <w:tcW w:type="dxa" w:w="1440"/>
          </w:tcPr>
          <w:p>
            <w:r/>
            <w:r>
              <w:rPr>
                <w:sz w:val="20"/>
              </w:rPr>
              <w:t>Excludes peer-agent IPC</w:t>
            </w:r>
          </w:p>
        </w:tc>
      </w:tr>
      <w:tr>
        <w:tc>
          <w:tcPr>
            <w:tcW w:type="dxa" w:w="1440"/>
          </w:tcPr>
          <w:p>
            <w:r/>
            <w:r>
              <w:rPr>
                <w:sz w:val="20"/>
              </w:rPr>
              <w:t>Peer-agent IPC overhead (gRPC over Unix socket)</w:t>
            </w:r>
          </w:p>
        </w:tc>
        <w:tc>
          <w:tcPr>
            <w:tcW w:type="dxa" w:w="1440"/>
          </w:tcPr>
          <w:p>
            <w:r/>
            <w:r>
              <w:rPr>
                <w:sz w:val="20"/>
              </w:rPr>
              <w:t>[TBD]</w:t>
            </w:r>
          </w:p>
        </w:tc>
        <w:tc>
          <w:tcPr>
            <w:tcW w:type="dxa" w:w="1440"/>
          </w:tcPr>
          <w:p>
            <w:r/>
            <w:r>
              <w:rPr>
                <w:sz w:val="20"/>
              </w:rPr>
              <w:t>[TBD]</w:t>
            </w:r>
          </w:p>
        </w:tc>
        <w:tc>
          <w:tcPr>
            <w:tcW w:type="dxa" w:w="1440"/>
          </w:tcPr>
          <w:p>
            <w:r/>
            <w:r>
              <w:rPr>
                <w:sz w:val="20"/>
              </w:rPr>
              <w:t>10k synthetic gate evaluations consulting one peer; warm connection; reference profile</w:t>
            </w:r>
          </w:p>
        </w:tc>
        <w:tc>
          <w:tcPr>
            <w:tcW w:type="dxa" w:w="1440"/>
          </w:tcPr>
          <w:p>
            <w:r/>
            <w:r>
              <w:rPr>
                <w:sz w:val="20"/>
              </w:rPr>
              <w:t>P6</w:t>
            </w:r>
          </w:p>
        </w:tc>
        <w:tc>
          <w:tcPr>
            <w:tcW w:type="dxa" w:w="1440"/>
          </w:tcPr>
          <w:p>
            <w:r/>
            <w:r>
              <w:rPr>
                <w:sz w:val="20"/>
              </w:rPr>
              <w:t>Adds to gate evaluation latency for peer-routed gates</w:t>
            </w:r>
          </w:p>
        </w:tc>
      </w:tr>
      <w:tr>
        <w:tc>
          <w:tcPr>
            <w:tcW w:type="dxa" w:w="1440"/>
          </w:tcPr>
          <w:p>
            <w:r/>
            <w:r>
              <w:rPr>
                <w:sz w:val="20"/>
              </w:rPr>
              <w:t>Audit ledger growth rate (Stream A)</w:t>
            </w:r>
          </w:p>
        </w:tc>
        <w:tc>
          <w:tcPr>
            <w:tcW w:type="dxa" w:w="1440"/>
          </w:tcPr>
          <w:p>
            <w:r/>
            <w:r>
              <w:rPr>
                <w:sz w:val="20"/>
              </w:rPr>
              <w:t>[TBD]</w:t>
            </w:r>
          </w:p>
        </w:tc>
        <w:tc>
          <w:tcPr>
            <w:tcW w:type="dxa" w:w="1440"/>
          </w:tcPr>
          <w:p>
            <w:r/>
            <w:r>
              <w:rPr>
                <w:sz w:val="20"/>
              </w:rPr>
              <w:t>[TBD]</w:t>
            </w:r>
          </w:p>
        </w:tc>
        <w:tc>
          <w:tcPr>
            <w:tcW w:type="dxa" w:w="1440"/>
          </w:tcPr>
          <w:p>
            <w:r/>
            <w:r>
              <w:rPr>
                <w:sz w:val="20"/>
              </w:rPr>
              <w:t>Per-agent-run measurements across representative workloads; bytes per gate evaluation; bytes per consequential action</w:t>
            </w:r>
          </w:p>
        </w:tc>
        <w:tc>
          <w:tcPr>
            <w:tcW w:type="dxa" w:w="1440"/>
          </w:tcPr>
          <w:p>
            <w:r/>
            <w:r>
              <w:rPr>
                <w:sz w:val="20"/>
              </w:rPr>
              <w:t>P4</w:t>
            </w:r>
          </w:p>
        </w:tc>
        <w:tc>
          <w:tcPr>
            <w:tcW w:type="dxa" w:w="1440"/>
          </w:tcPr>
          <w:p>
            <w:r/>
            <w:r>
              <w:rPr>
                <w:sz w:val="20"/>
              </w:rPr>
              <w:t>Drives storage planning</w:t>
            </w:r>
          </w:p>
        </w:tc>
      </w:tr>
      <w:tr>
        <w:tc>
          <w:tcPr>
            <w:tcW w:type="dxa" w:w="1440"/>
          </w:tcPr>
          <w:p>
            <w:r/>
            <w:r>
              <w:rPr>
                <w:sz w:val="20"/>
              </w:rPr>
              <w:t>OTel span emission overhead</w:t>
            </w:r>
          </w:p>
        </w:tc>
        <w:tc>
          <w:tcPr>
            <w:tcW w:type="dxa" w:w="1440"/>
          </w:tcPr>
          <w:p>
            <w:r/>
            <w:r>
              <w:rPr>
                <w:sz w:val="20"/>
              </w:rPr>
              <w:t>[TBD]</w:t>
            </w:r>
          </w:p>
        </w:tc>
        <w:tc>
          <w:tcPr>
            <w:tcW w:type="dxa" w:w="1440"/>
          </w:tcPr>
          <w:p>
            <w:r/>
            <w:r>
              <w:rPr>
                <w:sz w:val="20"/>
              </w:rPr>
              <w:t>[TBD]</w:t>
            </w:r>
          </w:p>
        </w:tc>
        <w:tc>
          <w:tcPr>
            <w:tcW w:type="dxa" w:w="1440"/>
          </w:tcPr>
          <w:p>
            <w:r/>
            <w:r>
              <w:rPr>
                <w:sz w:val="20"/>
              </w:rPr>
              <w:t>10k spans emitted with default Phoenix exporter; batched mode; reference profile</w:t>
            </w:r>
          </w:p>
        </w:tc>
        <w:tc>
          <w:tcPr>
            <w:tcW w:type="dxa" w:w="1440"/>
          </w:tcPr>
          <w:p>
            <w:r/>
            <w:r>
              <w:rPr>
                <w:sz w:val="20"/>
              </w:rPr>
              <w:t>P4</w:t>
            </w:r>
          </w:p>
        </w:tc>
        <w:tc>
          <w:tcPr>
            <w:tcW w:type="dxa" w:w="1440"/>
          </w:tcPr>
          <w:p>
            <w:r/>
            <w:r>
              <w:rPr>
                <w:sz w:val="20"/>
              </w:rPr>
              <w:t>Stream B sampling configurable</w:t>
            </w:r>
          </w:p>
        </w:tc>
      </w:tr>
      <w:tr>
        <w:tc>
          <w:tcPr>
            <w:tcW w:type="dxa" w:w="1440"/>
          </w:tcPr>
          <w:p>
            <w:r/>
            <w:r>
              <w:rPr>
                <w:sz w:val="20"/>
              </w:rPr>
              <w:t>Verification chain replay time (downstream reviewer)</w:t>
            </w:r>
          </w:p>
        </w:tc>
        <w:tc>
          <w:tcPr>
            <w:tcW w:type="dxa" w:w="1440"/>
          </w:tcPr>
          <w:p>
            <w:r/>
            <w:r>
              <w:rPr>
                <w:sz w:val="20"/>
              </w:rPr>
              <w:t>[TBD]</w:t>
            </w:r>
          </w:p>
        </w:tc>
        <w:tc>
          <w:tcPr>
            <w:tcW w:type="dxa" w:w="1440"/>
          </w:tcPr>
          <w:p>
            <w:r/>
            <w:r>
              <w:rPr>
                <w:sz w:val="20"/>
              </w:rPr>
              <w:t>[TBD]</w:t>
            </w:r>
          </w:p>
        </w:tc>
        <w:tc>
          <w:tcPr>
            <w:tcW w:type="dxa" w:w="1440"/>
          </w:tcPr>
          <w:p>
            <w:r/>
            <w:r>
              <w:rPr>
                <w:sz w:val="20"/>
              </w:rPr>
              <w:t>Run-finalised manifest with N=1k audit entries; signature verification per entry; cold cache</w:t>
            </w:r>
          </w:p>
        </w:tc>
        <w:tc>
          <w:tcPr>
            <w:tcW w:type="dxa" w:w="1440"/>
          </w:tcPr>
          <w:p>
            <w:r/>
            <w:r>
              <w:rPr>
                <w:sz w:val="20"/>
              </w:rPr>
              <w:t>P4</w:t>
            </w:r>
          </w:p>
        </w:tc>
        <w:tc>
          <w:tcPr>
            <w:tcW w:type="dxa" w:w="1440"/>
          </w:tcPr>
          <w:p>
            <w:r/>
            <w:r>
              <w:rPr>
                <w:sz w:val="20"/>
              </w:rPr>
              <w:t>Auditability cost</w:t>
            </w:r>
          </w:p>
        </w:tc>
      </w:tr>
      <w:tr>
        <w:tc>
          <w:tcPr>
            <w:tcW w:type="dxa" w:w="1440"/>
          </w:tcPr>
          <w:p>
            <w:r/>
            <w:r>
              <w:rPr>
                <w:sz w:val="20"/>
              </w:rPr>
              <w:t>Peer-agent crash recovery time (omaestro detection → fail-stop)</w:t>
            </w:r>
          </w:p>
        </w:tc>
        <w:tc>
          <w:tcPr>
            <w:tcW w:type="dxa" w:w="1440"/>
          </w:tcPr>
          <w:p>
            <w:r/>
            <w:r>
              <w:rPr>
                <w:sz w:val="20"/>
              </w:rPr>
              <w:t>[TBD]</w:t>
            </w:r>
          </w:p>
        </w:tc>
        <w:tc>
          <w:tcPr>
            <w:tcW w:type="dxa" w:w="1440"/>
          </w:tcPr>
          <w:p>
            <w:r/>
            <w:r>
              <w:rPr>
                <w:sz w:val="20"/>
              </w:rPr>
              <w:t>[TBD]</w:t>
            </w:r>
          </w:p>
        </w:tc>
        <w:tc>
          <w:tcPr>
            <w:tcW w:type="dxa" w:w="1440"/>
          </w:tcPr>
          <w:p>
            <w:r/>
            <w:r>
              <w:rPr>
                <w:sz w:val="20"/>
              </w:rPr>
              <w:t>Synthetic crash injection at random points during run; measure detection-to-fail-stop interval</w:t>
            </w:r>
          </w:p>
        </w:tc>
        <w:tc>
          <w:tcPr>
            <w:tcW w:type="dxa" w:w="1440"/>
          </w:tcPr>
          <w:p>
            <w:r/>
            <w:r>
              <w:rPr>
                <w:sz w:val="20"/>
              </w:rPr>
              <w:t>P6</w:t>
            </w:r>
          </w:p>
        </w:tc>
        <w:tc>
          <w:tcPr>
            <w:tcW w:type="dxa" w:w="1440"/>
          </w:tcPr>
          <w:p>
            <w:r/>
            <w:r>
              <w:rPr>
                <w:sz w:val="20"/>
              </w:rPr>
              <w:t>Critical for fail-stop semantics</w:t>
            </w:r>
          </w:p>
        </w:tc>
      </w:tr>
      <w:tr>
        <w:tc>
          <w:tcPr>
            <w:tcW w:type="dxa" w:w="1440"/>
          </w:tcPr>
          <w:p>
            <w:r/>
            <w:r>
              <w:rPr>
                <w:sz w:val="20"/>
              </w:rPr>
              <w:t>Sandbox capability probe overhead at handshake</w:t>
            </w:r>
          </w:p>
        </w:tc>
        <w:tc>
          <w:tcPr>
            <w:tcW w:type="dxa" w:w="1440"/>
          </w:tcPr>
          <w:p>
            <w:r/>
            <w:r>
              <w:rPr>
                <w:sz w:val="20"/>
              </w:rPr>
              <w:t>[TBD]</w:t>
            </w:r>
          </w:p>
        </w:tc>
        <w:tc>
          <w:tcPr>
            <w:tcW w:type="dxa" w:w="1440"/>
          </w:tcPr>
          <w:p>
            <w:r/>
            <w:r>
              <w:rPr>
                <w:sz w:val="20"/>
              </w:rPr>
              <w:t>[TBD]</w:t>
            </w:r>
          </w:p>
        </w:tc>
        <w:tc>
          <w:tcPr>
            <w:tcW w:type="dxa" w:w="1440"/>
          </w:tcPr>
          <w:p>
            <w:r/>
            <w:r>
              <w:rPr>
                <w:sz w:val="20"/>
              </w:rPr>
              <w:t>Probes for full requires_sandbox capability set; reference sandbox configurations (Landlock + seccomp; gVisor; Firecracker)</w:t>
            </w:r>
          </w:p>
        </w:tc>
        <w:tc>
          <w:tcPr>
            <w:tcW w:type="dxa" w:w="1440"/>
          </w:tcPr>
          <w:p>
            <w:r/>
            <w:r>
              <w:rPr>
                <w:sz w:val="20"/>
              </w:rPr>
              <w:t>P7</w:t>
            </w:r>
          </w:p>
        </w:tc>
        <w:tc>
          <w:tcPr>
            <w:tcW w:type="dxa" w:w="1440"/>
          </w:tcPr>
          <w:p>
            <w:r/>
            <w:r>
              <w:rPr>
                <w:sz w:val="20"/>
              </w:rPr>
              <w:t>Per-handshake one-time cost</w:t>
            </w:r>
          </w:p>
        </w:tc>
      </w:tr>
      <w:tr>
        <w:tc>
          <w:tcPr>
            <w:tcW w:type="dxa" w:w="1440"/>
          </w:tcPr>
          <w:p>
            <w:r/>
            <w:r>
              <w:rPr>
                <w:sz w:val="20"/>
              </w:rPr>
              <w:t>Manifest load time (parse + validate + verify)</w:t>
            </w:r>
          </w:p>
        </w:tc>
        <w:tc>
          <w:tcPr>
            <w:tcW w:type="dxa" w:w="1440"/>
          </w:tcPr>
          <w:p>
            <w:r/>
            <w:r>
              <w:rPr>
                <w:sz w:val="20"/>
              </w:rPr>
              <w:t>[TBD]</w:t>
            </w:r>
          </w:p>
        </w:tc>
        <w:tc>
          <w:tcPr>
            <w:tcW w:type="dxa" w:w="1440"/>
          </w:tcPr>
          <w:p>
            <w:r/>
            <w:r>
              <w:rPr>
                <w:sz w:val="20"/>
              </w:rPr>
              <w:t>[TBD]</w:t>
            </w:r>
          </w:p>
        </w:tc>
        <w:tc>
          <w:tcPr>
            <w:tcW w:type="dxa" w:w="1440"/>
          </w:tcPr>
          <w:p>
            <w:r/>
            <w:r>
              <w:rPr>
                <w:sz w:val="20"/>
              </w:rPr>
              <w:t>Cold-start manifest load with realistic five-module corpus; YAML frontmatter strict-mode parsing; signature verification</w:t>
            </w:r>
          </w:p>
        </w:tc>
        <w:tc>
          <w:tcPr>
            <w:tcW w:type="dxa" w:w="1440"/>
          </w:tcPr>
          <w:p>
            <w:r/>
            <w:r>
              <w:rPr>
                <w:sz w:val="20"/>
              </w:rPr>
              <w:t>P0 / P2</w:t>
            </w:r>
          </w:p>
        </w:tc>
        <w:tc>
          <w:tcPr>
            <w:tcW w:type="dxa" w:w="1440"/>
          </w:tcPr>
          <w:p>
            <w:r/>
            <w:r>
              <w:rPr>
                <w:sz w:val="20"/>
              </w:rPr>
              <w:t>Drives per-run startup cost</w:t>
            </w:r>
          </w:p>
        </w:tc>
      </w:tr>
      <w:tr>
        <w:tc>
          <w:tcPr>
            <w:tcW w:type="dxa" w:w="1440"/>
          </w:tcPr>
          <w:p>
            <w:r/>
            <w:r>
              <w:rPr>
                <w:sz w:val="20"/>
              </w:rPr>
              <w:t>Agent-side wrapper overhead (pkg/omaestrolib vs. direct wire)</w:t>
            </w:r>
          </w:p>
        </w:tc>
        <w:tc>
          <w:tcPr>
            <w:tcW w:type="dxa" w:w="1440"/>
          </w:tcPr>
          <w:p>
            <w:r/>
            <w:r>
              <w:rPr>
                <w:sz w:val="20"/>
              </w:rPr>
              <w:t>[TBD]</w:t>
            </w:r>
          </w:p>
        </w:tc>
        <w:tc>
          <w:tcPr>
            <w:tcW w:type="dxa" w:w="1440"/>
          </w:tcPr>
          <w:p>
            <w:r/>
            <w:r>
              <w:rPr>
                <w:sz w:val="20"/>
              </w:rPr>
              <w:t>[TBD]</w:t>
            </w:r>
          </w:p>
        </w:tc>
        <w:tc>
          <w:tcPr>
            <w:tcW w:type="dxa" w:w="1440"/>
          </w:tcPr>
          <w:p>
            <w:r/>
            <w:r>
              <w:rPr>
                <w:sz w:val="20"/>
              </w:rPr>
              <w:t>Compare typed-Go convenience client vs. raw stdio JSON-RPC under identical workloads</w:t>
            </w:r>
          </w:p>
        </w:tc>
        <w:tc>
          <w:tcPr>
            <w:tcW w:type="dxa" w:w="1440"/>
          </w:tcPr>
          <w:p>
            <w:r/>
            <w:r>
              <w:rPr>
                <w:sz w:val="20"/>
              </w:rPr>
              <w:t>P1</w:t>
            </w:r>
          </w:p>
        </w:tc>
        <w:tc>
          <w:tcPr>
            <w:tcW w:type="dxa" w:w="1440"/>
          </w:tcPr>
          <w:p>
            <w:r/>
            <w:r>
              <w:rPr>
                <w:sz w:val="20"/>
              </w:rPr>
              <w:t>Library transparency check</w:t>
            </w:r>
          </w:p>
        </w:tc>
      </w:tr>
    </w:tbl>
    <w:p>
      <w:pPr>
        <w:jc w:val="center"/>
      </w:pPr>
      <w:r>
        <w:rPr>
          <w:i/>
          <w:sz w:val="20"/>
        </w:rPr>
        <w:t>Table I.1 — Latency metrics for the reference implementation (placeholder).</w:t>
      </w:r>
    </w:p>
    <w:p/>
    <w:p>
      <w:pPr>
        <w:pStyle w:val="Heading2"/>
      </w:pPr>
      <w:r>
        <w:rPr>
          <w:color w:val="000000"/>
        </w:rPr>
        <w:t>I.2 Resource Footprint</w:t>
      </w:r>
    </w:p>
    <w:p>
      <w:r>
        <w:rPr>
          <w:b w:val="0"/>
          <w:i w:val="0"/>
          <w:sz w:val="22"/>
        </w:rPr>
        <w:t>Steady-state and burst resource consumption of the orchestrator and peer agents under representative workloads.</w:t>
      </w:r>
    </w:p>
    <w:p/>
    <w:tbl>
      <w:tblPr>
        <w:tblStyle w:val="LightGrid-Accent1"/>
        <w:tblW w:type="auto" w:w="0"/>
        <w:jc w:val="left"/>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0"/>
              </w:rPr>
              <w:t>Resource</w:t>
            </w:r>
          </w:p>
        </w:tc>
        <w:tc>
          <w:tcPr>
            <w:tcW w:type="dxa" w:w="1728"/>
            <w:shd w:val="clear" w:color="auto" w:fill="D9E2F3"/>
          </w:tcPr>
          <w:p>
            <w:r/>
            <w:r>
              <w:rPr>
                <w:b/>
                <w:sz w:val="20"/>
              </w:rPr>
              <w:t>Steady-state</w:t>
            </w:r>
          </w:p>
        </w:tc>
        <w:tc>
          <w:tcPr>
            <w:tcW w:type="dxa" w:w="1728"/>
            <w:shd w:val="clear" w:color="auto" w:fill="D9E2F3"/>
          </w:tcPr>
          <w:p>
            <w:r/>
            <w:r>
              <w:rPr>
                <w:b/>
                <w:sz w:val="20"/>
              </w:rPr>
              <w:t>Burst</w:t>
            </w:r>
          </w:p>
        </w:tc>
        <w:tc>
          <w:tcPr>
            <w:tcW w:type="dxa" w:w="1728"/>
            <w:shd w:val="clear" w:color="auto" w:fill="D9E2F3"/>
          </w:tcPr>
          <w:p>
            <w:r/>
            <w:r>
              <w:rPr>
                <w:b/>
                <w:sz w:val="20"/>
              </w:rPr>
              <w:t>Methodology</w:t>
            </w:r>
          </w:p>
        </w:tc>
        <w:tc>
          <w:tcPr>
            <w:tcW w:type="dxa" w:w="1728"/>
            <w:shd w:val="clear" w:color="auto" w:fill="D9E2F3"/>
          </w:tcPr>
          <w:p>
            <w:r/>
            <w:r>
              <w:rPr>
                <w:b/>
                <w:sz w:val="20"/>
              </w:rPr>
              <w:t>Notes</w:t>
            </w:r>
          </w:p>
        </w:tc>
      </w:tr>
      <w:tr>
        <w:tc>
          <w:tcPr>
            <w:tcW w:type="dxa" w:w="1728"/>
          </w:tcPr>
          <w:p>
            <w:r/>
            <w:r>
              <w:rPr>
                <w:sz w:val="20"/>
              </w:rPr>
              <w:t>RAM (orchestrator process, idle)</w:t>
            </w:r>
          </w:p>
        </w:tc>
        <w:tc>
          <w:tcPr>
            <w:tcW w:type="dxa" w:w="1728"/>
          </w:tcPr>
          <w:p>
            <w:r/>
            <w:r>
              <w:rPr>
                <w:sz w:val="20"/>
              </w:rPr>
              <w:t>[TBD]</w:t>
            </w:r>
          </w:p>
        </w:tc>
        <w:tc>
          <w:tcPr>
            <w:tcW w:type="dxa" w:w="1728"/>
          </w:tcPr>
          <w:p>
            <w:r/>
            <w:r>
              <w:rPr>
                <w:sz w:val="20"/>
              </w:rPr>
              <w:t>[TBD]</w:t>
            </w:r>
          </w:p>
        </w:tc>
        <w:tc>
          <w:tcPr>
            <w:tcW w:type="dxa" w:w="1728"/>
          </w:tcPr>
          <w:p>
            <w:r/>
            <w:r>
              <w:rPr>
                <w:sz w:val="20"/>
              </w:rPr>
              <w:t>Resident set size; reference profile; 60s steady-state observation; 30s burst under workload (TBD)</w:t>
            </w:r>
          </w:p>
        </w:tc>
        <w:tc>
          <w:tcPr>
            <w:tcW w:type="dxa" w:w="1728"/>
          </w:tcPr>
          <w:p>
            <w:r/>
            <w:r>
              <w:rPr>
                <w:sz w:val="20"/>
              </w:rPr>
              <w:t>Drives co-location decisions</w:t>
            </w:r>
          </w:p>
        </w:tc>
      </w:tr>
      <w:tr>
        <w:tc>
          <w:tcPr>
            <w:tcW w:type="dxa" w:w="1728"/>
          </w:tcPr>
          <w:p>
            <w:r/>
            <w:r>
              <w:rPr>
                <w:sz w:val="20"/>
              </w:rPr>
              <w:t>RAM (per peer agent, idle)</w:t>
            </w:r>
          </w:p>
        </w:tc>
        <w:tc>
          <w:tcPr>
            <w:tcW w:type="dxa" w:w="1728"/>
          </w:tcPr>
          <w:p>
            <w:r/>
            <w:r>
              <w:rPr>
                <w:sz w:val="20"/>
              </w:rPr>
              <w:t>[TBD]</w:t>
            </w:r>
          </w:p>
        </w:tc>
        <w:tc>
          <w:tcPr>
            <w:tcW w:type="dxa" w:w="1728"/>
          </w:tcPr>
          <w:p>
            <w:r/>
            <w:r>
              <w:rPr>
                <w:sz w:val="20"/>
              </w:rPr>
              <w:t>[TBD]</w:t>
            </w:r>
          </w:p>
        </w:tc>
        <w:tc>
          <w:tcPr>
            <w:tcW w:type="dxa" w:w="1728"/>
          </w:tcPr>
          <w:p>
            <w:r/>
            <w:r>
              <w:rPr>
                <w:sz w:val="20"/>
              </w:rPr>
              <w:t>Same methodology, per peer; sec-agent and qa-agent measured separately</w:t>
            </w:r>
          </w:p>
        </w:tc>
        <w:tc>
          <w:tcPr>
            <w:tcW w:type="dxa" w:w="1728"/>
          </w:tcPr>
          <w:p>
            <w:r/>
            <w:r>
              <w:rPr>
                <w:sz w:val="20"/>
              </w:rPr>
              <w:t>Independent peer crash blast</w:t>
            </w:r>
          </w:p>
        </w:tc>
      </w:tr>
      <w:tr>
        <w:tc>
          <w:tcPr>
            <w:tcW w:type="dxa" w:w="1728"/>
          </w:tcPr>
          <w:p>
            <w:r/>
            <w:r>
              <w:rPr>
                <w:sz w:val="20"/>
              </w:rPr>
              <w:t>CPU (orchestrator, gate evaluation)</w:t>
            </w:r>
          </w:p>
        </w:tc>
        <w:tc>
          <w:tcPr>
            <w:tcW w:type="dxa" w:w="1728"/>
          </w:tcPr>
          <w:p>
            <w:r/>
            <w:r>
              <w:rPr>
                <w:sz w:val="20"/>
              </w:rPr>
              <w:t>[TBD]</w:t>
            </w:r>
          </w:p>
        </w:tc>
        <w:tc>
          <w:tcPr>
            <w:tcW w:type="dxa" w:w="1728"/>
          </w:tcPr>
          <w:p>
            <w:r/>
            <w:r>
              <w:rPr>
                <w:sz w:val="20"/>
              </w:rPr>
              <w:t>[TBD]</w:t>
            </w:r>
          </w:p>
        </w:tc>
        <w:tc>
          <w:tcPr>
            <w:tcW w:type="dxa" w:w="1728"/>
          </w:tcPr>
          <w:p>
            <w:r/>
            <w:r>
              <w:rPr>
                <w:sz w:val="20"/>
              </w:rPr>
              <w:t>% of one core under realistic workload; reference profile</w:t>
            </w:r>
          </w:p>
        </w:tc>
        <w:tc>
          <w:tcPr>
            <w:tcW w:type="dxa" w:w="1728"/>
          </w:tcPr>
          <w:p>
            <w:r/>
            <w:r>
              <w:rPr>
                <w:sz w:val="20"/>
              </w:rPr>
              <w:t>Capacity planning</w:t>
            </w:r>
          </w:p>
        </w:tc>
      </w:tr>
      <w:tr>
        <w:tc>
          <w:tcPr>
            <w:tcW w:type="dxa" w:w="1728"/>
          </w:tcPr>
          <w:p>
            <w:r/>
            <w:r>
              <w:rPr>
                <w:sz w:val="20"/>
              </w:rPr>
              <w:t>Disk I/O (Stream A append rate)</w:t>
            </w:r>
          </w:p>
        </w:tc>
        <w:tc>
          <w:tcPr>
            <w:tcW w:type="dxa" w:w="1728"/>
          </w:tcPr>
          <w:p>
            <w:r/>
            <w:r>
              <w:rPr>
                <w:sz w:val="20"/>
              </w:rPr>
              <w:t>[TBD]</w:t>
            </w:r>
          </w:p>
        </w:tc>
        <w:tc>
          <w:tcPr>
            <w:tcW w:type="dxa" w:w="1728"/>
          </w:tcPr>
          <w:p>
            <w:r/>
            <w:r>
              <w:rPr>
                <w:sz w:val="20"/>
              </w:rPr>
              <w:t>[TBD]</w:t>
            </w:r>
          </w:p>
        </w:tc>
        <w:tc>
          <w:tcPr>
            <w:tcW w:type="dxa" w:w="1728"/>
          </w:tcPr>
          <w:p>
            <w:r/>
            <w:r>
              <w:rPr>
                <w:sz w:val="20"/>
              </w:rPr>
              <w:t>MB/min during representative workload; reference profile</w:t>
            </w:r>
          </w:p>
        </w:tc>
        <w:tc>
          <w:tcPr>
            <w:tcW w:type="dxa" w:w="1728"/>
          </w:tcPr>
          <w:p>
            <w:r/>
            <w:r>
              <w:rPr>
                <w:sz w:val="20"/>
              </w:rPr>
              <w:t>Storage tier selection</w:t>
            </w:r>
          </w:p>
        </w:tc>
      </w:tr>
      <w:tr>
        <w:tc>
          <w:tcPr>
            <w:tcW w:type="dxa" w:w="1728"/>
          </w:tcPr>
          <w:p>
            <w:r/>
            <w:r>
              <w:rPr>
                <w:sz w:val="20"/>
              </w:rPr>
              <w:t>Network I/O (Stream B OTLP export)</w:t>
            </w:r>
          </w:p>
        </w:tc>
        <w:tc>
          <w:tcPr>
            <w:tcW w:type="dxa" w:w="1728"/>
          </w:tcPr>
          <w:p>
            <w:r/>
            <w:r>
              <w:rPr>
                <w:sz w:val="20"/>
              </w:rPr>
              <w:t>[TBD]</w:t>
            </w:r>
          </w:p>
        </w:tc>
        <w:tc>
          <w:tcPr>
            <w:tcW w:type="dxa" w:w="1728"/>
          </w:tcPr>
          <w:p>
            <w:r/>
            <w:r>
              <w:rPr>
                <w:sz w:val="20"/>
              </w:rPr>
              <w:t>[TBD]</w:t>
            </w:r>
          </w:p>
        </w:tc>
        <w:tc>
          <w:tcPr>
            <w:tcW w:type="dxa" w:w="1728"/>
          </w:tcPr>
          <w:p>
            <w:r/>
            <w:r>
              <w:rPr>
                <w:sz w:val="20"/>
              </w:rPr>
              <w:t>MB/min to Phoenix exporter; default sampling</w:t>
            </w:r>
          </w:p>
        </w:tc>
        <w:tc>
          <w:tcPr>
            <w:tcW w:type="dxa" w:w="1728"/>
          </w:tcPr>
          <w:p>
            <w:r/>
            <w:r>
              <w:rPr>
                <w:sz w:val="20"/>
              </w:rPr>
              <w:t>Stream B can be tuned per deployment</w:t>
            </w:r>
          </w:p>
        </w:tc>
      </w:tr>
    </w:tbl>
    <w:p>
      <w:pPr>
        <w:jc w:val="center"/>
      </w:pPr>
      <w:r>
        <w:rPr>
          <w:i/>
          <w:sz w:val="20"/>
        </w:rPr>
        <w:t>Table I.2 — Resource footprint of the reference implementation (placeholder).</w:t>
      </w:r>
    </w:p>
    <w:p/>
    <w:p>
      <w:pPr>
        <w:pStyle w:val="Heading2"/>
      </w:pPr>
      <w:r>
        <w:rPr>
          <w:color w:val="000000"/>
        </w:rPr>
        <w:t>I.3 Failure-Mode Coverage</w:t>
      </w:r>
    </w:p>
    <w:p>
      <w:r>
        <w:rPr>
          <w:b w:val="0"/>
          <w:i w:val="0"/>
          <w:sz w:val="22"/>
        </w:rPr>
        <w:t>Each architectural failure mode and its expected outcome under the locked decisions. Verified outcomes populate as implementation phases land.</w:t>
      </w:r>
    </w:p>
    <w:p/>
    <w:tbl>
      <w:tblPr>
        <w:tblStyle w:val="LightGrid-Accent1"/>
        <w:tblW w:type="auto" w:w="0"/>
        <w:jc w:val="left"/>
        <w:tblLayout w:type="autofit"/>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Scenario</w:t>
            </w:r>
          </w:p>
        </w:tc>
        <w:tc>
          <w:tcPr>
            <w:tcW w:type="dxa" w:w="2160"/>
            <w:shd w:val="clear" w:color="auto" w:fill="D9E2F3"/>
          </w:tcPr>
          <w:p>
            <w:r/>
            <w:r>
              <w:rPr>
                <w:b/>
                <w:sz w:val="20"/>
              </w:rPr>
              <w:t>Outcome</w:t>
            </w:r>
          </w:p>
        </w:tc>
        <w:tc>
          <w:tcPr>
            <w:tcW w:type="dxa" w:w="2160"/>
            <w:shd w:val="clear" w:color="auto" w:fill="D9E2F3"/>
          </w:tcPr>
          <w:p>
            <w:r/>
            <w:r>
              <w:rPr>
                <w:b/>
                <w:sz w:val="20"/>
              </w:rPr>
              <w:t>Methodology</w:t>
            </w:r>
          </w:p>
        </w:tc>
        <w:tc>
          <w:tcPr>
            <w:tcW w:type="dxa" w:w="2160"/>
            <w:shd w:val="clear" w:color="auto" w:fill="D9E2F3"/>
          </w:tcPr>
          <w:p>
            <w:r/>
            <w:r>
              <w:rPr>
                <w:b/>
                <w:sz w:val="20"/>
              </w:rPr>
              <w:t>Notes</w:t>
            </w:r>
          </w:p>
        </w:tc>
      </w:tr>
      <w:tr>
        <w:tc>
          <w:tcPr>
            <w:tcW w:type="dxa" w:w="2160"/>
          </w:tcPr>
          <w:p>
            <w:r/>
            <w:r>
              <w:rPr>
                <w:sz w:val="20"/>
              </w:rPr>
              <w:t>sec-agent process crash mid-run</w:t>
            </w:r>
          </w:p>
        </w:tc>
        <w:tc>
          <w:tcPr>
            <w:tcW w:type="dxa" w:w="2160"/>
          </w:tcPr>
          <w:p>
            <w:r/>
            <w:r>
              <w:rPr>
                <w:sz w:val="20"/>
              </w:rPr>
              <w:t>[TBD]</w:t>
            </w:r>
          </w:p>
        </w:tc>
        <w:tc>
          <w:tcPr>
            <w:tcW w:type="dxa" w:w="2160"/>
          </w:tcPr>
          <w:p>
            <w:r/>
            <w:r>
              <w:rPr>
                <w:sz w:val="20"/>
              </w:rPr>
              <w:t>Inject crash at random gate evaluation; verify omaestro detects via gRPC connection loss; verify fail-stop</w:t>
            </w:r>
          </w:p>
        </w:tc>
        <w:tc>
          <w:tcPr>
            <w:tcW w:type="dxa" w:w="2160"/>
          </w:tcPr>
          <w:p>
            <w:r/>
            <w:r>
              <w:rPr>
                <w:sz w:val="20"/>
              </w:rPr>
              <w:t>Architectural commitment: peer crash does not crash orchestrator</w:t>
            </w:r>
          </w:p>
        </w:tc>
      </w:tr>
      <w:tr>
        <w:tc>
          <w:tcPr>
            <w:tcW w:type="dxa" w:w="2160"/>
          </w:tcPr>
          <w:p>
            <w:r/>
            <w:r>
              <w:rPr>
                <w:sz w:val="20"/>
              </w:rPr>
              <w:t>qa-agent process crash mid-run</w:t>
            </w:r>
          </w:p>
        </w:tc>
        <w:tc>
          <w:tcPr>
            <w:tcW w:type="dxa" w:w="2160"/>
          </w:tcPr>
          <w:p>
            <w:r/>
            <w:r>
              <w:rPr>
                <w:sz w:val="20"/>
              </w:rPr>
              <w:t>[TBD]</w:t>
            </w:r>
          </w:p>
        </w:tc>
        <w:tc>
          <w:tcPr>
            <w:tcW w:type="dxa" w:w="2160"/>
          </w:tcPr>
          <w:p>
            <w:r/>
            <w:r>
              <w:rPr>
                <w:sz w:val="20"/>
              </w:rPr>
              <w:t>Same methodology with qa-agent target</w:t>
            </w:r>
          </w:p>
        </w:tc>
        <w:tc>
          <w:tcPr>
            <w:tcW w:type="dxa" w:w="2160"/>
          </w:tcPr>
          <w:p>
            <w:r/>
            <w:r>
              <w:rPr>
                <w:sz w:val="20"/>
              </w:rPr>
              <w:t>Symmetry with sec-agent</w:t>
            </w:r>
          </w:p>
        </w:tc>
      </w:tr>
      <w:tr>
        <w:tc>
          <w:tcPr>
            <w:tcW w:type="dxa" w:w="2160"/>
          </w:tcPr>
          <w:p>
            <w:r/>
            <w:r>
              <w:rPr>
                <w:sz w:val="20"/>
              </w:rPr>
              <w:t>omaestro process crash mid-run</w:t>
            </w:r>
          </w:p>
        </w:tc>
        <w:tc>
          <w:tcPr>
            <w:tcW w:type="dxa" w:w="2160"/>
          </w:tcPr>
          <w:p>
            <w:r/>
            <w:r>
              <w:rPr>
                <w:sz w:val="20"/>
              </w:rPr>
              <w:t>[TBD]</w:t>
            </w:r>
          </w:p>
        </w:tc>
        <w:tc>
          <w:tcPr>
            <w:tcW w:type="dxa" w:w="2160"/>
          </w:tcPr>
          <w:p>
            <w:r/>
            <w:r>
              <w:rPr>
                <w:sz w:val="20"/>
              </w:rPr>
              <w:t>Inject crash; verify agent fail-stops on disconnect (no cached verdicts, no fallback to allow)</w:t>
            </w:r>
          </w:p>
        </w:tc>
        <w:tc>
          <w:tcPr>
            <w:tcW w:type="dxa" w:w="2160"/>
          </w:tcPr>
          <w:p>
            <w:r/>
            <w:r>
              <w:rPr>
                <w:sz w:val="20"/>
              </w:rPr>
              <w:t>Per (a) execution model</w:t>
            </w:r>
          </w:p>
        </w:tc>
      </w:tr>
      <w:tr>
        <w:tc>
          <w:tcPr>
            <w:tcW w:type="dxa" w:w="2160"/>
          </w:tcPr>
          <w:p>
            <w:r/>
            <w:r>
              <w:rPr>
                <w:sz w:val="20"/>
              </w:rPr>
              <w:t>Stream A write failure</w:t>
            </w:r>
          </w:p>
        </w:tc>
        <w:tc>
          <w:tcPr>
            <w:tcW w:type="dxa" w:w="2160"/>
          </w:tcPr>
          <w:p>
            <w:r/>
            <w:r>
              <w:rPr>
                <w:sz w:val="20"/>
              </w:rPr>
              <w:t>[TBD]</w:t>
            </w:r>
          </w:p>
        </w:tc>
        <w:tc>
          <w:tcPr>
            <w:tcW w:type="dxa" w:w="2160"/>
          </w:tcPr>
          <w:p>
            <w:r/>
            <w:r>
              <w:rPr>
                <w:sz w:val="20"/>
              </w:rPr>
              <w:t>Inject write-error on governance ledger; verify orchestrator fail-stops the agent</w:t>
            </w:r>
          </w:p>
        </w:tc>
        <w:tc>
          <w:tcPr>
            <w:tcW w:type="dxa" w:w="2160"/>
          </w:tcPr>
          <w:p>
            <w:r/>
            <w:r>
              <w:rPr>
                <w:sz w:val="20"/>
              </w:rPr>
              <w:t>Per (i): Stream A is authoritative</w:t>
            </w:r>
          </w:p>
        </w:tc>
      </w:tr>
      <w:tr>
        <w:tc>
          <w:tcPr>
            <w:tcW w:type="dxa" w:w="2160"/>
          </w:tcPr>
          <w:p>
            <w:r/>
            <w:r>
              <w:rPr>
                <w:sz w:val="20"/>
              </w:rPr>
              <w:t>Stream B export failure</w:t>
            </w:r>
          </w:p>
        </w:tc>
        <w:tc>
          <w:tcPr>
            <w:tcW w:type="dxa" w:w="2160"/>
          </w:tcPr>
          <w:p>
            <w:r/>
            <w:r>
              <w:rPr>
                <w:sz w:val="20"/>
              </w:rPr>
              <w:t>[TBD]</w:t>
            </w:r>
          </w:p>
        </w:tc>
        <w:tc>
          <w:tcPr>
            <w:tcW w:type="dxa" w:w="2160"/>
          </w:tcPr>
          <w:p>
            <w:r/>
            <w:r>
              <w:rPr>
                <w:sz w:val="20"/>
              </w:rPr>
              <w:t>Inject OTLP exporter failure; verify orchestrator continues; verify Stream A meta-event recorded</w:t>
            </w:r>
          </w:p>
        </w:tc>
        <w:tc>
          <w:tcPr>
            <w:tcW w:type="dxa" w:w="2160"/>
          </w:tcPr>
          <w:p>
            <w:r/>
            <w:r>
              <w:rPr>
                <w:sz w:val="20"/>
              </w:rPr>
              <w:t>Per (i): Stream B failure does not block agent action</w:t>
            </w:r>
          </w:p>
        </w:tc>
      </w:tr>
      <w:tr>
        <w:tc>
          <w:tcPr>
            <w:tcW w:type="dxa" w:w="2160"/>
          </w:tcPr>
          <w:p>
            <w:r/>
            <w:r>
              <w:rPr>
                <w:sz w:val="20"/>
              </w:rPr>
              <w:t>Sandbox attestation mismatch at handshake</w:t>
            </w:r>
          </w:p>
        </w:tc>
        <w:tc>
          <w:tcPr>
            <w:tcW w:type="dxa" w:w="2160"/>
          </w:tcPr>
          <w:p>
            <w:r/>
            <w:r>
              <w:rPr>
                <w:sz w:val="20"/>
              </w:rPr>
              <w:t>[TBD]</w:t>
            </w:r>
          </w:p>
        </w:tc>
        <w:tc>
          <w:tcPr>
            <w:tcW w:type="dxa" w:w="2160"/>
          </w:tcPr>
          <w:p>
            <w:r/>
            <w:r>
              <w:rPr>
                <w:sz w:val="20"/>
              </w:rPr>
              <w:t>Run with requires_sandbox declared but structural layer absent or weaker; verify fail-stop at handshake</w:t>
            </w:r>
          </w:p>
        </w:tc>
        <w:tc>
          <w:tcPr>
            <w:tcW w:type="dxa" w:w="2160"/>
          </w:tcPr>
          <w:p>
            <w:r/>
            <w:r>
              <w:rPr>
                <w:sz w:val="20"/>
              </w:rPr>
              <w:t>Per (j): fail-closed when declared-and-mismatched</w:t>
            </w:r>
          </w:p>
        </w:tc>
      </w:tr>
      <w:tr>
        <w:tc>
          <w:tcPr>
            <w:tcW w:type="dxa" w:w="2160"/>
          </w:tcPr>
          <w:p>
            <w:r/>
            <w:r>
              <w:rPr>
                <w:sz w:val="20"/>
              </w:rPr>
              <w:t>Adapter signature failure at load</w:t>
            </w:r>
          </w:p>
        </w:tc>
        <w:tc>
          <w:tcPr>
            <w:tcW w:type="dxa" w:w="2160"/>
          </w:tcPr>
          <w:p>
            <w:r/>
            <w:r>
              <w:rPr>
                <w:sz w:val="20"/>
              </w:rPr>
              <w:t>[TBD]</w:t>
            </w:r>
          </w:p>
        </w:tc>
        <w:tc>
          <w:tcPr>
            <w:tcW w:type="dxa" w:w="2160"/>
          </w:tcPr>
          <w:p>
            <w:r/>
            <w:r>
              <w:rPr>
                <w:sz w:val="20"/>
              </w:rPr>
              <w:t>Tampered adapter file; verify omaestro rejects at handshake</w:t>
            </w:r>
          </w:p>
        </w:tc>
        <w:tc>
          <w:tcPr>
            <w:tcW w:type="dxa" w:w="2160"/>
          </w:tcPr>
          <w:p>
            <w:r/>
            <w:r>
              <w:rPr>
                <w:sz w:val="20"/>
              </w:rPr>
              <w:t>Per (c)</w:t>
            </w:r>
          </w:p>
        </w:tc>
      </w:tr>
      <w:tr>
        <w:tc>
          <w:tcPr>
            <w:tcW w:type="dxa" w:w="2160"/>
          </w:tcPr>
          <w:p>
            <w:r/>
            <w:r>
              <w:rPr>
                <w:sz w:val="20"/>
              </w:rPr>
              <w:t>Operator signature failure at manifest load</w:t>
            </w:r>
          </w:p>
        </w:tc>
        <w:tc>
          <w:tcPr>
            <w:tcW w:type="dxa" w:w="2160"/>
          </w:tcPr>
          <w:p>
            <w:r/>
            <w:r>
              <w:rPr>
                <w:sz w:val="20"/>
              </w:rPr>
              <w:t>[TBD]</w:t>
            </w:r>
          </w:p>
        </w:tc>
        <w:tc>
          <w:tcPr>
            <w:tcW w:type="dxa" w:w="2160"/>
          </w:tcPr>
          <w:p>
            <w:r/>
            <w:r>
              <w:rPr>
                <w:sz w:val="20"/>
              </w:rPr>
              <w:t>Tampered manifest signature; verify omaestro rejects at handshake</w:t>
            </w:r>
          </w:p>
        </w:tc>
        <w:tc>
          <w:tcPr>
            <w:tcW w:type="dxa" w:w="2160"/>
          </w:tcPr>
          <w:p>
            <w:r/>
            <w:r>
              <w:rPr>
                <w:sz w:val="20"/>
              </w:rPr>
              <w:t>Per (c)</w:t>
            </w:r>
          </w:p>
        </w:tc>
      </w:tr>
      <w:tr>
        <w:tc>
          <w:tcPr>
            <w:tcW w:type="dxa" w:w="2160"/>
          </w:tcPr>
          <w:p>
            <w:r/>
            <w:r>
              <w:rPr>
                <w:sz w:val="20"/>
              </w:rPr>
              <w:t>Peer-agent signature failure</w:t>
            </w:r>
          </w:p>
        </w:tc>
        <w:tc>
          <w:tcPr>
            <w:tcW w:type="dxa" w:w="2160"/>
          </w:tcPr>
          <w:p>
            <w:r/>
            <w:r>
              <w:rPr>
                <w:sz w:val="20"/>
              </w:rPr>
              <w:t>[TBD]</w:t>
            </w:r>
          </w:p>
        </w:tc>
        <w:tc>
          <w:tcPr>
            <w:tcW w:type="dxa" w:w="2160"/>
          </w:tcPr>
          <w:p>
            <w:r/>
            <w:r>
              <w:rPr>
                <w:sz w:val="20"/>
              </w:rPr>
              <w:t>Mismatched key on peer-agent verdict; verify orchestrator rejects the verdict and fail-stops</w:t>
            </w:r>
          </w:p>
        </w:tc>
        <w:tc>
          <w:tcPr>
            <w:tcW w:type="dxa" w:w="2160"/>
          </w:tcPr>
          <w:p>
            <w:r/>
            <w:r>
              <w:rPr>
                <w:sz w:val="20"/>
              </w:rPr>
              <w:t>Per (c) and peer-agent ecosystem</w:t>
            </w:r>
          </w:p>
        </w:tc>
      </w:tr>
      <w:tr>
        <w:tc>
          <w:tcPr>
            <w:tcW w:type="dxa" w:w="2160"/>
          </w:tcPr>
          <w:p>
            <w:r/>
            <w:r>
              <w:rPr>
                <w:sz w:val="20"/>
              </w:rPr>
              <w:t>Wire-protocol version mismatch</w:t>
            </w:r>
          </w:p>
        </w:tc>
        <w:tc>
          <w:tcPr>
            <w:tcW w:type="dxa" w:w="2160"/>
          </w:tcPr>
          <w:p>
            <w:r/>
            <w:r>
              <w:rPr>
                <w:sz w:val="20"/>
              </w:rPr>
              <w:t>[TBD]</w:t>
            </w:r>
          </w:p>
        </w:tc>
        <w:tc>
          <w:tcPr>
            <w:tcW w:type="dxa" w:w="2160"/>
          </w:tcPr>
          <w:p>
            <w:r/>
            <w:r>
              <w:rPr>
                <w:sz w:val="20"/>
              </w:rPr>
              <w:t>Run with newer manifest schema against older orchestrator; verify fail-fast</w:t>
            </w:r>
          </w:p>
        </w:tc>
        <w:tc>
          <w:tcPr>
            <w:tcW w:type="dxa" w:w="2160"/>
          </w:tcPr>
          <w:p>
            <w:r/>
            <w:r>
              <w:rPr>
                <w:sz w:val="20"/>
              </w:rPr>
              <w:t>Per (b)</w:t>
            </w:r>
          </w:p>
        </w:tc>
      </w:tr>
    </w:tbl>
    <w:p>
      <w:pPr>
        <w:jc w:val="center"/>
      </w:pPr>
      <w:r>
        <w:rPr>
          <w:i/>
          <w:sz w:val="20"/>
        </w:rPr>
        <w:t>Table I.3 — Failure-mode coverage for the reference implementation (placeholder).</w:t>
      </w:r>
    </w:p>
    <w:p/>
    <w:p>
      <w:pPr>
        <w:pStyle w:val="Heading2"/>
      </w:pPr>
      <w:r>
        <w:rPr>
          <w:color w:val="000000"/>
        </w:rPr>
        <w:t>I.4 Methodology Notes</w:t>
      </w:r>
    </w:p>
    <w:p>
      <w:r>
        <w:rPr>
          <w:b w:val="0"/>
          <w:i w:val="0"/>
          <w:sz w:val="22"/>
        </w:rPr>
        <w:t>All internal benchmarks are run against a documented reference profile; measurement scripts and harnesses live alongside the reference implementation and produce machine-readable output. The intent is reproducibility — a third party building a conformant implementation can run the same benchmark suite against their implementation and compare. Methodology revisions versioned alongside paper DOIs.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