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08080"/>
          <w:sz w:val="18"/>
        </w:rPr>
        <w:t>MERIDIAN ADVANCED MANUFACTURING INC. — CONFIDENTIAL</w:t>
      </w:r>
    </w:p>
    <w:p>
      <w:pPr>
        <w:pStyle w:val="Title"/>
      </w:pPr>
      <w:r>
        <w:t>Strategic Investment Memo: Operational Efficiency Review, Q1/Q2 2024</w:t>
      </w:r>
    </w:p>
    <w:tbl>
      <w:tblPr>
        <w:tblStyle w:val="LightGrid-Accent1"/>
        <w:tblW w:type="auto" w:w="0"/>
        <w:tblLook w:firstColumn="1" w:firstRow="1" w:lastColumn="0" w:lastRow="0" w:noHBand="0" w:noVBand="1" w:val="04A0"/>
      </w:tblPr>
      <w:tblGrid>
        <w:gridCol w:w="4320"/>
        <w:gridCol w:w="4320"/>
      </w:tblGrid>
      <w:tr>
        <w:tc>
          <w:tcPr>
            <w:tcW w:type="dxa" w:w="4320"/>
          </w:tcPr>
          <w:p>
            <w:r>
              <w:t>To</w:t>
            </w:r>
          </w:p>
        </w:tc>
        <w:tc>
          <w:tcPr>
            <w:tcW w:type="dxa" w:w="4320"/>
          </w:tcPr>
          <w:p>
            <w:r>
              <w:t>David Chen, VP of Operations</w:t>
            </w:r>
          </w:p>
        </w:tc>
      </w:tr>
      <w:tr>
        <w:tc>
          <w:tcPr>
            <w:tcW w:type="dxa" w:w="4320"/>
          </w:tcPr>
          <w:p>
            <w:r>
              <w:t>From</w:t>
            </w:r>
          </w:p>
        </w:tc>
        <w:tc>
          <w:tcPr>
            <w:tcW w:type="dxa" w:w="4320"/>
          </w:tcPr>
          <w:p>
            <w:r>
              <w:t>Management Consulting Team — Operational Efficiency Review</w:t>
            </w:r>
          </w:p>
        </w:tc>
      </w:tr>
      <w:tr>
        <w:tc>
          <w:tcPr>
            <w:tcW w:type="dxa" w:w="4320"/>
          </w:tcPr>
          <w:p>
            <w:r>
              <w:t>Date</w:t>
            </w:r>
          </w:p>
        </w:tc>
        <w:tc>
          <w:tcPr>
            <w:tcW w:type="dxa" w:w="4320"/>
          </w:tcPr>
          <w:p>
            <w:r>
              <w:t>July 2024</w:t>
            </w:r>
          </w:p>
        </w:tc>
      </w:tr>
      <w:tr>
        <w:tc>
          <w:tcPr>
            <w:tcW w:type="dxa" w:w="4320"/>
          </w:tcPr>
          <w:p>
            <w:r>
              <w:t>Re</w:t>
            </w:r>
          </w:p>
        </w:tc>
        <w:tc>
          <w:tcPr>
            <w:tcW w:type="dxa" w:w="4320"/>
          </w:tcPr>
          <w:p>
            <w:r>
              <w:t>Q1/Q2 2024 efficiency findings, prioritized interventions, and the Board's consolidation question</w:t>
            </w:r>
          </w:p>
        </w:tc>
      </w:tr>
    </w:tbl>
    <w:p/>
    <w:p>
      <w:pPr>
        <w:pStyle w:val="Heading1"/>
      </w:pPr>
      <w:r>
        <w:t>1. Executive Summary</w:t>
      </w:r>
    </w:p>
    <w:p>
      <w:pPr>
        <w:pStyle w:val="ListBullet"/>
      </w:pPr>
      <w:r>
        <w:t>Composite health ranking for the period: Nashville TN is the clear outlier to watch positively (health 81.2/100); Columbus OH (31.2), Portland OR (37.5), and Phoenix AZ (25.0) all show structural problems, but of very different character: Columbus's is asset-driven, Portland's is quality/delivery-driven and deteriorating fastest, and Phoenix's is process/workforce-driven.</w:t>
      </w:r>
    </w:p>
    <w:p>
      <w:pPr>
        <w:pStyle w:val="ListBullet"/>
      </w:pPr>
      <w:r>
        <w:t>Plant-level COPQ totals for H1 2024: Columbus $120,613 (3.6% of production cost), Nashville $40,936 (1.4%), Phoenix $136,106 (4.6%), Portland $131,279 (4.3%). Company-wide poor-quality cost is $428,935 — roughly 3.5% of total production cost — concentrated 72% in just two of four plants. This is a meaningful, addressable share of the margin-compression story.</w:t>
      </w:r>
    </w:p>
    <w:p>
      <w:pPr>
        <w:pStyle w:val="ListBullet"/>
      </w:pPr>
      <w:r>
        <w:t>On the consolidation question: the data do not support closing or consolidating any of the four plants. Nashville is already running at ~99.6% of scheduled hours and has the youngest, best-condition asset base; absorbing another plant's volume there would immediately push utilization past schedule capacity, import overtime/second-shift cost, and concentrate exactly the quality risk (defect rate is still the highest of any "healthy" plant at 18.8/1,000 and rising on two of three product lines) into the plant with the least slack. Phoenix's schedule attainment (91.2%) is above the FRED national manufacturing index (77.5%, Jan-Jun avg) on the utilization measure in our data — the VP memo's ~58% utilization claim appears to use a design-capacity basis we cannot reconcile with the provided data, and should be re-baselined before any consolidation math is underwritten. See Section 4.</w:t>
      </w:r>
    </w:p>
    <w:p>
      <w:pPr>
        <w:pStyle w:val="Heading1"/>
      </w:pPr>
      <w:r>
        <w:t>2. What the data shows</w:t>
      </w:r>
    </w:p>
    <w:p>
      <w:pPr>
        <w:pStyle w:val="Heading2"/>
      </w:pPr>
      <w:r>
        <w:t>2.1 Plant scorecard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Rank</w:t>
            </w:r>
          </w:p>
        </w:tc>
        <w:tc>
          <w:tcPr>
            <w:tcW w:type="dxa" w:w="960"/>
          </w:tcPr>
          <w:p>
            <w:r>
              <w:t>Plant</w:t>
            </w:r>
          </w:p>
        </w:tc>
        <w:tc>
          <w:tcPr>
            <w:tcW w:type="dxa" w:w="960"/>
          </w:tcPr>
          <w:p>
            <w:r>
              <w:t>OEE (approx)</w:t>
            </w:r>
          </w:p>
        </w:tc>
        <w:tc>
          <w:tcPr>
            <w:tcW w:type="dxa" w:w="960"/>
          </w:tcPr>
          <w:p>
            <w:r>
              <w:t>Defect /1,000</w:t>
            </w:r>
          </w:p>
        </w:tc>
        <w:tc>
          <w:tcPr>
            <w:tcW w:type="dxa" w:w="960"/>
          </w:tcPr>
          <w:p>
            <w:r>
              <w:t>Avg OTD %</w:t>
            </w:r>
          </w:p>
        </w:tc>
        <w:tc>
          <w:tcPr>
            <w:tcW w:type="dxa" w:w="960"/>
          </w:tcPr>
          <w:p>
            <w:r>
              <w:t>Unplanned DT %</w:t>
            </w:r>
          </w:p>
        </w:tc>
        <w:tc>
          <w:tcPr>
            <w:tcW w:type="dxa" w:w="960"/>
          </w:tcPr>
          <w:p>
            <w:r>
              <w:t>Cost/Unit $</w:t>
            </w:r>
          </w:p>
        </w:tc>
        <w:tc>
          <w:tcPr>
            <w:tcW w:type="dxa" w:w="960"/>
          </w:tcPr>
          <w:p>
            <w:r>
              <w:t>Composite Health</w:t>
            </w:r>
          </w:p>
        </w:tc>
        <w:tc>
          <w:tcPr>
            <w:tcW w:type="dxa" w:w="960"/>
          </w:tcPr>
          <w:p>
            <w:r>
              <w:t>Headline driver</w:t>
            </w:r>
          </w:p>
        </w:tc>
      </w:tr>
      <w:tr>
        <w:tc>
          <w:tcPr>
            <w:tcW w:type="dxa" w:w="960"/>
          </w:tcPr>
          <w:p>
            <w:r>
              <w:t>1</w:t>
            </w:r>
          </w:p>
        </w:tc>
        <w:tc>
          <w:tcPr>
            <w:tcW w:type="dxa" w:w="960"/>
          </w:tcPr>
          <w:p>
            <w:r>
              <w:t>PLT-002 Nashville TN</w:t>
            </w:r>
          </w:p>
        </w:tc>
        <w:tc>
          <w:tcPr>
            <w:tcW w:type="dxa" w:w="960"/>
          </w:tcPr>
          <w:p>
            <w:r>
              <w:t>99.0%</w:t>
            </w:r>
          </w:p>
        </w:tc>
        <w:tc>
          <w:tcPr>
            <w:tcW w:type="dxa" w:w="960"/>
          </w:tcPr>
          <w:p>
            <w:r>
              <w:t>18.75</w:t>
            </w:r>
          </w:p>
        </w:tc>
        <w:tc>
          <w:tcPr>
            <w:tcW w:type="dxa" w:w="960"/>
          </w:tcPr>
          <w:p>
            <w:r>
              <w:t>95.7</w:t>
            </w:r>
          </w:p>
        </w:tc>
        <w:tc>
          <w:tcPr>
            <w:tcW w:type="dxa" w:w="960"/>
          </w:tcPr>
          <w:p>
            <w:r>
              <w:t>1.97%</w:t>
            </w:r>
          </w:p>
        </w:tc>
        <w:tc>
          <w:tcPr>
            <w:tcW w:type="dxa" w:w="960"/>
          </w:tcPr>
          <w:p>
            <w:r>
              <w:t>64.07</w:t>
            </w:r>
          </w:p>
        </w:tc>
        <w:tc>
          <w:tcPr>
            <w:tcW w:type="dxa" w:w="960"/>
          </w:tcPr>
          <w:p>
            <w:r>
              <w:t>81.2</w:t>
            </w:r>
          </w:p>
        </w:tc>
        <w:tc>
          <w:tcPr>
            <w:tcW w:type="dxa" w:w="960"/>
          </w:tcPr>
          <w:p>
            <w:r>
              <w:t>Young asset base; OTD slipping ~0.4 pts/mo</w:t>
            </w:r>
          </w:p>
        </w:tc>
      </w:tr>
      <w:tr>
        <w:tc>
          <w:tcPr>
            <w:tcW w:type="dxa" w:w="960"/>
          </w:tcPr>
          <w:p>
            <w:r>
              <w:t>2</w:t>
            </w:r>
          </w:p>
        </w:tc>
        <w:tc>
          <w:tcPr>
            <w:tcW w:type="dxa" w:w="960"/>
          </w:tcPr>
          <w:p>
            <w:r>
              <w:t>PLT-004 Portland OR</w:t>
            </w:r>
          </w:p>
        </w:tc>
        <w:tc>
          <w:tcPr>
            <w:tcW w:type="dxa" w:w="960"/>
          </w:tcPr>
          <w:p>
            <w:r>
              <w:t>88.9%</w:t>
            </w:r>
          </w:p>
        </w:tc>
        <w:tc>
          <w:tcPr>
            <w:tcW w:type="dxa" w:w="960"/>
          </w:tcPr>
          <w:p>
            <w:r>
              <w:t>42.15</w:t>
            </w:r>
          </w:p>
        </w:tc>
        <w:tc>
          <w:tcPr>
            <w:tcW w:type="dxa" w:w="960"/>
          </w:tcPr>
          <w:p>
            <w:r>
              <w:t>90.0</w:t>
            </w:r>
          </w:p>
        </w:tc>
        <w:tc>
          <w:tcPr>
            <w:tcW w:type="dxa" w:w="960"/>
          </w:tcPr>
          <w:p>
            <w:r>
              <w:t>4.0%</w:t>
            </w:r>
          </w:p>
        </w:tc>
        <w:tc>
          <w:tcPr>
            <w:tcW w:type="dxa" w:w="960"/>
          </w:tcPr>
          <w:p>
            <w:r>
              <w:t>78.34</w:t>
            </w:r>
          </w:p>
        </w:tc>
        <w:tc>
          <w:tcPr>
            <w:tcW w:type="dxa" w:w="960"/>
          </w:tcPr>
          <w:p>
            <w:r>
              <w:t>37.5</w:t>
            </w:r>
          </w:p>
        </w:tc>
        <w:tc>
          <w:tcPr>
            <w:tcW w:type="dxa" w:w="960"/>
          </w:tcPr>
          <w:p>
            <w:r>
              <w:t>Defects +3.1/1,000 per mo; OTD -1.32 pts/mo; highest complaint count</w:t>
            </w:r>
          </w:p>
        </w:tc>
      </w:tr>
      <w:tr>
        <w:tc>
          <w:tcPr>
            <w:tcW w:type="dxa" w:w="960"/>
          </w:tcPr>
          <w:p>
            <w:r>
              <w:t>3</w:t>
            </w:r>
          </w:p>
        </w:tc>
        <w:tc>
          <w:tcPr>
            <w:tcW w:type="dxa" w:w="960"/>
          </w:tcPr>
          <w:p>
            <w:r>
              <w:t>PLT-001 Columbus OH</w:t>
            </w:r>
          </w:p>
        </w:tc>
        <w:tc>
          <w:tcPr>
            <w:tcW w:type="dxa" w:w="960"/>
          </w:tcPr>
          <w:p>
            <w:r>
              <w:t>88.7%</w:t>
            </w:r>
          </w:p>
        </w:tc>
        <w:tc>
          <w:tcPr>
            <w:tcW w:type="dxa" w:w="960"/>
          </w:tcPr>
          <w:p>
            <w:r>
              <w:t>40.46</w:t>
            </w:r>
          </w:p>
        </w:tc>
        <w:tc>
          <w:tcPr>
            <w:tcW w:type="dxa" w:w="960"/>
          </w:tcPr>
          <w:p>
            <w:r>
              <w:t>90.5</w:t>
            </w:r>
          </w:p>
        </w:tc>
        <w:tc>
          <w:tcPr>
            <w:tcW w:type="dxa" w:w="960"/>
          </w:tcPr>
          <w:p>
            <w:r>
              <w:t>4.44%</w:t>
            </w:r>
          </w:p>
        </w:tc>
        <w:tc>
          <w:tcPr>
            <w:tcW w:type="dxa" w:w="960"/>
          </w:tcPr>
          <w:p>
            <w:r>
              <w:t>80.82</w:t>
            </w:r>
          </w:p>
        </w:tc>
        <w:tc>
          <w:tcPr>
            <w:tcW w:type="dxa" w:w="960"/>
          </w:tcPr>
          <w:p>
            <w:r>
              <w:t>31.2</w:t>
            </w:r>
          </w:p>
        </w:tc>
        <w:tc>
          <w:tcPr>
            <w:tcW w:type="dxa" w:w="960"/>
          </w:tcPr>
          <w:p>
            <w:r>
              <w:t>5 assets past replacement threshold; oldest plant avg age 12.1 yrs</w:t>
            </w:r>
          </w:p>
        </w:tc>
      </w:tr>
      <w:tr>
        <w:tc>
          <w:tcPr>
            <w:tcW w:type="dxa" w:w="960"/>
          </w:tcPr>
          <w:p>
            <w:r>
              <w:t>4</w:t>
            </w:r>
          </w:p>
        </w:tc>
        <w:tc>
          <w:tcPr>
            <w:tcW w:type="dxa" w:w="960"/>
          </w:tcPr>
          <w:p>
            <w:r>
              <w:t>PLT-003 Phoenix AZ</w:t>
            </w:r>
          </w:p>
        </w:tc>
        <w:tc>
          <w:tcPr>
            <w:tcW w:type="dxa" w:w="960"/>
          </w:tcPr>
          <w:p>
            <w:r>
              <w:t>82.7%</w:t>
            </w:r>
          </w:p>
        </w:tc>
        <w:tc>
          <w:tcPr>
            <w:tcW w:type="dxa" w:w="960"/>
          </w:tcPr>
          <w:p>
            <w:r>
              <w:t>54.69</w:t>
            </w:r>
          </w:p>
        </w:tc>
        <w:tc>
          <w:tcPr>
            <w:tcW w:type="dxa" w:w="960"/>
          </w:tcPr>
          <w:p>
            <w:r>
              <w:t>88.2</w:t>
            </w:r>
          </w:p>
        </w:tc>
        <w:tc>
          <w:tcPr>
            <w:tcW w:type="dxa" w:w="960"/>
          </w:tcPr>
          <w:p>
            <w:r>
              <w:t>3.73%</w:t>
            </w:r>
          </w:p>
        </w:tc>
        <w:tc>
          <w:tcPr>
            <w:tcW w:type="dxa" w:w="960"/>
          </w:tcPr>
          <w:p>
            <w:r>
              <w:t>80.78</w:t>
            </w:r>
          </w:p>
        </w:tc>
        <w:tc>
          <w:tcPr>
            <w:tcW w:type="dxa" w:w="960"/>
          </w:tcPr>
          <w:p>
            <w:r>
              <w:t>25.0</w:t>
            </w:r>
          </w:p>
        </w:tc>
        <w:tc>
          <w:tcPr>
            <w:tcW w:type="dxa" w:w="960"/>
          </w:tcPr>
          <w:p>
            <w:r>
              <w:t>Highest defect rate (54.7/1,000); lowest tenure, highest turnover (26%/yr)</w:t>
            </w:r>
          </w:p>
        </w:tc>
      </w:tr>
    </w:tbl>
    <w:p/>
    <w:p>
      <w:pPr>
        <w:pStyle w:val="Heading2"/>
      </w:pPr>
      <w:r>
        <w:t>2.2 Trend diagnostics</w:t>
      </w:r>
    </w:p>
    <w:p>
      <w:pPr>
        <w:pStyle w:val="ListBullet"/>
      </w:pPr>
      <w:r>
        <w:t>All 12 plant/product-line combinations are flagged as watch items (deteriorating on 2+ of 3 dimensions); the distinction that matters is severity: Portland's defects are worsening +3.10/1,000 per month (Jan 35.2 -&gt; Jun 49.6) and OTD is deteriorating -1.32 pts/month (92.7 -&gt; 86.4, below the 92% SLA from May onward) — Portland is the fastest-degrading asset in the portfolio and the one most likely to breach contractual SLAs in H2.</w:t>
      </w:r>
    </w:p>
    <w:p>
      <w:pPr>
        <w:pStyle w:val="ListBullet"/>
      </w:pPr>
      <w:r>
        <w:t>Columbus defect rate is flat-high (~40-44/1,000, +0.95/month) and OTD is flat (~90%), i.e., it is not getting worse — it is simply stuck at a bad level, consistent with the aging-asset hypothesis.</w:t>
      </w:r>
    </w:p>
    <w:p>
      <w:pPr>
        <w:pStyle w:val="ListBullet"/>
      </w:pPr>
      <w:r>
        <w:t>Phoenix started the period with the highest defect rate (65.0/1,000 in Jan) and it is actually improving (-1.22/month to 52.9 by Jun) — the problem is the level, not the slope, which points to process/workforce maturity (avg tenure 2.8 yrs in Production, 18-26% annual turnover) more than equipment.</w:t>
      </w:r>
    </w:p>
    <w:p>
      <w:pPr>
        <w:pStyle w:val="Heading2"/>
      </w:pPr>
      <w:r>
        <w:t>2.3 Industry benchmarking</w:t>
      </w:r>
    </w:p>
    <w:p>
      <w:pPr>
        <w:pStyle w:val="ListBullet"/>
      </w:pPr>
      <w:r>
        <w:t>Capacity utilization (schedule-attainment proxy): all four plants sit 13.7-22.1 points above the 77.5% FRED MCUMFN 6-month average. On this measure, utilization gap is not the binding constraint at any plant, including Phoenix (91.2% vs 77.5% national) — we recommend re-baselining the VP memo's ~58% claim (likely a design-capacity metric) before it is used in the consolidation analysis.</w:t>
      </w:r>
    </w:p>
    <w:p>
      <w:pPr>
        <w:pStyle w:val="ListBullet"/>
      </w:pPr>
      <w:r>
        <w:t>Quality benchmark: under the defect dataset's percentile distribution (n=3,240), every plant sits above the 75th percentile on defect rate (Columbus 40.5, Portland 42.2, Phoenix 54.7, Nashville 18.8 vs P75 ≈ 3.9 — on the dataset's own scale, which we treat as a percent-defective measure ~10x smaller; the directional conclusion holds: all four are top-quartile worst). Downtime: Columbus (4.44%), Portland (4.00%) and Phoenix (3.73%) are all above the 75th percentile (~3.78%); Nashville (1.97%) is at/below the median.</w:t>
      </w:r>
    </w:p>
    <w:p>
      <w:pPr>
        <w:pStyle w:val="Heading2"/>
      </w:pPr>
      <w:r>
        <w:t>2.4 Complaints vs production</w:t>
      </w:r>
    </w:p>
    <w:p>
      <w:pPr>
        <w:pStyle w:val="ListBullet"/>
      </w:pPr>
      <w:r>
        <w:t>Portland has the highest complaint count (20; 0.51/1,000 units) and the only meaningful complaint/delivery linkage in the data — its Late Delivery complaints cluster around the May-Jun OTD breach window.</w:t>
      </w:r>
    </w:p>
    <w:p>
      <w:pPr>
        <w:pStyle w:val="ListBullet"/>
      </w:pPr>
      <w:r>
        <w:t>Phoenix has the highest severity-weighted complaint cost per case ($2,764 avg) and the only strong downtime-complaint correlation (r=+0.59, May downtime spike of 136.1 h alongside peak complaint volume).</w:t>
      </w:r>
    </w:p>
    <w:p>
      <w:pPr>
        <w:pStyle w:val="ListBullet"/>
      </w:pPr>
      <w:r>
        <w:t>Nashville is well below its peer complaint load (8; 0.18/1,000).</w:t>
      </w:r>
    </w:p>
    <w:p>
      <w:pPr>
        <w:pStyle w:val="Heading2"/>
      </w:pPr>
      <w:r>
        <w:t>2.5 Equipment risk</w:t>
      </w:r>
    </w:p>
    <w:p>
      <w:pPr>
        <w:pStyle w:val="ListBullet"/>
      </w:pPr>
      <w:r>
        <w:t>Five Columbus assets meet the replacement-priority rule (age &gt; 8 yrs AND condition &lt;= 5): Surface Grinding Machine (16 yrs, cond 3), CMM Inspection Station (14 yrs, cond 5), Automated Assembly Line (12 yrs, cond 4), CNC Lathe (12 yrs, cond 5), and Hydraulic Press (9 yrs, cond 3). Estimated capital need: $2,664,924.</w:t>
      </w:r>
    </w:p>
    <w:p>
      <w:pPr>
        <w:pStyle w:val="ListBullet"/>
      </w:pPr>
      <w:r>
        <w:t>No asset at Nashville, Phoenix, or Portland meets the rule (those plants' asset bases average 2.4, 1.9, and 6.7 years). Columbus's avg asset age (12.1 yrs) vs the other plants explains why its unplanned downtime share (4.44% of total hours) is the highest in the company despite a flat, not worsening, defect trend.</w:t>
      </w:r>
    </w:p>
    <w:p>
      <w:pPr>
        <w:pStyle w:val="Heading1"/>
      </w:pPr>
      <w:r>
        <w:t>3. Cost of Poor Quality (H1 2024)</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Plant</w:t>
            </w:r>
          </w:p>
        </w:tc>
        <w:tc>
          <w:tcPr>
            <w:tcW w:type="dxa" w:w="1080"/>
          </w:tcPr>
          <w:p>
            <w:r>
              <w:t>Scrap</w:t>
            </w:r>
          </w:p>
        </w:tc>
        <w:tc>
          <w:tcPr>
            <w:tcW w:type="dxa" w:w="1080"/>
          </w:tcPr>
          <w:p>
            <w:r>
              <w:t>Rework</w:t>
            </w:r>
          </w:p>
        </w:tc>
        <w:tc>
          <w:tcPr>
            <w:tcW w:type="dxa" w:w="1080"/>
          </w:tcPr>
          <w:p>
            <w:r>
              <w:t>Returns</w:t>
            </w:r>
          </w:p>
        </w:tc>
        <w:tc>
          <w:tcPr>
            <w:tcW w:type="dxa" w:w="1080"/>
          </w:tcPr>
          <w:p>
            <w:r>
              <w:t>Complaints</w:t>
            </w:r>
          </w:p>
        </w:tc>
        <w:tc>
          <w:tcPr>
            <w:tcW w:type="dxa" w:w="1080"/>
          </w:tcPr>
          <w:p>
            <w:r>
              <w:t>Downtime</w:t>
            </w:r>
          </w:p>
        </w:tc>
        <w:tc>
          <w:tcPr>
            <w:tcW w:type="dxa" w:w="1080"/>
          </w:tcPr>
          <w:p>
            <w:r>
              <w:t>$ Total COPQ</w:t>
            </w:r>
          </w:p>
        </w:tc>
        <w:tc>
          <w:tcPr>
            <w:tcW w:type="dxa" w:w="1080"/>
          </w:tcPr>
          <w:p>
            <w:r>
              <w:t>% of Production Cost</w:t>
            </w:r>
          </w:p>
        </w:tc>
      </w:tr>
      <w:tr>
        <w:tc>
          <w:tcPr>
            <w:tcW w:type="dxa" w:w="1080"/>
          </w:tcPr>
          <w:p>
            <w:r>
              <w:t>Columbus OH</w:t>
            </w:r>
          </w:p>
        </w:tc>
        <w:tc>
          <w:tcPr>
            <w:tcW w:type="dxa" w:w="1080"/>
          </w:tcPr>
          <w:p>
            <w:r>
              <w:t>$12,925</w:t>
            </w:r>
          </w:p>
        </w:tc>
        <w:tc>
          <w:tcPr>
            <w:tcW w:type="dxa" w:w="1080"/>
          </w:tcPr>
          <w:p>
            <w:r>
              <w:t>$7,101</w:t>
            </w:r>
          </w:p>
        </w:tc>
        <w:tc>
          <w:tcPr>
            <w:tcW w:type="dxa" w:w="1080"/>
          </w:tcPr>
          <w:p>
            <w:r>
              <w:t>$22,492</w:t>
            </w:r>
          </w:p>
        </w:tc>
        <w:tc>
          <w:tcPr>
            <w:tcW w:type="dxa" w:w="1080"/>
          </w:tcPr>
          <w:p>
            <w:r>
              <w:t>$32,500</w:t>
            </w:r>
          </w:p>
        </w:tc>
        <w:tc>
          <w:tcPr>
            <w:tcW w:type="dxa" w:w="1080"/>
          </w:tcPr>
          <w:p>
            <w:r>
              <w:t>$45,595</w:t>
            </w:r>
          </w:p>
        </w:tc>
        <w:tc>
          <w:tcPr>
            <w:tcW w:type="dxa" w:w="1080"/>
          </w:tcPr>
          <w:p>
            <w:r>
              <w:t>$120,613</w:t>
            </w:r>
          </w:p>
        </w:tc>
        <w:tc>
          <w:tcPr>
            <w:tcW w:type="dxa" w:w="1080"/>
          </w:tcPr>
          <w:p>
            <w:r>
              <w:t>3.6%</w:t>
            </w:r>
          </w:p>
        </w:tc>
      </w:tr>
      <w:tr>
        <w:tc>
          <w:tcPr>
            <w:tcW w:type="dxa" w:w="1080"/>
          </w:tcPr>
          <w:p>
            <w:r>
              <w:t>Nashville TN</w:t>
            </w:r>
          </w:p>
        </w:tc>
        <w:tc>
          <w:tcPr>
            <w:tcW w:type="dxa" w:w="1080"/>
          </w:tcPr>
          <w:p>
            <w:r>
              <w:t>$3,280</w:t>
            </w:r>
          </w:p>
        </w:tc>
        <w:tc>
          <w:tcPr>
            <w:tcW w:type="dxa" w:w="1080"/>
          </w:tcPr>
          <w:p>
            <w:r>
              <w:t>$3,576</w:t>
            </w:r>
          </w:p>
        </w:tc>
        <w:tc>
          <w:tcPr>
            <w:tcW w:type="dxa" w:w="1080"/>
          </w:tcPr>
          <w:p>
            <w:r>
              <w:t>$10,613</w:t>
            </w:r>
          </w:p>
        </w:tc>
        <w:tc>
          <w:tcPr>
            <w:tcW w:type="dxa" w:w="1080"/>
          </w:tcPr>
          <w:p>
            <w:r>
              <w:t>$6,500</w:t>
            </w:r>
          </w:p>
        </w:tc>
        <w:tc>
          <w:tcPr>
            <w:tcW w:type="dxa" w:w="1080"/>
          </w:tcPr>
          <w:p>
            <w:r>
              <w:t>$16,967</w:t>
            </w:r>
          </w:p>
        </w:tc>
        <w:tc>
          <w:tcPr>
            <w:tcW w:type="dxa" w:w="1080"/>
          </w:tcPr>
          <w:p>
            <w:r>
              <w:t>$40,936</w:t>
            </w:r>
          </w:p>
        </w:tc>
        <w:tc>
          <w:tcPr>
            <w:tcW w:type="dxa" w:w="1080"/>
          </w:tcPr>
          <w:p>
            <w:r>
              <w:t>1.4%</w:t>
            </w:r>
          </w:p>
        </w:tc>
      </w:tr>
      <w:tr>
        <w:tc>
          <w:tcPr>
            <w:tcW w:type="dxa" w:w="1080"/>
          </w:tcPr>
          <w:p>
            <w:r>
              <w:t>Phoenix AZ</w:t>
            </w:r>
          </w:p>
        </w:tc>
        <w:tc>
          <w:tcPr>
            <w:tcW w:type="dxa" w:w="1080"/>
          </w:tcPr>
          <w:p>
            <w:r>
              <w:t>$13,540</w:t>
            </w:r>
          </w:p>
        </w:tc>
        <w:tc>
          <w:tcPr>
            <w:tcW w:type="dxa" w:w="1080"/>
          </w:tcPr>
          <w:p>
            <w:r>
              <w:t>$12,302</w:t>
            </w:r>
          </w:p>
        </w:tc>
        <w:tc>
          <w:tcPr>
            <w:tcW w:type="dxa" w:w="1080"/>
          </w:tcPr>
          <w:p>
            <w:r>
              <w:t>$23,759</w:t>
            </w:r>
          </w:p>
        </w:tc>
        <w:tc>
          <w:tcPr>
            <w:tcW w:type="dxa" w:w="1080"/>
          </w:tcPr>
          <w:p>
            <w:r>
              <w:t>$49,750</w:t>
            </w:r>
          </w:p>
        </w:tc>
        <w:tc>
          <w:tcPr>
            <w:tcW w:type="dxa" w:w="1080"/>
          </w:tcPr>
          <w:p>
            <w:r>
              <w:t>$36,755</w:t>
            </w:r>
          </w:p>
        </w:tc>
        <w:tc>
          <w:tcPr>
            <w:tcW w:type="dxa" w:w="1080"/>
          </w:tcPr>
          <w:p>
            <w:r>
              <w:t>$136,106</w:t>
            </w:r>
          </w:p>
        </w:tc>
        <w:tc>
          <w:tcPr>
            <w:tcW w:type="dxa" w:w="1080"/>
          </w:tcPr>
          <w:p>
            <w:r>
              <w:t>4.6%</w:t>
            </w:r>
          </w:p>
        </w:tc>
      </w:tr>
      <w:tr>
        <w:tc>
          <w:tcPr>
            <w:tcW w:type="dxa" w:w="1080"/>
          </w:tcPr>
          <w:p>
            <w:r>
              <w:t>Portland OR</w:t>
            </w:r>
          </w:p>
        </w:tc>
        <w:tc>
          <w:tcPr>
            <w:tcW w:type="dxa" w:w="1080"/>
          </w:tcPr>
          <w:p>
            <w:r>
              <w:t>$10,597</w:t>
            </w:r>
          </w:p>
        </w:tc>
        <w:tc>
          <w:tcPr>
            <w:tcW w:type="dxa" w:w="1080"/>
          </w:tcPr>
          <w:p>
            <w:r>
              <w:t>$7,494</w:t>
            </w:r>
          </w:p>
        </w:tc>
        <w:tc>
          <w:tcPr>
            <w:tcW w:type="dxa" w:w="1080"/>
          </w:tcPr>
          <w:p>
            <w:r>
              <w:t>$26,784</w:t>
            </w:r>
          </w:p>
        </w:tc>
        <w:tc>
          <w:tcPr>
            <w:tcW w:type="dxa" w:w="1080"/>
          </w:tcPr>
          <w:p>
            <w:r>
              <w:t>$46,750</w:t>
            </w:r>
          </w:p>
        </w:tc>
        <w:tc>
          <w:tcPr>
            <w:tcW w:type="dxa" w:w="1080"/>
          </w:tcPr>
          <w:p>
            <w:r>
              <w:t>$39,653</w:t>
            </w:r>
          </w:p>
        </w:tc>
        <w:tc>
          <w:tcPr>
            <w:tcW w:type="dxa" w:w="1080"/>
          </w:tcPr>
          <w:p>
            <w:r>
              <w:t>$131,279</w:t>
            </w:r>
          </w:p>
        </w:tc>
        <w:tc>
          <w:tcPr>
            <w:tcW w:type="dxa" w:w="1080"/>
          </w:tcPr>
          <w:p>
            <w:r>
              <w:t>4.3%</w:t>
            </w:r>
          </w:p>
        </w:tc>
      </w:tr>
      <w:tr>
        <w:tc>
          <w:tcPr>
            <w:tcW w:type="dxa" w:w="1080"/>
          </w:tcPr>
          <w:p>
            <w:r>
              <w:rPr>
                <w:b/>
              </w:rPr>
              <w:t>ALL</w:t>
            </w:r>
          </w:p>
        </w:tc>
        <w:tc>
          <w:tcPr>
            <w:tcW w:type="dxa" w:w="1080"/>
          </w:tcPr>
          <w:p>
            <w:r>
              <w:rPr>
                <w:b/>
              </w:rPr>
              <w:t>$40,343</w:t>
            </w:r>
          </w:p>
        </w:tc>
        <w:tc>
          <w:tcPr>
            <w:tcW w:type="dxa" w:w="1080"/>
          </w:tcPr>
          <w:p>
            <w:r>
              <w:rPr>
                <w:b/>
              </w:rPr>
              <w:t>$30,473</w:t>
            </w:r>
          </w:p>
        </w:tc>
        <w:tc>
          <w:tcPr>
            <w:tcW w:type="dxa" w:w="1080"/>
          </w:tcPr>
          <w:p>
            <w:r>
              <w:rPr>
                <w:b/>
              </w:rPr>
              <w:t>$83,649</w:t>
            </w:r>
          </w:p>
        </w:tc>
        <w:tc>
          <w:tcPr>
            <w:tcW w:type="dxa" w:w="1080"/>
          </w:tcPr>
          <w:p>
            <w:r>
              <w:rPr>
                <w:b/>
              </w:rPr>
              <w:t>$135,500</w:t>
            </w:r>
          </w:p>
        </w:tc>
        <w:tc>
          <w:tcPr>
            <w:tcW w:type="dxa" w:w="1080"/>
          </w:tcPr>
          <w:p>
            <w:r>
              <w:rPr>
                <w:b/>
              </w:rPr>
              <w:t>$138,971</w:t>
            </w:r>
          </w:p>
        </w:tc>
        <w:tc>
          <w:tcPr>
            <w:tcW w:type="dxa" w:w="1080"/>
          </w:tcPr>
          <w:p>
            <w:r>
              <w:rPr>
                <w:b/>
              </w:rPr>
              <w:t>$428,935</w:t>
            </w:r>
          </w:p>
        </w:tc>
        <w:tc>
          <w:tcPr>
            <w:tcW w:type="dxa" w:w="1080"/>
          </w:tcPr>
          <w:p>
            <w:r>
              <w:rPr>
                <w:b/>
              </w:rPr>
              <w:t>3.5%</w:t>
            </w:r>
          </w:p>
        </w:tc>
      </w:tr>
    </w:tbl>
    <w:p/>
    <w:p>
      <w:r>
        <w:t>Full detail in Meridian_COPQ_Analysis.csv (companion to this memo). The dominant cost drivers by plant: Columbus and Phoenix are complaint- and downtime-cost dominated; Portland is complaint- and return-cost dominated; Nashville is low across every category. Company-wide COPQ of ~$429K over half a year, at 3.5% of production cost, is a credible addressable lever for the ~240 bps margin-compression question the Board raised — even capturing half of it (~$215K/6mo, ~$430K annualized) is a real, if modest, contribution.</w:t>
      </w:r>
    </w:p>
    <w:p>
      <w:pPr>
        <w:pStyle w:val="Heading1"/>
      </w:pPr>
      <w:r>
        <w:t>4. The consolidation question: does the data support it?</w:t>
      </w:r>
    </w:p>
    <w:p>
      <w:r>
        <w:t>Direct answer: no, not on the evidence in this data package, and we would advise against using consolidation as the headline remedy for margin compression. Four reasons, all evidence-based:</w:t>
      </w:r>
    </w:p>
    <w:p>
      <w:pPr>
        <w:pStyle w:val="ListNumber"/>
      </w:pPr>
      <w:r>
        <w:t>(1) Capacity. On the utilization measure in our data, no plant is capacity-constrained relative to national norms - all four sit above the FRED MCUMFN index. Consolidating volume into Nashville (the only plant with real margin quality and asset health) would immediately push a 99.6%-of-schedule plant into overtime/second-shift territory, raising precisely the unit costs the Board is worried about, and it would import Phoenix/Portland/Columbus defect loads (54.7 / 42.2 / 40.5 per 1,000 - all top-quartile worst vs benchmark) into the one plant with the cleanest process baseline.</w:t>
      </w:r>
    </w:p>
    <w:p>
      <w:pPr>
        <w:pStyle w:val="ListNumber"/>
      </w:pPr>
      <w:r>
        <w:t>(1) Capacity. On the utilization measure in our data, no plant is capacity-constrained relative to national norms - all four sit above the FRED MCUMFN index. Consolidating volume into Nashville (the only plant with real margin quality and asset health) would immediately push a 99.6%-of-schedule plant into overtime/second-shift territory, raising precisely the unit costs the Board is worried about, and it would import Phoenix/Portland/Columbus defect loads (54.7 / 42.2 / 40.5 per 1,000 - all top-quartile worst vs benchmark) into the one plant with the cleanest process baseline.</w:t>
      </w:r>
    </w:p>
    <w:p>
      <w:pPr>
        <w:pStyle w:val="ListNumber"/>
      </w:pPr>
      <w:r>
        <w:t>(2) Cost structure. Unit cost is not meaningfully different between the weak plants and the best one: Columbus $80.82, Phoenix $80.78, Portland $78.34, Nashville $64.07 per unit. The gap is ~$15-17/unit, and it is driven by downtime, defects, and labor efficiency - not by fixed-plant overhead that a closure would eliminate. Most of the cost gap travels with the problem; it does not disappear with a plant. Consolidation would not remove the root causes, it would concentrate them.</w:t>
      </w:r>
    </w:p>
    <w:p>
      <w:pPr>
        <w:pStyle w:val="ListNumber"/>
      </w:pPr>
      <w:r>
        <w:t>(2) Cost structure. Unit cost is not meaningfully different between the weak plants and the best one: Columbus $80.82, Phoenix $80.78, Portland $78.34, Nashville $64.07 per unit. The gap is ~$15-17/unit, and it is driven by downtime, defects, and labor efficiency - not by fixed-plant overhead that a closure would eliminate. Most of the cost gap travels with the problem; it does not disappear with a plant. Consolidation would not remove the root causes, it would concentrate them.</w:t>
      </w:r>
    </w:p>
    <w:p>
      <w:pPr>
        <w:pStyle w:val="ListNumber"/>
      </w:pPr>
      <w:r>
        <w:t>(3) Equipment. Only Columbus has assets meeting the replacement-priority rule, and the capital need is bounded at approximately $2.66M across 5 assets - a manageable, sequenced capital program, not an unfixable structural defect that only closure resolves. The Phoenix problem is workforce/process maturity (QC and Maintenance turnover of 25-26% per year against 2.5-2.8 yr avg tenure), and its assets are under 2 years old; closing it would strand a recent strategic investment in additive/composites capability.</w:t>
      </w:r>
    </w:p>
    <w:p>
      <w:pPr>
        <w:pStyle w:val="ListNumber"/>
      </w:pPr>
      <w:r>
        <w:t>(3) Equipment. Only Columbus has assets meeting the replacement-priority rule, and the capital need is bounded at approximately $2.66M across 5 assets - a manageable, sequenced capital program, not an unfixable structural defect that only closure resolves. The Phoenix problem is workforce/process maturity (QC and Maintenance turnover of 25-26% per year against 2.5-2.8 yr avg tenure), and its assets are under 2 years old; closing it would strand a recent strategic investment in additive/composites capability.</w:t>
      </w:r>
    </w:p>
    <w:p>
      <w:pPr>
        <w:pStyle w:val="ListNumber"/>
      </w:pPr>
      <w:r>
        <w:t>(4) Workforce. Closing any plant (including the two weakest plants) carries 80-190 FTE separation/transition exposure per plant (headcount data in workbook). At 2.8-10 yr tenure and 8-26% turnover, the labor-side transition cost and knowledge-loss risk are material and are not priced into any consolidation case we have been given.</w:t>
      </w:r>
    </w:p>
    <w:p>
      <w:pPr>
        <w:pStyle w:val="ListNumber"/>
      </w:pPr>
      <w:r>
        <w:t>(4) Workforce. Closing any plant (including the two weakest plants) carries 80-190 FTE separation/transition exposure per plant (headcount data in workbook). At 2.8-10 yr tenure and 8-26% turnover, the labor-side transition cost and knowledge-loss risk are material and are not priced into any consolidation case we have been given.</w:t>
      </w:r>
    </w:p>
    <w:p>
      <w:r>
        <w:t>What we would recommend instead: a targeted, plant-specific intervention program (below), with a consolidation decision re-visited only if, after 2-3 quarters of that program, Phoenix or Portland fails to move defect rate into the bottom quartile of the benchmark distribution — a condition the trend data suggests is not yet met.</w:t>
      </w:r>
    </w:p>
    <w:p>
      <w:pPr>
        <w:pStyle w:val="Heading1"/>
      </w:pPr>
      <w:r>
        <w:t>5. Prioritized recommendations</w:t>
      </w:r>
    </w:p>
    <w:p>
      <w:pPr>
        <w:pStyle w:val="ListBullet"/>
      </w:pPr>
      <w:r>
        <w:rPr>
          <w:b/>
        </w:rPr>
        <w:t xml:space="preserve">P1 — Replace the five Columbus priority assets (~$2.66M capital, phased over 2 quarters). </w:t>
      </w:r>
      <w:r>
        <w:t>Expected to remove the asset-driven floor under Columbus's 4.44% unplanned-downtime share and its ~$75-100K/half-year downtime COPQ; also removes the tail-risk of a major unplanned outage on a plant that is already top-of-line on downtime. Highest-confidence capital use in the portfolio.</w:t>
      </w:r>
    </w:p>
    <w:p>
      <w:pPr>
        <w:pStyle w:val="ListBullet"/>
      </w:pPr>
      <w:r>
        <w:rPr>
          <w:b/>
        </w:rPr>
        <w:t xml:space="preserve">P2 — Portland OTD/quality rescue, 90-day kaizen on dimensional tolerance and scheduling execution. </w:t>
      </w:r>
      <w:r>
        <w:t>Portland is the only plant with a fast, adverse slope on both defects (+3.1/1,000/mo) and OTD (-1.32 pts/mo, now below the 92% SLA). This is the one plant where inaction has a visible contractual consequence within a quarter. No material capex required; expected to reclaim ~$30-45K/quarter in complaint+return cost (Portland's complaint cost is ~$46,000/half-year).</w:t>
      </w:r>
    </w:p>
    <w:p>
      <w:pPr>
        <w:pStyle w:val="ListBullet"/>
      </w:pPr>
      <w:r>
        <w:rPr>
          <w:b/>
        </w:rPr>
        <w:t xml:space="preserve">P3 — Phoenix workforce/process maturity program: targeted tenure build, process control on defect rate, and TPMS/SMED on its additive lines. </w:t>
      </w:r>
      <w:r>
        <w:t>Phoenix is the highest-plant COPQ at ~$136K/half-year and its defect rate is the company's worst level (54.7/1,000) even though the slope is improving. Workforce turnover (25.5-26.1%/yr in QC and Maintenance) is the root-cause indicator. Estimated 12-18 month horizon; expected to cut COPQ by ~$50-70K/quarter once defect rate falls toward the company median.</w:t>
      </w:r>
    </w:p>
    <w:p>
      <w:pPr>
        <w:pStyle w:val="ListBullet"/>
      </w:pPr>
      <w:r>
        <w:rPr>
          <w:b/>
        </w:rPr>
        <w:t xml:space="preserve">P4 — Company-wide defect-benchmark gap-closure target: get all four plants below the industry 50th percentile defect-rate band within 4 quarters. </w:t>
      </w:r>
      <w:r>
        <w:t>This is the single metric that most directly answers the Board's margin-compression concern, and it is measurable against the provided benchmark dataset. No capex; funded by P1-P3 execution.</w:t>
      </w:r>
    </w:p>
    <w:p/>
    <w:p>
      <w:r>
        <w:t>Note on lean methodology (per the VP memo's scope): P1 is the textbook application of TPM (autonomous maintenance + planned-maintenance discipline) on a known failure-mode asset base; P2 is a kaizen/six-sigma event on a specific defect family (dimensional tolerance, the single largest complaint category company-wide at 15 of 61 complaints); P3 is value-stream mapping plus workforce standardization, consistent with the EPA lean-manufacturing case studies cited in the engagement scope. We have not re-derived those methodologies here; they are flagged as the delivery vehicle for each prioritized intervention.</w:t>
      </w:r>
    </w:p>
    <w:p>
      <w:pPr>
        <w:pStyle w:val="Heading1"/>
      </w:pPr>
      <w:r>
        <w:t>6. Data caveats and items we could not verify</w:t>
      </w:r>
    </w:p>
    <w:p>
      <w:pPr>
        <w:pStyle w:val="ListBullet"/>
      </w:pPr>
      <w:r>
        <w:t>The VP memo's FY2023 downtime comparison ("Columbus equipment downtime +18% YoY") and the FY2023 baseline for margin compression are not in the provided data package; we could not independently verify them.</w:t>
      </w:r>
    </w:p>
    <w:p>
      <w:pPr>
        <w:pStyle w:val="ListBullet"/>
      </w:pPr>
      <w:r>
        <w:t>The VP memo's ~58% Phoenix utilization figure does not reconcile with the schedule-attainment measure in the production data (91.2%); we assume it uses a different denominator (design capacity vs planned hours) and flag it as an open item for re-baselining before it is used in any consolidation underwriting.</w:t>
      </w:r>
    </w:p>
    <w:p>
      <w:pPr>
        <w:pStyle w:val="ListBullet"/>
      </w:pPr>
      <w:r>
        <w:t>FRED MCUMFN monthly values used for benchmarking were obtained separately (Jan-Jun 2024: 77.7, 77.8, 77.6, 77.5, 77.4, 77.3; source: Federal Reserve H.15 via FRED) — see the Source Assumptions tab in the workbook for the full provenance note and the definition-mismatch caveat.</w:t>
      </w:r>
    </w:p>
    <w:p>
      <w:pPr>
        <w:pStyle w:val="ListBullet"/>
      </w:pPr>
      <w:r>
        <w:t>OEE is an approximation (availability x performance x quality at the plant level, no machine-level log provided); treat the OEE column in the scorecard as directional, not an audited TPM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