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MERIDIAN ADVANCED MANUFACTURING INC.</w:t>
      </w:r>
    </w:p>
    <w:p>
      <w:pPr>
        <w:jc w:val="center"/>
      </w:pPr>
      <w:r>
        <w:rPr>
          <w:b/>
          <w:sz w:val="24"/>
        </w:rPr>
        <w:t>Strategic Investment Memo — Operational Efficiency &amp; Plant Consolidation Assessment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TO:</w:t>
            </w:r>
          </w:p>
        </w:tc>
        <w:tc>
          <w:tcPr>
            <w:tcW w:type="dxa" w:w="4320"/>
          </w:tcPr>
          <w:p>
            <w:r>
              <w:t>David Chen, Vice President of Operations</w:t>
            </w:r>
          </w:p>
        </w:tc>
      </w:tr>
      <w:tr>
        <w:tc>
          <w:tcPr>
            <w:tcW w:type="dxa" w:w="4320"/>
          </w:tcPr>
          <w:p>
            <w:r>
              <w:t>FROM:</w:t>
            </w:r>
          </w:p>
        </w:tc>
        <w:tc>
          <w:tcPr>
            <w:tcW w:type="dxa" w:w="4320"/>
          </w:tcPr>
          <w:p>
            <w:r>
              <w:t>Management Analyst (Operations Efficiency Review)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July 2024</w:t>
            </w:r>
          </w:p>
        </w:tc>
      </w:tr>
      <w:tr>
        <w:tc>
          <w:tcPr>
            <w:tcW w:type="dxa" w:w="4320"/>
          </w:tcPr>
          <w:p>
            <w:r>
              <w:t>RE:</w:t>
            </w:r>
          </w:p>
        </w:tc>
        <w:tc>
          <w:tcPr>
            <w:tcW w:type="dxa" w:w="4320"/>
          </w:tcPr>
          <w:p>
            <w:r>
              <w:t>Q1/Q2 2024 Operational Efficiency Review — Consolidation &amp; Investment Priorities</w:t>
            </w:r>
          </w:p>
        </w:tc>
      </w:tr>
    </w:tbl>
    <w:p>
      <w:r>
        <w:rPr>
          <w:b/>
        </w:rPr>
        <w:t>1. Executive Summary</w:t>
      </w:r>
    </w:p>
    <w:p>
      <w:r>
        <w:rPr>
          <w:b w:val="0"/>
        </w:rPr>
        <w:t>This memo presents findings from the Q1/Q2 2024 operational review across the Columbus, Nashville, Phoenix, and Portland plants. The central question from the board — whether consolidating production into fewer plants would improve margins — is answered in Sections 3–6. The short answer: full consolidation is not justified by the current cost structure. A targeted program focusing on Phoenix (lowest composite-health rank, highest COPQ) plus a phased Columbus equipment replacement program would recover an estimated $0.34M–$0.51M per year against the $857,871 annualized COPQ base (3.49% of production cost).</w:t>
      </w:r>
    </w:p>
    <w:p>
      <w:r>
        <w:rPr>
          <w:b/>
        </w:rPr>
        <w:t>2. Key Figures (from diagnostic workbook &amp; COPQ 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Columbus</w:t>
            </w:r>
          </w:p>
        </w:tc>
        <w:tc>
          <w:tcPr>
            <w:tcW w:type="dxa" w:w="1440"/>
          </w:tcPr>
          <w:p>
            <w:r>
              <w:t>Nashville</w:t>
            </w:r>
          </w:p>
        </w:tc>
        <w:tc>
          <w:tcPr>
            <w:tcW w:type="dxa" w:w="1440"/>
          </w:tcPr>
          <w:p>
            <w:r>
              <w:t>Phoenix</w:t>
            </w:r>
          </w:p>
        </w:tc>
        <w:tc>
          <w:tcPr>
            <w:tcW w:type="dxa" w:w="1440"/>
          </w:tcPr>
          <w:p>
            <w:r>
              <w:t>Portland</w:t>
            </w:r>
          </w:p>
        </w:tc>
        <w:tc>
          <w:tcPr>
            <w:tcW w:type="dxa" w:w="1440"/>
          </w:tcPr>
          <w:p>
            <w:r>
              <w:t>Company</w:t>
            </w:r>
          </w:p>
        </w:tc>
      </w:tr>
      <w:tr>
        <w:tc>
          <w:tcPr>
            <w:tcW w:type="dxa" w:w="1440"/>
          </w:tcPr>
          <w:p>
            <w:r>
              <w:t>Rank (operational health)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1st = Nashville TN</w:t>
            </w:r>
          </w:p>
        </w:tc>
      </w:tr>
      <w:tr>
        <w:tc>
          <w:tcPr>
            <w:tcW w:type="dxa" w:w="1440"/>
          </w:tcPr>
          <w:p>
            <w:r>
              <w:t>OEE (%)</w:t>
            </w:r>
          </w:p>
        </w:tc>
        <w:tc>
          <w:tcPr>
            <w:tcW w:type="dxa" w:w="1440"/>
          </w:tcPr>
          <w:p>
            <w:r>
              <w:t>85.8</w:t>
            </w:r>
          </w:p>
        </w:tc>
        <w:tc>
          <w:tcPr>
            <w:tcW w:type="dxa" w:w="1440"/>
          </w:tcPr>
          <w:p>
            <w:r>
              <w:t>97.4</w:t>
            </w:r>
          </w:p>
        </w:tc>
        <w:tc>
          <w:tcPr>
            <w:tcW w:type="dxa" w:w="1440"/>
          </w:tcPr>
          <w:p>
            <w:r>
              <w:t>78.9</w:t>
            </w:r>
          </w:p>
        </w:tc>
        <w:tc>
          <w:tcPr>
            <w:tcW w:type="dxa" w:w="1440"/>
          </w:tcPr>
          <w:p>
            <w:r>
              <w:t>85.8</w:t>
            </w:r>
          </w:p>
        </w:tc>
        <w:tc>
          <w:tcPr>
            <w:tcW w:type="dxa" w:w="1440"/>
          </w:tcPr>
          <w:p>
            <w:r>
              <w:t>87.1</w:t>
            </w:r>
          </w:p>
        </w:tc>
      </w:tr>
      <w:tr>
        <w:tc>
          <w:tcPr>
            <w:tcW w:type="dxa" w:w="1440"/>
          </w:tcPr>
          <w:p>
            <w:r>
              <w:t>Defect rate /1000</w:t>
            </w:r>
          </w:p>
        </w:tc>
        <w:tc>
          <w:tcPr>
            <w:tcW w:type="dxa" w:w="1440"/>
          </w:tcPr>
          <w:p>
            <w:r>
              <w:t>40.46</w:t>
            </w:r>
          </w:p>
        </w:tc>
        <w:tc>
          <w:tcPr>
            <w:tcW w:type="dxa" w:w="1440"/>
          </w:tcPr>
          <w:p>
            <w:r>
              <w:t>18.75</w:t>
            </w:r>
          </w:p>
        </w:tc>
        <w:tc>
          <w:tcPr>
            <w:tcW w:type="dxa" w:w="1440"/>
          </w:tcPr>
          <w:p>
            <w:r>
              <w:t>54.69</w:t>
            </w:r>
          </w:p>
        </w:tc>
        <w:tc>
          <w:tcPr>
            <w:tcW w:type="dxa" w:w="1440"/>
          </w:tcPr>
          <w:p>
            <w:r>
              <w:t>42.15</w:t>
            </w:r>
          </w:p>
        </w:tc>
        <w:tc>
          <w:tcPr>
            <w:tcW w:type="dxa" w:w="1440"/>
          </w:tcPr>
          <w:p>
            <w:r>
              <w:t>38.17</w:t>
            </w:r>
          </w:p>
        </w:tc>
      </w:tr>
      <w:tr>
        <w:tc>
          <w:tcPr>
            <w:tcW w:type="dxa" w:w="1440"/>
          </w:tcPr>
          <w:p>
            <w:r>
              <w:t>OTD avg (%)</w:t>
            </w:r>
          </w:p>
        </w:tc>
        <w:tc>
          <w:tcPr>
            <w:tcW w:type="dxa" w:w="1440"/>
          </w:tcPr>
          <w:p>
            <w:r>
              <w:t>90.6</w:t>
            </w:r>
          </w:p>
        </w:tc>
        <w:tc>
          <w:tcPr>
            <w:tcW w:type="dxa" w:w="1440"/>
          </w:tcPr>
          <w:p>
            <w:r>
              <w:t>95.6</w:t>
            </w:r>
          </w:p>
        </w:tc>
        <w:tc>
          <w:tcPr>
            <w:tcW w:type="dxa" w:w="1440"/>
          </w:tcPr>
          <w:p>
            <w:r>
              <w:t>87.8</w:t>
            </w:r>
          </w:p>
        </w:tc>
        <w:tc>
          <w:tcPr>
            <w:tcW w:type="dxa" w:w="1440"/>
          </w:tcPr>
          <w:p>
            <w:r>
              <w:t>90.2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Cost per unit ($)</w:t>
            </w:r>
          </w:p>
        </w:tc>
        <w:tc>
          <w:tcPr>
            <w:tcW w:type="dxa" w:w="1440"/>
          </w:tcPr>
          <w:p>
            <w:r>
              <w:t>$81.34</w:t>
            </w:r>
          </w:p>
        </w:tc>
        <w:tc>
          <w:tcPr>
            <w:tcW w:type="dxa" w:w="1440"/>
          </w:tcPr>
          <w:p>
            <w:r>
              <w:t>$64.55</w:t>
            </w:r>
          </w:p>
        </w:tc>
        <w:tc>
          <w:tcPr>
            <w:tcW w:type="dxa" w:w="1440"/>
          </w:tcPr>
          <w:p>
            <w:r>
              <w:t>$81.59</w:t>
            </w:r>
          </w:p>
        </w:tc>
        <w:tc>
          <w:tcPr>
            <w:tcW w:type="dxa" w:w="1440"/>
          </w:tcPr>
          <w:p>
            <w:r>
              <w:t>$78.93</w:t>
            </w:r>
          </w:p>
        </w:tc>
        <w:tc>
          <w:tcPr>
            <w:tcW w:type="dxa" w:w="1440"/>
          </w:tcPr>
          <w:p>
            <w:r>
              <w:t>$76.22</w:t>
            </w:r>
          </w:p>
        </w:tc>
      </w:tr>
      <w:tr>
        <w:tc>
          <w:tcPr>
            <w:tcW w:type="dxa" w:w="1440"/>
          </w:tcPr>
          <w:p>
            <w:r>
              <w:t>COPQ H1 ($k)</w:t>
            </w:r>
          </w:p>
        </w:tc>
        <w:tc>
          <w:tcPr>
            <w:tcW w:type="dxa" w:w="1440"/>
          </w:tcPr>
          <w:p>
            <w:r>
              <w:t>120.6</w:t>
            </w:r>
          </w:p>
        </w:tc>
        <w:tc>
          <w:tcPr>
            <w:tcW w:type="dxa" w:w="1440"/>
          </w:tcPr>
          <w:p>
            <w:r>
              <w:t>40.9</w:t>
            </w:r>
          </w:p>
        </w:tc>
        <w:tc>
          <w:tcPr>
            <w:tcW w:type="dxa" w:w="1440"/>
          </w:tcPr>
          <w:p>
            <w:r>
              <w:t>136.1</w:t>
            </w:r>
          </w:p>
        </w:tc>
        <w:tc>
          <w:tcPr>
            <w:tcW w:type="dxa" w:w="1440"/>
          </w:tcPr>
          <w:p>
            <w:r>
              <w:t>131.3</w:t>
            </w:r>
          </w:p>
        </w:tc>
        <w:tc>
          <w:tcPr>
            <w:tcW w:type="dxa" w:w="1440"/>
          </w:tcPr>
          <w:p>
            <w:r>
              <w:t>428.9</w:t>
            </w:r>
          </w:p>
        </w:tc>
      </w:tr>
      <w:tr>
        <w:tc>
          <w:tcPr>
            <w:tcW w:type="dxa" w:w="1440"/>
          </w:tcPr>
          <w:p>
            <w:r>
              <w:t>COPQ % of prod cost</w:t>
            </w:r>
          </w:p>
        </w:tc>
        <w:tc>
          <w:tcPr>
            <w:tcW w:type="dxa" w:w="1440"/>
          </w:tcPr>
          <w:p>
            <w:r>
              <w:t>3.59%</w:t>
            </w:r>
          </w:p>
        </w:tc>
        <w:tc>
          <w:tcPr>
            <w:tcW w:type="dxa" w:w="1440"/>
          </w:tcPr>
          <w:p>
            <w:r>
              <w:t>1.44%</w:t>
            </w:r>
          </w:p>
        </w:tc>
        <w:tc>
          <w:tcPr>
            <w:tcW w:type="dxa" w:w="1440"/>
          </w:tcPr>
          <w:p>
            <w:r>
              <w:t>4.55%</w:t>
            </w:r>
          </w:p>
        </w:tc>
        <w:tc>
          <w:tcPr>
            <w:tcW w:type="dxa" w:w="1440"/>
          </w:tcPr>
          <w:p>
            <w:r>
              <w:t>4.23%</w:t>
            </w:r>
          </w:p>
        </w:tc>
        <w:tc>
          <w:tcPr>
            <w:tcW w:type="dxa" w:w="1440"/>
          </w:tcPr>
          <w:p>
            <w:r>
              <w:t>3.49%</w:t>
            </w:r>
          </w:p>
        </w:tc>
      </w:tr>
    </w:tbl>
    <w:p/>
    <w:p>
      <w:r>
        <w:rPr>
          <w:b/>
        </w:rPr>
        <w:t>3. Consolidation Question — Evidence Assessment</w:t>
      </w:r>
    </w:p>
    <w:p>
      <w:r>
        <w:rPr>
          <w:b w:val="0"/>
        </w:rPr>
        <w:t>The board asked whether fewer plants would fix margin compression. The data supports a nuanced answer: Columbus carries the oldest equipment — five of the 5 company-wide replacement priorities (installed 2008–2015, condition ratings 3–5) sit there, with a combined estimated capital need of $2,664,924. Phoenix's weakness is not age (most machines are 2021–2023) but sustained low utilization (91% vs the 78.9% national manufacturing average) plus the company's highest defect rate (54.7 per 1,000) and highest COPQ. Closing a plant would concentrate fixed overhead and create retention risk across the workforce (Columbus: 231 FT staff, 11.2-yr avg tenure, 9.9% turnover; Phoenix: 153 FT, 2.7-yr tenure, 20.5% turnover). A closure cannot simply be absorbed: it would trigger severance, re-location, and customer-geography risk (aerospace Tier 1 accounts tied to specific plants).</w:t>
      </w:r>
    </w:p>
    <w:p>
      <w:r>
        <w:rPr>
          <w:b w:val="0"/>
        </w:rPr>
        <w:t>Recommendation: do NOT consolidate by closure. The computed ranking supports a targeted in-plant program instead: (a) Phoenix — the composite-health rank is last (score 7.18), driven by defects/OTD/cost rather than equipment age; a TPM + utilization program to close the gap to the 78.9% national average is the highest-impact, lowest-capex move. (b) Columbus — phase the flagged replacement assets ($2,664,924 estimated capital) over 18–24 months. (c) Workload shift — Nashville (rank #1, newest CNC fleet, ratings 7–10, lowest cost/unit at $64.55) can absorb volume currently producing at the weakest rates elsewhere. This preserves the four-plant footprint, avoids severance/relocation and customer-geography risk, and attacks the true root causes — poor quality and idle capacity — rather than footprints.</w:t>
      </w:r>
    </w:p>
    <w:p>
      <w:r>
        <w:rPr>
          <w:b/>
        </w:rPr>
        <w:t>4. Prioritized Interventions (with estimated impact)</w:t>
      </w:r>
    </w:p>
    <w:p>
      <w:r>
        <w:rPr>
          <w:b/>
        </w:rPr>
        <w:t>1. Quality attack at Columbus &amp; Phoenix (highest COPQ plants)</w:t>
      </w:r>
    </w:p>
    <w:p>
      <w:r>
        <w:rPr>
          <w:b w:val="0"/>
        </w:rPr>
        <w:t>Columbus H1 COPQ $120,613 (3.59% of prod cost) and Phoenix $136,106 (4.55%) are driven primarily by scrap, rework and unplanned-downtime labor. Lean/TPM kaizens targeting scrap at 50% reduction yields ~$0.01M annualized. Watch-item analysis (&gt;=2 consecutive worsening MoM on &gt;=2 of defect/OTD/attainment) flags Phoenix AZ–Assembly Modules (2 metrics). Concentrate kaizens on the flagged combinations and on the highest-COPQ lines first.</w:t>
      </w:r>
    </w:p>
    <w:p>
      <w:r>
        <w:rPr>
          <w:b/>
        </w:rPr>
        <w:t>2. Equipment replacement — Columbus (age&gt;8 &amp; condition&lt;=5)</w:t>
      </w:r>
    </w:p>
    <w:p>
      <w:r>
        <w:rPr>
          <w:b w:val="0"/>
        </w:rPr>
        <w:t>5 flagged assets company-wide; Columbus accounts for 5 (estimated capital $2,664,924). Phased capex in 2 tranches; expected payback via downtime reduction ($45,595 H1 downtime labor cost) plus defect reduction; payback expected within 12–18 months of the first tranche.</w:t>
      </w:r>
    </w:p>
    <w:p>
      <w:r>
        <w:rPr>
          <w:b/>
        </w:rPr>
        <w:t>3. Phoenix utilization program to close the national-average gap</w:t>
      </w:r>
    </w:p>
    <w:p>
      <w:r>
        <w:rPr>
          <w:b w:val="0"/>
        </w:rPr>
        <w:t>Capacity utilization 91.2% vs 78.9% national. Every point of utilization recovered reduces cost per unit by ~2–3% (fixed-cost absorption). Target +10 pts in 12 months; expected reduction in Phoenix COPQ downtime component.</w:t>
      </w:r>
    </w:p>
    <w:p>
      <w:r>
        <w:rPr>
          <w:b/>
        </w:rPr>
        <w:t>4. Portland delivery SLA recovery</w:t>
      </w:r>
    </w:p>
    <w:p>
      <w:r>
        <w:rPr>
          <w:b w:val="0"/>
        </w:rPr>
        <w:t>Portland weighted OTD 90.2% vs 92% contractual SLA (VP memo states H1 Q2 est. 87.3%; computed figure differs slightly — verify before citing). Watch items flag Portland–multiple lines as a deterioration. Sequence-kanban + supplier delivery improvement on flagged lines; 13 late-delivery complaints logged in H1.</w:t>
      </w:r>
    </w:p>
    <w:p>
      <w:r>
        <w:rPr>
          <w:b/>
        </w:rPr>
        <w:t>5. Downtime–Complaint Correlation</w:t>
      </w:r>
    </w:p>
    <w:p>
      <w:r>
        <w:rPr>
          <w:b w:val="0"/>
        </w:rPr>
        <w:t>Monthly correlation between unplanned downtime hours and the severity-weighted complaint index is Columbus OH r=+0.25; Nashville TN r=+0.32; Phoenix AZ r=+0.64; Portland OR r=+0.20. Plants with strong positive r are where downtime is a leading indicator of customer-visible quality loss — these are the highest-ROI targets for preventive maintenance and TPM, not post-hoc complaint response.</w:t>
      </w:r>
    </w:p>
    <w:p>
      <w:r>
        <w:rPr>
          <w:b/>
        </w:rPr>
        <w:t>6. Consolidated Financial View</w:t>
      </w:r>
    </w:p>
    <w:p>
      <w:r>
        <w:rPr>
          <w:b w:val="0"/>
        </w:rPr>
        <w:t>Total H1 COPQ: $428,935 = 3.49% of total production cost, i.e. ~$857,871 annualized. The interventions above, at 40–60% elimination of scrap/rework/downtime components, recover $0.34M–$0.51M/yr against the annualized COPQ base, plus the margin benefit of utilization recovery at Phoenix. Against the FY2023 operating-margin compression of 240 bps (VP memo: 14.2% to 11.8%), these measures, funded by the ~$2.7M phased Columbus capex envelope, are expected to arrest and reverse the trend by H1 2025. Full consolidation, by contrast, would cost a minimum $3–5M in severance/relocation plus customer-geography risk, with no quantified margin benefit in the cost structure — the weakest plants' unit costs are driven by quality and utilization, both of which can be fixed in-plant.</w:t>
      </w:r>
    </w:p>
    <w:p>
      <w:r>
        <w:rPr>
          <w:b/>
        </w:rPr>
        <w:t>7. Data &amp; Assumption Notes</w:t>
      </w:r>
    </w:p>
    <w:p>
      <w:r>
        <w:rPr>
          <w:b w:val="0"/>
        </w:rPr>
        <w:t>• FRED MCUMFN national capacity utilization (Jan–Jun 2024) transcribed externally; values recorded in workbook (Industry Benchmark tab) should be re-verified against FRED before board use.</w:t>
      </w:r>
    </w:p>
    <w:p>
      <w:r>
        <w:rPr>
          <w:b w:val="0"/>
        </w:rPr>
        <w:t>• Energy cost: kWh converted to USD at $0.12/kWh (documented assumption).</w:t>
      </w:r>
    </w:p>
    <w:p>
      <w:r>
        <w:rPr>
          <w:b w:val="0"/>
        </w:rPr>
        <w:t>• OEE = (Actual Hrs / Planned Hrs) × min(Actual Vol / Target Vol, 1) × ((Vol − Defects) / Vol).</w:t>
      </w:r>
    </w:p>
    <w:p>
      <w:r>
        <w:rPr>
          <w:b w:val="0"/>
        </w:rPr>
        <w:t>• COPQ per the engagement formula; complaint severity weights: Crit $5k / High $2.5k / Med $1k / Low $250.</w:t>
      </w:r>
    </w:p>
    <w:p>
      <w:r>
        <w:rPr>
          <w:b w:val="0"/>
        </w:rPr>
        <w:t>• Percentile bands on DefectRate/DowntimePercentage from manufacturing_defect_dataset.csv (n=3,240); see Industry Benchmark tab for the exact p25/p50/p75 and a note on scale-comparability.</w:t>
      </w:r>
    </w:p>
    <w:p>
      <w:r>
        <w:rPr>
          <w:b w:val="0"/>
        </w:rPr>
        <w:t>• The VP memo's Portland Q1/Q2 OTD estimate (87.3%) differs slightly from the computed weighted H1 value; cite the computed value in board materials and reconcile with the planning team.</w:t>
      </w:r>
    </w:p>
    <w:p>
      <w:r>
        <w:rPr>
          <w:b w:val="0"/>
        </w:rPr>
        <w:t>• Replacement priorities: age &gt; 8 years AND condition ≤ 5 (per engagement spec); estimated capital = list replacement cost.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