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8"/>
          <w:sz w:val="48"/>
        </w:rPr>
        <w:t>CCNP ENCOR: Configure and Verify</w:t>
        <w:br/>
        <w:t>Single-Area OSPFv2</w:t>
      </w:r>
    </w:p>
    <w:p>
      <w:pPr>
        <w:jc w:val="center"/>
      </w:pPr>
      <w:r>
        <w:rPr>
          <w:i/>
          <w:color w:val="595959"/>
          <w:sz w:val="22"/>
        </w:rPr>
        <w:t>R1 · R2 · R3 | Area 0 · Full Route Exchange</w:t>
      </w:r>
    </w:p>
    <w:p>
      <w:pPr>
        <w:jc w:val="center"/>
      </w:pPr>
      <w:r>
        <w:drawing>
          <wp:inline xmlns:a="http://schemas.openxmlformats.org/drawingml/2006/main" xmlns:pic="http://schemas.openxmlformats.org/drawingml/2006/picture">
            <wp:extent cx="6035040" cy="443575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4435754"/>
                    </a:xfrm>
                    <a:prstGeom prst="rect"/>
                  </pic:spPr>
                </pic:pic>
              </a:graphicData>
            </a:graphic>
          </wp:inline>
        </w:drawing>
      </w:r>
    </w:p>
    <w:p>
      <w:pPr>
        <w:pStyle w:val="Caption"/>
        <w:jc w:val="center"/>
      </w:pPr>
      <w:r>
        <w:t>Figure 1. Three-router full-mesh OSPFv2 topology</w:t>
      </w:r>
    </w:p>
    <w:tbl>
      <w:tblPr>
        <w:tblW w:type="auto" w:w="0"/>
        <w:tblLook w:firstColumn="1" w:firstRow="1" w:lastColumn="0" w:lastRow="0" w:noHBand="0" w:noVBand="1" w:val="04A0"/>
      </w:tblPr>
      <w:tblGrid>
        <w:gridCol w:w="10166"/>
      </w:tblGrid>
      <w:tr>
        <w:trPr>
          <w:cantSplit/>
        </w:trPr>
        <w:tc>
          <w:tcPr>
            <w:tcW w:type="dxa" w:w="10166"/>
            <w:shd w:fill="D9EAF7"/>
            <w:tcMar>
              <w:top w:w="80" w:type="dxa"/>
              <w:start w:w="100" w:type="dxa"/>
              <w:bottom w:w="80" w:type="dxa"/>
              <w:end w:w="100" w:type="dxa"/>
            </w:tcMar>
          </w:tcPr>
          <w:p>
            <w:pPr>
              <w:spacing w:after="0"/>
            </w:pPr>
            <w:r>
              <w:rPr>
                <w:b/>
                <w:color w:val="1F4E78"/>
              </w:rPr>
              <w:t>Objective: Configure OSPFv2 process 10 on R1, R2, and R3; place all interfaces in area 0; advertise loopbacks without unnecessary Hellos; and verify complete route exchange.</w:t>
            </w:r>
          </w:p>
        </w:tc>
      </w:tr>
    </w:tbl>
    <w:p>
      <w:pPr>
        <w:pStyle w:val="Heading1"/>
      </w:pPr>
      <w:r>
        <w:t>1. ENCOR Alignment and Outcomes</w:t>
      </w:r>
    </w:p>
    <w:p>
      <w:r>
        <w:t>ENCOR 350-401 v1.2 alignment: 3.0 Infrastructure → 3.2 Layer 3 → 3.2.b, simple OSPFv2/v3 environments. This focused lab covers the single-area OSPFv2 portion: adjacency, broadcast and point-to-point network types, passive interfaces and route exchange. Multi-area, summarization, filtering and OSPFv3 remain separate labs. Metric analysis reinforces the same topology.</w:t>
      </w:r>
    </w:p>
    <w:p>
      <w:pPr>
        <w:pStyle w:val="ListBullet"/>
      </w:pPr>
      <w:r>
        <w:t>Validate Layer 3 reachability before enabling a routing protocol.</w:t>
      </w:r>
    </w:p>
    <w:p>
      <w:pPr>
        <w:pStyle w:val="ListBullet"/>
      </w:pPr>
      <w:r>
        <w:t>Configure explicit router IDs and single-area OSPFv2.</w:t>
      </w:r>
    </w:p>
    <w:p>
      <w:pPr>
        <w:pStyle w:val="ListBullet"/>
      </w:pPr>
      <w:r>
        <w:t>Explain neighbor discovery, adjacency, LSDB synchronization, SPF calculation, and route installation.</w:t>
      </w:r>
    </w:p>
    <w:p>
      <w:pPr>
        <w:pStyle w:val="ListBullet"/>
      </w:pPr>
      <w:r>
        <w:t>Verify neighbors, interfaces, protocols, LSDB content, and learned routes.</w:t>
      </w:r>
    </w:p>
    <w:p>
      <w:pPr>
        <w:pStyle w:val="ListBullet"/>
      </w:pPr>
      <w:r>
        <w:t>Predict path metrics, compare network types, and diagnose adjacency or prefix failures even when the triangle masks the outage.</w:t>
      </w:r>
    </w:p>
    <w:p>
      <w:pPr>
        <w:pStyle w:val="Heading2"/>
      </w:pPr>
      <w:r>
        <w:t>Independent practice and evidence</w:t>
      </w:r>
    </w:p>
    <w:p>
      <w:pPr/>
      <w:r>
        <w:t>Allow 90–120 minutes for the required work; this is a practice target, not a Cisco exam timing or scoring rule. Use the existing CML YAML and console access. Attempt the requirements before opening the reference solution. Keep a known-good configuration checkpoint before fault injection.</w:t>
      </w:r>
    </w:p>
    <w:p>
      <w:pPr/>
      <w:r>
        <w:t>For every incident, submit the symptom, two competing explanations, the command and exact field that separates them, the smallest correction, and before-and-after tests. A successful ping or a copied configuration alone does not meet the completion criteria.</w:t>
      </w:r>
    </w:p>
    <w:p>
      <w:pPr>
        <w:pStyle w:val="Heading1"/>
      </w:pPr>
      <w:r>
        <w:t>2. Addressing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100" w:type="dxa"/>
              <w:bottom w:w="80" w:type="dxa"/>
              <w:end w:w="100" w:type="dxa"/>
            </w:tcMar>
          </w:tcPr>
          <w:p>
            <w:pPr>
              <w:spacing w:after="0"/>
            </w:pPr>
            <w:r>
              <w:rPr>
                <w:b/>
                <w:color w:val="FFFFFF"/>
              </w:rPr>
              <w:t>Router</w:t>
            </w:r>
          </w:p>
        </w:tc>
        <w:tc>
          <w:tcPr>
            <w:tcW w:type="dxa" w:w="2541"/>
            <w:shd w:fill="1F4E78"/>
            <w:tcMar>
              <w:top w:w="80" w:type="dxa"/>
              <w:start w:w="100" w:type="dxa"/>
              <w:bottom w:w="80" w:type="dxa"/>
              <w:end w:w="100" w:type="dxa"/>
            </w:tcMar>
          </w:tcPr>
          <w:p>
            <w:pPr>
              <w:spacing w:after="0"/>
            </w:pPr>
            <w:r>
              <w:rPr>
                <w:b/>
                <w:color w:val="FFFFFF"/>
              </w:rPr>
              <w:t>Interface</w:t>
            </w:r>
          </w:p>
        </w:tc>
        <w:tc>
          <w:tcPr>
            <w:tcW w:type="dxa" w:w="2541"/>
            <w:shd w:fill="1F4E78"/>
            <w:tcMar>
              <w:top w:w="80" w:type="dxa"/>
              <w:start w:w="100" w:type="dxa"/>
              <w:bottom w:w="80" w:type="dxa"/>
              <w:end w:w="100" w:type="dxa"/>
            </w:tcMar>
          </w:tcPr>
          <w:p>
            <w:pPr>
              <w:spacing w:after="0"/>
            </w:pPr>
            <w:r>
              <w:rPr>
                <w:b/>
                <w:color w:val="FFFFFF"/>
              </w:rPr>
              <w:t>Address</w:t>
            </w:r>
          </w:p>
        </w:tc>
        <w:tc>
          <w:tcPr>
            <w:tcW w:type="dxa" w:w="2541"/>
            <w:shd w:fill="1F4E78"/>
            <w:tcMar>
              <w:top w:w="80" w:type="dxa"/>
              <w:start w:w="100" w:type="dxa"/>
              <w:bottom w:w="80" w:type="dxa"/>
              <w:end w:w="100" w:type="dxa"/>
            </w:tcMar>
          </w:tcPr>
          <w:p>
            <w:pPr>
              <w:spacing w:after="0"/>
            </w:pPr>
            <w:r>
              <w:rPr>
                <w:b/>
                <w:color w:val="FFFFFF"/>
              </w:rPr>
              <w:t>Neighbor / Purpose</w:t>
            </w:r>
          </w:p>
        </w:tc>
      </w:tr>
      <w:tr>
        <w:trPr>
          <w:cantSplit/>
        </w:trPr>
        <w:tc>
          <w:tcPr>
            <w:tcW w:type="dxa" w:w="2541"/>
            <w:tcMar>
              <w:top w:w="80" w:type="dxa"/>
              <w:start w:w="100" w:type="dxa"/>
              <w:bottom w:w="80" w:type="dxa"/>
              <w:end w:w="100" w:type="dxa"/>
            </w:tcMar>
            <w:vAlign w:val="center"/>
          </w:tcPr>
          <w:p>
            <w:pPr>
              <w:spacing w:after="0"/>
            </w:pPr>
            <w:r>
              <w:t>R1</w:t>
            </w:r>
          </w:p>
        </w:tc>
        <w:tc>
          <w:tcPr>
            <w:tcW w:type="dxa" w:w="2541"/>
            <w:tcMar>
              <w:top w:w="80" w:type="dxa"/>
              <w:start w:w="100" w:type="dxa"/>
              <w:bottom w:w="80" w:type="dxa"/>
              <w:end w:w="100" w:type="dxa"/>
            </w:tcMar>
            <w:vAlign w:val="center"/>
          </w:tcPr>
          <w:p>
            <w:pPr>
              <w:spacing w:after="0"/>
            </w:pPr>
            <w:r>
              <w:t>Loopback0</w:t>
            </w:r>
          </w:p>
        </w:tc>
        <w:tc>
          <w:tcPr>
            <w:tcW w:type="dxa" w:w="2541"/>
            <w:tcMar>
              <w:top w:w="80" w:type="dxa"/>
              <w:start w:w="100" w:type="dxa"/>
              <w:bottom w:w="80" w:type="dxa"/>
              <w:end w:w="100" w:type="dxa"/>
            </w:tcMar>
            <w:vAlign w:val="center"/>
          </w:tcPr>
          <w:p>
            <w:pPr>
              <w:spacing w:after="0"/>
            </w:pPr>
            <w:r>
              <w:t>1.1.1.1/32</w:t>
            </w:r>
          </w:p>
        </w:tc>
        <w:tc>
          <w:tcPr>
            <w:tcW w:type="dxa" w:w="2541"/>
            <w:tcMar>
              <w:top w:w="80" w:type="dxa"/>
              <w:start w:w="100" w:type="dxa"/>
              <w:bottom w:w="80" w:type="dxa"/>
              <w:end w:w="100" w:type="dxa"/>
            </w:tcMar>
            <w:vAlign w:val="center"/>
          </w:tcPr>
          <w:p>
            <w:pPr>
              <w:spacing w:after="0"/>
            </w:pPr>
            <w:r>
              <w:t>Router ID and test network</w:t>
            </w:r>
          </w:p>
        </w:tc>
      </w:tr>
      <w:tr>
        <w:trPr>
          <w:cantSplit/>
        </w:trPr>
        <w:tc>
          <w:tcPr>
            <w:tcW w:type="dxa" w:w="2541"/>
            <w:tcMar>
              <w:top w:w="80" w:type="dxa"/>
              <w:start w:w="100" w:type="dxa"/>
              <w:bottom w:w="80" w:type="dxa"/>
              <w:end w:w="100" w:type="dxa"/>
            </w:tcMar>
            <w:vAlign w:val="center"/>
          </w:tcPr>
          <w:p>
            <w:pPr>
              <w:spacing w:after="0"/>
            </w:pPr>
            <w:r>
              <w:t>R1</w:t>
            </w:r>
          </w:p>
        </w:tc>
        <w:tc>
          <w:tcPr>
            <w:tcW w:type="dxa" w:w="2541"/>
            <w:tcMar>
              <w:top w:w="80" w:type="dxa"/>
              <w:start w:w="100" w:type="dxa"/>
              <w:bottom w:w="80" w:type="dxa"/>
              <w:end w:w="100" w:type="dxa"/>
            </w:tcMar>
            <w:vAlign w:val="center"/>
          </w:tcPr>
          <w:p>
            <w:pPr>
              <w:spacing w:after="0"/>
            </w:pPr>
            <w:r>
              <w:t>Gi0/0</w:t>
            </w:r>
          </w:p>
        </w:tc>
        <w:tc>
          <w:tcPr>
            <w:tcW w:type="dxa" w:w="2541"/>
            <w:tcMar>
              <w:top w:w="80" w:type="dxa"/>
              <w:start w:w="100" w:type="dxa"/>
              <w:bottom w:w="80" w:type="dxa"/>
              <w:end w:w="100" w:type="dxa"/>
            </w:tcMar>
            <w:vAlign w:val="center"/>
          </w:tcPr>
          <w:p>
            <w:pPr>
              <w:spacing w:after="0"/>
            </w:pPr>
            <w:r>
              <w:t>10.12.0.1/30</w:t>
            </w:r>
          </w:p>
        </w:tc>
        <w:tc>
          <w:tcPr>
            <w:tcW w:type="dxa" w:w="2541"/>
            <w:tcMar>
              <w:top w:w="80" w:type="dxa"/>
              <w:start w:w="100" w:type="dxa"/>
              <w:bottom w:w="80" w:type="dxa"/>
              <w:end w:w="100" w:type="dxa"/>
            </w:tcMar>
            <w:vAlign w:val="center"/>
          </w:tcPr>
          <w:p>
            <w:pPr>
              <w:spacing w:after="0"/>
            </w:pPr>
            <w:r>
              <w:t>R2 Gi0/0</w:t>
            </w:r>
          </w:p>
        </w:tc>
      </w:tr>
      <w:tr>
        <w:trPr>
          <w:cantSplit/>
        </w:trPr>
        <w:tc>
          <w:tcPr>
            <w:tcW w:type="dxa" w:w="2541"/>
            <w:tcMar>
              <w:top w:w="80" w:type="dxa"/>
              <w:start w:w="100" w:type="dxa"/>
              <w:bottom w:w="80" w:type="dxa"/>
              <w:end w:w="100" w:type="dxa"/>
            </w:tcMar>
            <w:vAlign w:val="center"/>
          </w:tcPr>
          <w:p>
            <w:pPr>
              <w:spacing w:after="0"/>
            </w:pPr>
            <w:r>
              <w:t>R1</w:t>
            </w:r>
          </w:p>
        </w:tc>
        <w:tc>
          <w:tcPr>
            <w:tcW w:type="dxa" w:w="2541"/>
            <w:tcMar>
              <w:top w:w="80" w:type="dxa"/>
              <w:start w:w="100" w:type="dxa"/>
              <w:bottom w:w="80" w:type="dxa"/>
              <w:end w:w="100" w:type="dxa"/>
            </w:tcMar>
            <w:vAlign w:val="center"/>
          </w:tcPr>
          <w:p>
            <w:pPr>
              <w:spacing w:after="0"/>
            </w:pPr>
            <w:r>
              <w:t>Gi0/1</w:t>
            </w:r>
          </w:p>
        </w:tc>
        <w:tc>
          <w:tcPr>
            <w:tcW w:type="dxa" w:w="2541"/>
            <w:tcMar>
              <w:top w:w="80" w:type="dxa"/>
              <w:start w:w="100" w:type="dxa"/>
              <w:bottom w:w="80" w:type="dxa"/>
              <w:end w:w="100" w:type="dxa"/>
            </w:tcMar>
            <w:vAlign w:val="center"/>
          </w:tcPr>
          <w:p>
            <w:pPr>
              <w:spacing w:after="0"/>
            </w:pPr>
            <w:r>
              <w:t>10.13.0.1/30</w:t>
            </w:r>
          </w:p>
        </w:tc>
        <w:tc>
          <w:tcPr>
            <w:tcW w:type="dxa" w:w="2541"/>
            <w:tcMar>
              <w:top w:w="80" w:type="dxa"/>
              <w:start w:w="100" w:type="dxa"/>
              <w:bottom w:w="80" w:type="dxa"/>
              <w:end w:w="100" w:type="dxa"/>
            </w:tcMar>
            <w:vAlign w:val="center"/>
          </w:tcPr>
          <w:p>
            <w:pPr>
              <w:spacing w:after="0"/>
            </w:pPr>
            <w:r>
              <w:t>R3 Gi0/1</w:t>
            </w:r>
          </w:p>
        </w:tc>
      </w:tr>
      <w:tr>
        <w:trPr>
          <w:cantSplit/>
        </w:trPr>
        <w:tc>
          <w:tcPr>
            <w:tcW w:type="dxa" w:w="2541"/>
            <w:tcMar>
              <w:top w:w="80" w:type="dxa"/>
              <w:start w:w="100" w:type="dxa"/>
              <w:bottom w:w="80" w:type="dxa"/>
              <w:end w:w="100" w:type="dxa"/>
            </w:tcMar>
            <w:vAlign w:val="center"/>
          </w:tcPr>
          <w:p>
            <w:pPr>
              <w:spacing w:after="0"/>
            </w:pPr>
            <w:r>
              <w:t>R2</w:t>
            </w:r>
          </w:p>
        </w:tc>
        <w:tc>
          <w:tcPr>
            <w:tcW w:type="dxa" w:w="2541"/>
            <w:tcMar>
              <w:top w:w="80" w:type="dxa"/>
              <w:start w:w="100" w:type="dxa"/>
              <w:bottom w:w="80" w:type="dxa"/>
              <w:end w:w="100" w:type="dxa"/>
            </w:tcMar>
            <w:vAlign w:val="center"/>
          </w:tcPr>
          <w:p>
            <w:pPr>
              <w:spacing w:after="0"/>
            </w:pPr>
            <w:r>
              <w:t>Loopback0</w:t>
            </w:r>
          </w:p>
        </w:tc>
        <w:tc>
          <w:tcPr>
            <w:tcW w:type="dxa" w:w="2541"/>
            <w:tcMar>
              <w:top w:w="80" w:type="dxa"/>
              <w:start w:w="100" w:type="dxa"/>
              <w:bottom w:w="80" w:type="dxa"/>
              <w:end w:w="100" w:type="dxa"/>
            </w:tcMar>
            <w:vAlign w:val="center"/>
          </w:tcPr>
          <w:p>
            <w:pPr>
              <w:spacing w:after="0"/>
            </w:pPr>
            <w:r>
              <w:t>2.2.2.2/32</w:t>
            </w:r>
          </w:p>
        </w:tc>
        <w:tc>
          <w:tcPr>
            <w:tcW w:type="dxa" w:w="2541"/>
            <w:tcMar>
              <w:top w:w="80" w:type="dxa"/>
              <w:start w:w="100" w:type="dxa"/>
              <w:bottom w:w="80" w:type="dxa"/>
              <w:end w:w="100" w:type="dxa"/>
            </w:tcMar>
            <w:vAlign w:val="center"/>
          </w:tcPr>
          <w:p>
            <w:pPr>
              <w:spacing w:after="0"/>
            </w:pPr>
            <w:r>
              <w:t>Router ID and test network</w:t>
            </w:r>
          </w:p>
        </w:tc>
      </w:tr>
      <w:tr>
        <w:trPr>
          <w:cantSplit/>
        </w:trPr>
        <w:tc>
          <w:tcPr>
            <w:tcW w:type="dxa" w:w="2541"/>
            <w:tcMar>
              <w:top w:w="80" w:type="dxa"/>
              <w:start w:w="100" w:type="dxa"/>
              <w:bottom w:w="80" w:type="dxa"/>
              <w:end w:w="100" w:type="dxa"/>
            </w:tcMar>
            <w:vAlign w:val="center"/>
          </w:tcPr>
          <w:p>
            <w:pPr>
              <w:spacing w:after="0"/>
            </w:pPr>
            <w:r>
              <w:t>R2</w:t>
            </w:r>
          </w:p>
        </w:tc>
        <w:tc>
          <w:tcPr>
            <w:tcW w:type="dxa" w:w="2541"/>
            <w:tcMar>
              <w:top w:w="80" w:type="dxa"/>
              <w:start w:w="100" w:type="dxa"/>
              <w:bottom w:w="80" w:type="dxa"/>
              <w:end w:w="100" w:type="dxa"/>
            </w:tcMar>
            <w:vAlign w:val="center"/>
          </w:tcPr>
          <w:p>
            <w:pPr>
              <w:spacing w:after="0"/>
            </w:pPr>
            <w:r>
              <w:t>Gi0/0</w:t>
            </w:r>
          </w:p>
        </w:tc>
        <w:tc>
          <w:tcPr>
            <w:tcW w:type="dxa" w:w="2541"/>
            <w:tcMar>
              <w:top w:w="80" w:type="dxa"/>
              <w:start w:w="100" w:type="dxa"/>
              <w:bottom w:w="80" w:type="dxa"/>
              <w:end w:w="100" w:type="dxa"/>
            </w:tcMar>
            <w:vAlign w:val="center"/>
          </w:tcPr>
          <w:p>
            <w:pPr>
              <w:spacing w:after="0"/>
            </w:pPr>
            <w:r>
              <w:t>10.12.0.2/30</w:t>
            </w:r>
          </w:p>
        </w:tc>
        <w:tc>
          <w:tcPr>
            <w:tcW w:type="dxa" w:w="2541"/>
            <w:tcMar>
              <w:top w:w="80" w:type="dxa"/>
              <w:start w:w="100" w:type="dxa"/>
              <w:bottom w:w="80" w:type="dxa"/>
              <w:end w:w="100" w:type="dxa"/>
            </w:tcMar>
            <w:vAlign w:val="center"/>
          </w:tcPr>
          <w:p>
            <w:pPr>
              <w:spacing w:after="0"/>
            </w:pPr>
            <w:r>
              <w:t>R1 Gi0/0</w:t>
            </w:r>
          </w:p>
        </w:tc>
      </w:tr>
      <w:tr>
        <w:trPr>
          <w:cantSplit/>
        </w:trPr>
        <w:tc>
          <w:tcPr>
            <w:tcW w:type="dxa" w:w="2541"/>
            <w:tcMar>
              <w:top w:w="80" w:type="dxa"/>
              <w:start w:w="100" w:type="dxa"/>
              <w:bottom w:w="80" w:type="dxa"/>
              <w:end w:w="100" w:type="dxa"/>
            </w:tcMar>
            <w:vAlign w:val="center"/>
          </w:tcPr>
          <w:p>
            <w:pPr>
              <w:spacing w:after="0"/>
            </w:pPr>
            <w:r>
              <w:t>R2</w:t>
            </w:r>
          </w:p>
        </w:tc>
        <w:tc>
          <w:tcPr>
            <w:tcW w:type="dxa" w:w="2541"/>
            <w:tcMar>
              <w:top w:w="80" w:type="dxa"/>
              <w:start w:w="100" w:type="dxa"/>
              <w:bottom w:w="80" w:type="dxa"/>
              <w:end w:w="100" w:type="dxa"/>
            </w:tcMar>
            <w:vAlign w:val="center"/>
          </w:tcPr>
          <w:p>
            <w:pPr>
              <w:spacing w:after="0"/>
            </w:pPr>
            <w:r>
              <w:t>Gi0/1</w:t>
            </w:r>
          </w:p>
        </w:tc>
        <w:tc>
          <w:tcPr>
            <w:tcW w:type="dxa" w:w="2541"/>
            <w:tcMar>
              <w:top w:w="80" w:type="dxa"/>
              <w:start w:w="100" w:type="dxa"/>
              <w:bottom w:w="80" w:type="dxa"/>
              <w:end w:w="100" w:type="dxa"/>
            </w:tcMar>
            <w:vAlign w:val="center"/>
          </w:tcPr>
          <w:p>
            <w:pPr>
              <w:spacing w:after="0"/>
            </w:pPr>
            <w:r>
              <w:t>10.23.0.1/30</w:t>
            </w:r>
          </w:p>
        </w:tc>
        <w:tc>
          <w:tcPr>
            <w:tcW w:type="dxa" w:w="2541"/>
            <w:tcMar>
              <w:top w:w="80" w:type="dxa"/>
              <w:start w:w="100" w:type="dxa"/>
              <w:bottom w:w="80" w:type="dxa"/>
              <w:end w:w="100" w:type="dxa"/>
            </w:tcMar>
            <w:vAlign w:val="center"/>
          </w:tcPr>
          <w:p>
            <w:pPr>
              <w:spacing w:after="0"/>
            </w:pPr>
            <w:r>
              <w:t>R3 Gi0/0</w:t>
            </w:r>
          </w:p>
        </w:tc>
      </w:tr>
      <w:tr>
        <w:trPr>
          <w:cantSplit/>
        </w:trPr>
        <w:tc>
          <w:tcPr>
            <w:tcW w:type="dxa" w:w="2541"/>
            <w:tcMar>
              <w:top w:w="80" w:type="dxa"/>
              <w:start w:w="100" w:type="dxa"/>
              <w:bottom w:w="80" w:type="dxa"/>
              <w:end w:w="100" w:type="dxa"/>
            </w:tcMar>
            <w:vAlign w:val="center"/>
          </w:tcPr>
          <w:p>
            <w:pPr>
              <w:spacing w:after="0"/>
            </w:pPr>
            <w:r>
              <w:t>R3</w:t>
            </w:r>
          </w:p>
        </w:tc>
        <w:tc>
          <w:tcPr>
            <w:tcW w:type="dxa" w:w="2541"/>
            <w:tcMar>
              <w:top w:w="80" w:type="dxa"/>
              <w:start w:w="100" w:type="dxa"/>
              <w:bottom w:w="80" w:type="dxa"/>
              <w:end w:w="100" w:type="dxa"/>
            </w:tcMar>
            <w:vAlign w:val="center"/>
          </w:tcPr>
          <w:p>
            <w:pPr>
              <w:spacing w:after="0"/>
            </w:pPr>
            <w:r>
              <w:t>Loopback0</w:t>
            </w:r>
          </w:p>
        </w:tc>
        <w:tc>
          <w:tcPr>
            <w:tcW w:type="dxa" w:w="2541"/>
            <w:tcMar>
              <w:top w:w="80" w:type="dxa"/>
              <w:start w:w="100" w:type="dxa"/>
              <w:bottom w:w="80" w:type="dxa"/>
              <w:end w:w="100" w:type="dxa"/>
            </w:tcMar>
            <w:vAlign w:val="center"/>
          </w:tcPr>
          <w:p>
            <w:pPr>
              <w:spacing w:after="0"/>
            </w:pPr>
            <w:r>
              <w:t>3.3.3.3/32</w:t>
            </w:r>
          </w:p>
        </w:tc>
        <w:tc>
          <w:tcPr>
            <w:tcW w:type="dxa" w:w="2541"/>
            <w:tcMar>
              <w:top w:w="80" w:type="dxa"/>
              <w:start w:w="100" w:type="dxa"/>
              <w:bottom w:w="80" w:type="dxa"/>
              <w:end w:w="100" w:type="dxa"/>
            </w:tcMar>
            <w:vAlign w:val="center"/>
          </w:tcPr>
          <w:p>
            <w:pPr>
              <w:spacing w:after="0"/>
            </w:pPr>
            <w:r>
              <w:t>Router ID and test network</w:t>
            </w:r>
          </w:p>
        </w:tc>
      </w:tr>
      <w:tr>
        <w:trPr>
          <w:cantSplit/>
        </w:trPr>
        <w:tc>
          <w:tcPr>
            <w:tcW w:type="dxa" w:w="2541"/>
            <w:tcMar>
              <w:top w:w="80" w:type="dxa"/>
              <w:start w:w="100" w:type="dxa"/>
              <w:bottom w:w="80" w:type="dxa"/>
              <w:end w:w="100" w:type="dxa"/>
            </w:tcMar>
            <w:vAlign w:val="center"/>
          </w:tcPr>
          <w:p>
            <w:pPr>
              <w:spacing w:after="0"/>
            </w:pPr>
            <w:r>
              <w:t>R3</w:t>
            </w:r>
          </w:p>
        </w:tc>
        <w:tc>
          <w:tcPr>
            <w:tcW w:type="dxa" w:w="2541"/>
            <w:tcMar>
              <w:top w:w="80" w:type="dxa"/>
              <w:start w:w="100" w:type="dxa"/>
              <w:bottom w:w="80" w:type="dxa"/>
              <w:end w:w="100" w:type="dxa"/>
            </w:tcMar>
            <w:vAlign w:val="center"/>
          </w:tcPr>
          <w:p>
            <w:pPr>
              <w:spacing w:after="0"/>
            </w:pPr>
            <w:r>
              <w:t>Gi0/0</w:t>
            </w:r>
          </w:p>
        </w:tc>
        <w:tc>
          <w:tcPr>
            <w:tcW w:type="dxa" w:w="2541"/>
            <w:tcMar>
              <w:top w:w="80" w:type="dxa"/>
              <w:start w:w="100" w:type="dxa"/>
              <w:bottom w:w="80" w:type="dxa"/>
              <w:end w:w="100" w:type="dxa"/>
            </w:tcMar>
            <w:vAlign w:val="center"/>
          </w:tcPr>
          <w:p>
            <w:pPr>
              <w:spacing w:after="0"/>
            </w:pPr>
            <w:r>
              <w:t>10.23.0.2/30</w:t>
            </w:r>
          </w:p>
        </w:tc>
        <w:tc>
          <w:tcPr>
            <w:tcW w:type="dxa" w:w="2541"/>
            <w:tcMar>
              <w:top w:w="80" w:type="dxa"/>
              <w:start w:w="100" w:type="dxa"/>
              <w:bottom w:w="80" w:type="dxa"/>
              <w:end w:w="100" w:type="dxa"/>
            </w:tcMar>
            <w:vAlign w:val="center"/>
          </w:tcPr>
          <w:p>
            <w:pPr>
              <w:spacing w:after="0"/>
            </w:pPr>
            <w:r>
              <w:t>R2 Gi0/1</w:t>
            </w:r>
          </w:p>
        </w:tc>
      </w:tr>
      <w:tr>
        <w:trPr>
          <w:cantSplit/>
        </w:trPr>
        <w:tc>
          <w:tcPr>
            <w:tcW w:type="dxa" w:w="2541"/>
            <w:tcMar>
              <w:top w:w="80" w:type="dxa"/>
              <w:start w:w="100" w:type="dxa"/>
              <w:bottom w:w="80" w:type="dxa"/>
              <w:end w:w="100" w:type="dxa"/>
            </w:tcMar>
            <w:vAlign w:val="center"/>
          </w:tcPr>
          <w:p>
            <w:pPr>
              <w:spacing w:after="0"/>
            </w:pPr>
            <w:r>
              <w:t>R3</w:t>
            </w:r>
          </w:p>
        </w:tc>
        <w:tc>
          <w:tcPr>
            <w:tcW w:type="dxa" w:w="2541"/>
            <w:tcMar>
              <w:top w:w="80" w:type="dxa"/>
              <w:start w:w="100" w:type="dxa"/>
              <w:bottom w:w="80" w:type="dxa"/>
              <w:end w:w="100" w:type="dxa"/>
            </w:tcMar>
            <w:vAlign w:val="center"/>
          </w:tcPr>
          <w:p>
            <w:pPr>
              <w:spacing w:after="0"/>
            </w:pPr>
            <w:r>
              <w:t>Gi0/1</w:t>
            </w:r>
          </w:p>
        </w:tc>
        <w:tc>
          <w:tcPr>
            <w:tcW w:type="dxa" w:w="2541"/>
            <w:tcMar>
              <w:top w:w="80" w:type="dxa"/>
              <w:start w:w="100" w:type="dxa"/>
              <w:bottom w:w="80" w:type="dxa"/>
              <w:end w:w="100" w:type="dxa"/>
            </w:tcMar>
            <w:vAlign w:val="center"/>
          </w:tcPr>
          <w:p>
            <w:pPr>
              <w:spacing w:after="0"/>
            </w:pPr>
            <w:r>
              <w:t>10.13.0.2/30</w:t>
            </w:r>
          </w:p>
        </w:tc>
        <w:tc>
          <w:tcPr>
            <w:tcW w:type="dxa" w:w="2541"/>
            <w:tcMar>
              <w:top w:w="80" w:type="dxa"/>
              <w:start w:w="100" w:type="dxa"/>
              <w:bottom w:w="80" w:type="dxa"/>
              <w:end w:w="100" w:type="dxa"/>
            </w:tcMar>
            <w:vAlign w:val="center"/>
          </w:tcPr>
          <w:p>
            <w:pPr>
              <w:spacing w:after="0"/>
            </w:pPr>
            <w:r>
              <w:t>R1 Gi0/1</w:t>
            </w:r>
          </w:p>
        </w:tc>
      </w:tr>
    </w:tbl>
    <w:p>
      <w:pPr>
        <w:pStyle w:val="Heading1"/>
      </w:pPr>
      <w:r>
        <w:t>3. Core Concepts</w:t>
      </w:r>
    </w:p>
    <w:p>
      <w:pPr>
        <w:pStyle w:val="ListBullet"/>
      </w:pPr>
      <w:r>
        <w:t>OSPFv2 is a link-state routing protocol for IPv4. OSPF routers use Hello packets to discover compatible neighbors.</w:t>
      </w:r>
    </w:p>
    <w:p>
      <w:pPr>
        <w:pStyle w:val="ListBullet"/>
      </w:pPr>
      <w:r>
        <w:t>Adjacent routers synchronize link-state databases by exchanging LSAs. Each router runs the SPF algorithm and installs best paths in the routing table.</w:t>
      </w:r>
    </w:p>
    <w:p>
      <w:pPr>
        <w:pStyle w:val="ListBullet"/>
      </w:pPr>
      <w:r>
        <w:t>The router ID uniquely identifies an OSPF router. This lab explicitly assigns each Loopback0 address as the router ID.</w:t>
      </w:r>
    </w:p>
    <w:p>
      <w:pPr>
        <w:pStyle w:val="ListBullet"/>
      </w:pPr>
      <w:r>
        <w:t>All links use area 0. The OSPF process ID is locally significant, although process 10 is used consistently in this lab.</w:t>
      </w:r>
    </w:p>
    <w:p>
      <w:pPr>
        <w:pStyle w:val="ListBullet"/>
      </w:pPr>
      <w:r>
        <w:t>Loopback0 is advertised but configured passive, preventing OSPF Hello packets on an interface that has no OSPF neighbor.</w:t>
      </w:r>
    </w:p>
    <w:p>
      <w:pPr>
        <w:pStyle w:val="Heading1"/>
      </w:pPr>
      <w:r>
        <w:t>4. Pre-OSPF Connectivity</w:t>
      </w:r>
    </w:p>
    <w:p>
      <w:pPr>
        <w:pStyle w:val="Heading2"/>
      </w:pPr>
      <w:r>
        <w:t>R1</w:t>
      </w:r>
    </w:p>
    <w:p>
      <w:pPr>
        <w:pStyle w:val="CodeBlock"/>
        <w:keepLines/>
      </w:pPr>
      <w:r>
        <w:t>ping 10.12.0.2</w:t>
        <w:br/>
        <w:t>ping 10.13.0.2</w:t>
      </w:r>
    </w:p>
    <w:p>
      <w:pPr>
        <w:pStyle w:val="Heading2"/>
      </w:pPr>
      <w:r>
        <w:t>R2</w:t>
      </w:r>
    </w:p>
    <w:p>
      <w:pPr>
        <w:pStyle w:val="CodeBlock"/>
        <w:keepLines/>
      </w:pPr>
      <w:r>
        <w:t>ping 10.12.0.1</w:t>
        <w:br/>
        <w:t>ping 10.23.0.2</w:t>
      </w:r>
    </w:p>
    <w:p>
      <w:pPr>
        <w:pStyle w:val="Heading2"/>
      </w:pPr>
      <w:r>
        <w:t>R3</w:t>
      </w:r>
    </w:p>
    <w:p>
      <w:pPr>
        <w:pStyle w:val="CodeBlock"/>
        <w:keepLines/>
      </w:pPr>
      <w:r>
        <w:t>ping 10.23.0.1</w:t>
        <w:br/>
        <w:t>ping 10.13.0.1</w:t>
      </w:r>
    </w:p>
    <w:p>
      <w:r>
        <w:t>Resolve interface, addressing, or CML-link failures before configuring OSPF.</w:t>
      </w:r>
    </w:p>
    <w:p>
      <w:pPr>
        <w:pStyle w:val="Heading1"/>
      </w:pPr>
      <w:r>
        <w:t>5. Independent OSPFv2 Implementation</w:t>
      </w:r>
    </w:p>
    <w:p>
      <w:r>
        <w:t>Implement process 10 in area 0 with the router IDs and addressing shown. Advertise every transit subnet and loopback; prevent Hellos on Loopback0. Choose precise network statements or interface-based activation and explain how your choice selects interfaces. Do not use static routes, default routes, redistribution or broad catch-all network statements to pass the reachability checks. Reference commands appear after the assessment.</w:t>
      </w:r>
    </w:p>
    <w:p>
      <w:pPr/>
      <w:r>
        <w:t>Before configuration, predict which routes are connected and which must be learned on each router. After configuration, produce an adjacency map by physical segment, a list of expected remote prefixes, and source-specific reachability evidence. Read the LSDB and RIB independently: FULL adjacency is necessary but does not prove every required prefix was advertised.</w:t>
      </w:r>
    </w:p>
    <w:p>
      <w:pPr>
        <w:pStyle w:val="Heading1"/>
      </w:pPr>
      <w:r>
        <w:t>6. Verify Adjacencies and Interfaces</w:t>
      </w:r>
    </w:p>
    <w:p>
      <w:pPr>
        <w:pStyle w:val="CodeBlock"/>
        <w:keepLines/>
      </w:pPr>
      <w:r>
        <w:t>show ip ospf neighbor</w:t>
        <w:br/>
        <w:t>show ip ospf interface brief</w:t>
        <w:br/>
        <w:t>show ip ospf interface gigabitEthernet 0/0</w:t>
        <w:br/>
        <w:t>show ip ospf interface gigabitEthernet 0/1</w:t>
      </w:r>
    </w:p>
    <w:p>
      <w:pPr>
        <w:pStyle w:val="ListBullet"/>
      </w:pPr>
      <w:r>
        <w:t>Each router should have two neighbors in FULL state.</w:t>
      </w:r>
    </w:p>
    <w:p>
      <w:pPr>
        <w:pStyle w:val="ListBullet"/>
      </w:pPr>
      <w:r>
        <w:t>All OSPF-enabled interfaces should be in area 0.</w:t>
      </w:r>
    </w:p>
    <w:p>
      <w:pPr>
        <w:pStyle w:val="ListBullet"/>
      </w:pPr>
      <w:r>
        <w:t>Loopback0 should appear as passive in protocol output and should not form a neighbor.</w:t>
      </w:r>
    </w:p>
    <w:p>
      <w:pPr>
        <w:pStyle w:val="ListBullet"/>
      </w:pPr>
      <w:r>
        <w:t>Ethernet links use the broadcast network type by default, so DR and BDR roles are visible per segment.</w:t>
      </w:r>
    </w:p>
    <w:p>
      <w:pPr>
        <w:pStyle w:val="Heading1"/>
      </w:pPr>
      <w:r>
        <w:t>7. Verify OSPF Process and LSDB</w:t>
      </w:r>
    </w:p>
    <w:p>
      <w:pPr>
        <w:pStyle w:val="CodeBlock"/>
        <w:keepLines/>
      </w:pPr>
      <w:r>
        <w:t>show ip ospf</w:t>
        <w:br/>
        <w:t>show ip protocols</w:t>
        <w:br/>
        <w:t>show ip ospf database router</w:t>
      </w:r>
    </w:p>
    <w:p>
      <w:pPr>
        <w:pStyle w:val="ListBullet"/>
      </w:pPr>
      <w:r>
        <w:t>Confirm process 10 and the intended router ID.</w:t>
      </w:r>
    </w:p>
    <w:p>
      <w:pPr>
        <w:pStyle w:val="ListBullet"/>
      </w:pPr>
      <w:r>
        <w:t>Confirm the routing protocol advertises the three local networks and Loopback0 is passive.</w:t>
      </w:r>
    </w:p>
    <w:p>
      <w:pPr>
        <w:pStyle w:val="ListBullet"/>
      </w:pPr>
      <w:r>
        <w:t>Confirm router LSAs for router IDs 1.1.1.1, 2.2.2.2, and 3.3.3.3 are present in area 0.</w:t>
      </w:r>
    </w:p>
    <w:p>
      <w:pPr>
        <w:pStyle w:val="Heading1"/>
      </w:pPr>
      <w:r>
        <w:t>8. Verify Full Route Exchange</w:t>
      </w:r>
    </w:p>
    <w:p>
      <w:pPr>
        <w:pStyle w:val="CodeBlock"/>
        <w:keepLines/>
      </w:pPr>
      <w:r>
        <w:t>show ip route ospf</w:t>
        <w:br/>
        <w:t>show ip route 1.1.1.1</w:t>
        <w:br/>
        <w:t>show ip route 2.2.2.2</w:t>
        <w:br/>
        <w:t>show ip route 3.3.3.3</w:t>
      </w:r>
    </w:p>
    <w:p>
      <w:r>
        <w:t>Each router should learn both remote loopback /32 routes and the transit /30 network that is not directly connected. Connected networks remain marked C or L, not 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100" w:type="dxa"/>
              <w:bottom w:w="80" w:type="dxa"/>
              <w:end w:w="100" w:type="dxa"/>
            </w:tcMar>
          </w:tcPr>
          <w:p>
            <w:pPr>
              <w:spacing w:after="0"/>
            </w:pPr>
            <w:r>
              <w:rPr>
                <w:b/>
                <w:color w:val="FFFFFF"/>
              </w:rPr>
              <w:t>Router</w:t>
            </w:r>
          </w:p>
        </w:tc>
        <w:tc>
          <w:tcPr>
            <w:tcW w:type="dxa" w:w="3389"/>
            <w:shd w:fill="1F4E78"/>
            <w:tcMar>
              <w:top w:w="80" w:type="dxa"/>
              <w:start w:w="100" w:type="dxa"/>
              <w:bottom w:w="80" w:type="dxa"/>
              <w:end w:w="100" w:type="dxa"/>
            </w:tcMar>
          </w:tcPr>
          <w:p>
            <w:pPr>
              <w:spacing w:after="0"/>
            </w:pPr>
            <w:r>
              <w:rPr>
                <w:b/>
                <w:color w:val="FFFFFF"/>
              </w:rPr>
              <w:t>Remote loopbacks expected</w:t>
            </w:r>
          </w:p>
        </w:tc>
        <w:tc>
          <w:tcPr>
            <w:tcW w:type="dxa" w:w="3389"/>
            <w:shd w:fill="1F4E78"/>
            <w:tcMar>
              <w:top w:w="80" w:type="dxa"/>
              <w:start w:w="100" w:type="dxa"/>
              <w:bottom w:w="80" w:type="dxa"/>
              <w:end w:w="100" w:type="dxa"/>
            </w:tcMar>
          </w:tcPr>
          <w:p>
            <w:pPr>
              <w:spacing w:after="0"/>
            </w:pPr>
            <w:r>
              <w:rPr>
                <w:b/>
                <w:color w:val="FFFFFF"/>
              </w:rPr>
              <w:t>Remote transit network expected</w:t>
            </w:r>
          </w:p>
        </w:tc>
      </w:tr>
      <w:tr>
        <w:trPr>
          <w:cantSplit/>
        </w:trPr>
        <w:tc>
          <w:tcPr>
            <w:tcW w:type="dxa" w:w="3389"/>
            <w:tcMar>
              <w:top w:w="80" w:type="dxa"/>
              <w:start w:w="100" w:type="dxa"/>
              <w:bottom w:w="80" w:type="dxa"/>
              <w:end w:w="100" w:type="dxa"/>
            </w:tcMar>
            <w:vAlign w:val="center"/>
          </w:tcPr>
          <w:p>
            <w:pPr>
              <w:spacing w:after="0"/>
            </w:pPr>
            <w:r>
              <w:t>R1</w:t>
            </w:r>
          </w:p>
        </w:tc>
        <w:tc>
          <w:tcPr>
            <w:tcW w:type="dxa" w:w="3389"/>
            <w:tcMar>
              <w:top w:w="80" w:type="dxa"/>
              <w:start w:w="100" w:type="dxa"/>
              <w:bottom w:w="80" w:type="dxa"/>
              <w:end w:w="100" w:type="dxa"/>
            </w:tcMar>
            <w:vAlign w:val="center"/>
          </w:tcPr>
          <w:p>
            <w:pPr>
              <w:spacing w:after="0"/>
            </w:pPr>
            <w:r>
              <w:t>2.2.2.2/32, 3.3.3.3/32</w:t>
            </w:r>
          </w:p>
        </w:tc>
        <w:tc>
          <w:tcPr>
            <w:tcW w:type="dxa" w:w="3389"/>
            <w:tcMar>
              <w:top w:w="80" w:type="dxa"/>
              <w:start w:w="100" w:type="dxa"/>
              <w:bottom w:w="80" w:type="dxa"/>
              <w:end w:w="100" w:type="dxa"/>
            </w:tcMar>
            <w:vAlign w:val="center"/>
          </w:tcPr>
          <w:p>
            <w:pPr>
              <w:spacing w:after="0"/>
            </w:pPr>
            <w:r>
              <w:t>10.23.0.0/30</w:t>
            </w:r>
          </w:p>
        </w:tc>
      </w:tr>
      <w:tr>
        <w:trPr>
          <w:cantSplit/>
        </w:trPr>
        <w:tc>
          <w:tcPr>
            <w:tcW w:type="dxa" w:w="3389"/>
            <w:tcMar>
              <w:top w:w="80" w:type="dxa"/>
              <w:start w:w="100" w:type="dxa"/>
              <w:bottom w:w="80" w:type="dxa"/>
              <w:end w:w="100" w:type="dxa"/>
            </w:tcMar>
            <w:vAlign w:val="center"/>
          </w:tcPr>
          <w:p>
            <w:pPr>
              <w:spacing w:after="0"/>
            </w:pPr>
            <w:r>
              <w:t>R2</w:t>
            </w:r>
          </w:p>
        </w:tc>
        <w:tc>
          <w:tcPr>
            <w:tcW w:type="dxa" w:w="3389"/>
            <w:tcMar>
              <w:top w:w="80" w:type="dxa"/>
              <w:start w:w="100" w:type="dxa"/>
              <w:bottom w:w="80" w:type="dxa"/>
              <w:end w:w="100" w:type="dxa"/>
            </w:tcMar>
            <w:vAlign w:val="center"/>
          </w:tcPr>
          <w:p>
            <w:pPr>
              <w:spacing w:after="0"/>
            </w:pPr>
            <w:r>
              <w:t>1.1.1.1/32, 3.3.3.3/32</w:t>
            </w:r>
          </w:p>
        </w:tc>
        <w:tc>
          <w:tcPr>
            <w:tcW w:type="dxa" w:w="3389"/>
            <w:tcMar>
              <w:top w:w="80" w:type="dxa"/>
              <w:start w:w="100" w:type="dxa"/>
              <w:bottom w:w="80" w:type="dxa"/>
              <w:end w:w="100" w:type="dxa"/>
            </w:tcMar>
            <w:vAlign w:val="center"/>
          </w:tcPr>
          <w:p>
            <w:pPr>
              <w:spacing w:after="0"/>
            </w:pPr>
            <w:r>
              <w:t>10.13.0.0/30</w:t>
            </w:r>
          </w:p>
        </w:tc>
      </w:tr>
      <w:tr>
        <w:trPr>
          <w:cantSplit/>
        </w:trPr>
        <w:tc>
          <w:tcPr>
            <w:tcW w:type="dxa" w:w="3389"/>
            <w:tcMar>
              <w:top w:w="80" w:type="dxa"/>
              <w:start w:w="100" w:type="dxa"/>
              <w:bottom w:w="80" w:type="dxa"/>
              <w:end w:w="100" w:type="dxa"/>
            </w:tcMar>
            <w:vAlign w:val="center"/>
          </w:tcPr>
          <w:p>
            <w:pPr>
              <w:spacing w:after="0"/>
            </w:pPr>
            <w:r>
              <w:t>R3</w:t>
            </w:r>
          </w:p>
        </w:tc>
        <w:tc>
          <w:tcPr>
            <w:tcW w:type="dxa" w:w="3389"/>
            <w:tcMar>
              <w:top w:w="80" w:type="dxa"/>
              <w:start w:w="100" w:type="dxa"/>
              <w:bottom w:w="80" w:type="dxa"/>
              <w:end w:w="100" w:type="dxa"/>
            </w:tcMar>
            <w:vAlign w:val="center"/>
          </w:tcPr>
          <w:p>
            <w:pPr>
              <w:spacing w:after="0"/>
            </w:pPr>
            <w:r>
              <w:t>1.1.1.1/32, 2.2.2.2/32</w:t>
            </w:r>
          </w:p>
        </w:tc>
        <w:tc>
          <w:tcPr>
            <w:tcW w:type="dxa" w:w="3389"/>
            <w:tcMar>
              <w:top w:w="80" w:type="dxa"/>
              <w:start w:w="100" w:type="dxa"/>
              <w:bottom w:w="80" w:type="dxa"/>
              <w:end w:w="100" w:type="dxa"/>
            </w:tcMar>
            <w:vAlign w:val="center"/>
          </w:tcPr>
          <w:p>
            <w:pPr>
              <w:spacing w:after="0"/>
            </w:pPr>
            <w:r>
              <w:t>10.12.0.0/30</w:t>
            </w:r>
          </w:p>
        </w:tc>
      </w:tr>
    </w:tbl>
    <w:p>
      <w:pPr>
        <w:pStyle w:val="Heading1"/>
      </w:pPr>
      <w:r>
        <w:t>9. End-to-End Loopback Tests</w:t>
      </w:r>
    </w:p>
    <w:p>
      <w:pPr>
        <w:pStyle w:val="Heading2"/>
      </w:pPr>
      <w:r>
        <w:t>R1</w:t>
      </w:r>
    </w:p>
    <w:p>
      <w:pPr>
        <w:pStyle w:val="CodeBlock"/>
        <w:keepLines/>
      </w:pPr>
      <w:r>
        <w:t>ping 2.2.2.2 source loopback0</w:t>
        <w:br/>
        <w:t>ping 3.3.3.3 source loopback0</w:t>
      </w:r>
    </w:p>
    <w:p>
      <w:pPr>
        <w:pStyle w:val="Heading2"/>
      </w:pPr>
      <w:r>
        <w:t>R2</w:t>
      </w:r>
    </w:p>
    <w:p>
      <w:pPr>
        <w:pStyle w:val="CodeBlock"/>
        <w:keepLines/>
      </w:pPr>
      <w:r>
        <w:t>ping 1.1.1.1 source loopback0</w:t>
        <w:br/>
        <w:t>ping 3.3.3.3 source loopback0</w:t>
      </w:r>
    </w:p>
    <w:p>
      <w:pPr>
        <w:pStyle w:val="Heading2"/>
      </w:pPr>
      <w:r>
        <w:t>R3</w:t>
      </w:r>
    </w:p>
    <w:p>
      <w:pPr>
        <w:pStyle w:val="CodeBlock"/>
        <w:keepLines/>
      </w:pPr>
      <w:r>
        <w:t>ping 1.1.1.1 source loopback0</w:t>
        <w:br/>
        <w:t>ping 2.2.2.2 source loopback0</w:t>
      </w:r>
    </w:p>
    <w:p>
      <w:r>
        <w:t>Source-specific pings verify both the forward path and a learned return route to the originating loopback.</w:t>
      </w:r>
    </w:p>
    <w:p>
      <w:pPr>
        <w:pStyle w:val="Heading1"/>
      </w:pPr>
      <w:r>
        <w:t>10. ENCOR Troubleshooting Workflow</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100" w:type="dxa"/>
              <w:bottom w:w="80" w:type="dxa"/>
              <w:end w:w="100" w:type="dxa"/>
            </w:tcMar>
          </w:tcPr>
          <w:p>
            <w:pPr>
              <w:spacing w:after="0"/>
            </w:pPr>
            <w:r>
              <w:rPr>
                <w:b/>
                <w:color w:val="FFFFFF"/>
              </w:rPr>
              <w:t>Symptom</w:t>
            </w:r>
          </w:p>
        </w:tc>
        <w:tc>
          <w:tcPr>
            <w:tcW w:type="dxa" w:w="3389"/>
            <w:shd w:fill="1F4E78"/>
            <w:tcMar>
              <w:top w:w="80" w:type="dxa"/>
              <w:start w:w="100" w:type="dxa"/>
              <w:bottom w:w="80" w:type="dxa"/>
              <w:end w:w="100" w:type="dxa"/>
            </w:tcMar>
          </w:tcPr>
          <w:p>
            <w:pPr>
              <w:spacing w:after="0"/>
            </w:pPr>
            <w:r>
              <w:rPr>
                <w:b/>
                <w:color w:val="FFFFFF"/>
              </w:rPr>
              <w:t>Likely cause</w:t>
            </w:r>
          </w:p>
        </w:tc>
        <w:tc>
          <w:tcPr>
            <w:tcW w:type="dxa" w:w="3389"/>
            <w:shd w:fill="1F4E78"/>
            <w:tcMar>
              <w:top w:w="80" w:type="dxa"/>
              <w:start w:w="100" w:type="dxa"/>
              <w:bottom w:w="80" w:type="dxa"/>
              <w:end w:w="100" w:type="dxa"/>
            </w:tcMar>
          </w:tcPr>
          <w:p>
            <w:pPr>
              <w:spacing w:after="0"/>
            </w:pPr>
            <w:r>
              <w:rPr>
                <w:b/>
                <w:color w:val="FFFFFF"/>
              </w:rPr>
              <w:t>Verification / correction</w:t>
            </w:r>
          </w:p>
        </w:tc>
      </w:tr>
      <w:tr>
        <w:trPr>
          <w:cantSplit/>
        </w:trPr>
        <w:tc>
          <w:tcPr>
            <w:tcW w:type="dxa" w:w="3389"/>
            <w:tcMar>
              <w:top w:w="80" w:type="dxa"/>
              <w:start w:w="100" w:type="dxa"/>
              <w:bottom w:w="80" w:type="dxa"/>
              <w:end w:w="100" w:type="dxa"/>
            </w:tcMar>
            <w:vAlign w:val="center"/>
          </w:tcPr>
          <w:p>
            <w:pPr>
              <w:spacing w:after="0"/>
            </w:pPr>
            <w:r>
              <w:t>No neighbor discovered</w:t>
            </w:r>
          </w:p>
        </w:tc>
        <w:tc>
          <w:tcPr>
            <w:tcW w:type="dxa" w:w="3389"/>
            <w:tcMar>
              <w:top w:w="80" w:type="dxa"/>
              <w:start w:w="100" w:type="dxa"/>
              <w:bottom w:w="80" w:type="dxa"/>
              <w:end w:w="100" w:type="dxa"/>
            </w:tcMar>
            <w:vAlign w:val="center"/>
          </w:tcPr>
          <w:p>
            <w:pPr>
              <w:spacing w:after="0"/>
            </w:pPr>
            <w:r>
              <w:t>Layer 3 failure or OSPF absent on link</w:t>
            </w:r>
          </w:p>
        </w:tc>
        <w:tc>
          <w:tcPr>
            <w:tcW w:type="dxa" w:w="3389"/>
            <w:tcMar>
              <w:top w:w="80" w:type="dxa"/>
              <w:start w:w="100" w:type="dxa"/>
              <w:bottom w:w="80" w:type="dxa"/>
              <w:end w:w="100" w:type="dxa"/>
            </w:tcMar>
            <w:vAlign w:val="center"/>
          </w:tcPr>
          <w:p>
            <w:pPr>
              <w:spacing w:after="0"/>
            </w:pPr>
            <w:r>
              <w:t>Ping directly connected peer; check interfaces and network statements</w:t>
            </w:r>
          </w:p>
        </w:tc>
      </w:tr>
      <w:tr>
        <w:trPr>
          <w:cantSplit/>
        </w:trPr>
        <w:tc>
          <w:tcPr>
            <w:tcW w:type="dxa" w:w="3389"/>
            <w:tcMar>
              <w:top w:w="80" w:type="dxa"/>
              <w:start w:w="100" w:type="dxa"/>
              <w:bottom w:w="80" w:type="dxa"/>
              <w:end w:w="100" w:type="dxa"/>
            </w:tcMar>
            <w:vAlign w:val="center"/>
          </w:tcPr>
          <w:p>
            <w:pPr>
              <w:spacing w:after="0"/>
            </w:pPr>
            <w:r>
              <w:t>Neighbor stuck INIT</w:t>
            </w:r>
          </w:p>
        </w:tc>
        <w:tc>
          <w:tcPr>
            <w:tcW w:type="dxa" w:w="3389"/>
            <w:tcMar>
              <w:top w:w="80" w:type="dxa"/>
              <w:start w:w="100" w:type="dxa"/>
              <w:bottom w:w="80" w:type="dxa"/>
              <w:end w:w="100" w:type="dxa"/>
            </w:tcMar>
            <w:vAlign w:val="center"/>
          </w:tcPr>
          <w:p>
            <w:pPr>
              <w:spacing w:after="0"/>
            </w:pPr>
            <w:r>
              <w:t>One-way Hello communication</w:t>
            </w:r>
          </w:p>
        </w:tc>
        <w:tc>
          <w:tcPr>
            <w:tcW w:type="dxa" w:w="3389"/>
            <w:tcMar>
              <w:top w:w="80" w:type="dxa"/>
              <w:start w:w="100" w:type="dxa"/>
              <w:bottom w:w="80" w:type="dxa"/>
              <w:end w:w="100" w:type="dxa"/>
            </w:tcMar>
            <w:vAlign w:val="center"/>
          </w:tcPr>
          <w:p>
            <w:pPr>
              <w:spacing w:after="0"/>
            </w:pPr>
            <w:r>
              <w:t>Check link, ACLs, multicast handling, and reciprocal OSPF enablement</w:t>
            </w:r>
          </w:p>
        </w:tc>
      </w:tr>
      <w:tr>
        <w:trPr>
          <w:cantSplit/>
        </w:trPr>
        <w:tc>
          <w:tcPr>
            <w:tcW w:type="dxa" w:w="3389"/>
            <w:tcMar>
              <w:top w:w="80" w:type="dxa"/>
              <w:start w:w="100" w:type="dxa"/>
              <w:bottom w:w="80" w:type="dxa"/>
              <w:end w:w="100" w:type="dxa"/>
            </w:tcMar>
            <w:vAlign w:val="center"/>
          </w:tcPr>
          <w:p>
            <w:pPr>
              <w:spacing w:after="0"/>
            </w:pPr>
            <w:r>
              <w:t>Neighbor stuck EXSTART/EXCHANGE</w:t>
            </w:r>
          </w:p>
        </w:tc>
        <w:tc>
          <w:tcPr>
            <w:tcW w:type="dxa" w:w="3389"/>
            <w:tcMar>
              <w:top w:w="80" w:type="dxa"/>
              <w:start w:w="100" w:type="dxa"/>
              <w:bottom w:w="80" w:type="dxa"/>
              <w:end w:w="100" w:type="dxa"/>
            </w:tcMar>
            <w:vAlign w:val="center"/>
          </w:tcPr>
          <w:p>
            <w:pPr>
              <w:spacing w:after="0"/>
            </w:pPr>
            <w:r>
              <w:t>MTU mismatch or database-exchange issue</w:t>
            </w:r>
          </w:p>
        </w:tc>
        <w:tc>
          <w:tcPr>
            <w:tcW w:type="dxa" w:w="3389"/>
            <w:tcMar>
              <w:top w:w="80" w:type="dxa"/>
              <w:start w:w="100" w:type="dxa"/>
              <w:bottom w:w="80" w:type="dxa"/>
              <w:end w:w="100" w:type="dxa"/>
            </w:tcMar>
            <w:vAlign w:val="center"/>
          </w:tcPr>
          <w:p>
            <w:pPr>
              <w:spacing w:after="0"/>
            </w:pPr>
            <w:r>
              <w:t>Compare interface MTU and inspect OSPF interface detail</w:t>
            </w:r>
          </w:p>
        </w:tc>
      </w:tr>
      <w:tr>
        <w:trPr>
          <w:cantSplit/>
        </w:trPr>
        <w:tc>
          <w:tcPr>
            <w:tcW w:type="dxa" w:w="3389"/>
            <w:tcMar>
              <w:top w:w="80" w:type="dxa"/>
              <w:start w:w="100" w:type="dxa"/>
              <w:bottom w:w="80" w:type="dxa"/>
              <w:end w:w="100" w:type="dxa"/>
            </w:tcMar>
            <w:vAlign w:val="center"/>
          </w:tcPr>
          <w:p>
            <w:pPr>
              <w:spacing w:after="0"/>
            </w:pPr>
            <w:r>
              <w:t>Neighbor never reaches FULL</w:t>
            </w:r>
          </w:p>
        </w:tc>
        <w:tc>
          <w:tcPr>
            <w:tcW w:type="dxa" w:w="3389"/>
            <w:tcMar>
              <w:top w:w="80" w:type="dxa"/>
              <w:start w:w="100" w:type="dxa"/>
              <w:bottom w:w="80" w:type="dxa"/>
              <w:end w:w="100" w:type="dxa"/>
            </w:tcMar>
            <w:vAlign w:val="center"/>
          </w:tcPr>
          <w:p>
            <w:pPr>
              <w:spacing w:after="0"/>
            </w:pPr>
            <w:r>
              <w:t>Area, timer, authentication, network type, or subnet mismatch</w:t>
            </w:r>
          </w:p>
        </w:tc>
        <w:tc>
          <w:tcPr>
            <w:tcW w:type="dxa" w:w="3389"/>
            <w:tcMar>
              <w:top w:w="80" w:type="dxa"/>
              <w:start w:w="100" w:type="dxa"/>
              <w:bottom w:w="80" w:type="dxa"/>
              <w:end w:w="100" w:type="dxa"/>
            </w:tcMar>
            <w:vAlign w:val="center"/>
          </w:tcPr>
          <w:p>
            <w:pPr>
              <w:spacing w:after="0"/>
            </w:pPr>
            <w:r>
              <w:t>Compare show ip ospf interface output on both ends</w:t>
            </w:r>
          </w:p>
        </w:tc>
      </w:tr>
      <w:tr>
        <w:trPr>
          <w:cantSplit/>
        </w:trPr>
        <w:tc>
          <w:tcPr>
            <w:tcW w:type="dxa" w:w="3389"/>
            <w:tcMar>
              <w:top w:w="80" w:type="dxa"/>
              <w:start w:w="100" w:type="dxa"/>
              <w:bottom w:w="80" w:type="dxa"/>
              <w:end w:w="100" w:type="dxa"/>
            </w:tcMar>
            <w:vAlign w:val="center"/>
          </w:tcPr>
          <w:p>
            <w:pPr>
              <w:spacing w:after="0"/>
            </w:pPr>
            <w:r>
              <w:t>Neighbor FULL but route missing</w:t>
            </w:r>
          </w:p>
        </w:tc>
        <w:tc>
          <w:tcPr>
            <w:tcW w:type="dxa" w:w="3389"/>
            <w:tcMar>
              <w:top w:w="80" w:type="dxa"/>
              <w:start w:w="100" w:type="dxa"/>
              <w:bottom w:w="80" w:type="dxa"/>
              <w:end w:w="100" w:type="dxa"/>
            </w:tcMar>
            <w:vAlign w:val="center"/>
          </w:tcPr>
          <w:p>
            <w:pPr>
              <w:spacing w:after="0"/>
            </w:pPr>
            <w:r>
              <w:t>Prefix not advertised, passive misunderstood, or more-specific route issue</w:t>
            </w:r>
          </w:p>
        </w:tc>
        <w:tc>
          <w:tcPr>
            <w:tcW w:type="dxa" w:w="3389"/>
            <w:tcMar>
              <w:top w:w="80" w:type="dxa"/>
              <w:start w:w="100" w:type="dxa"/>
              <w:bottom w:w="80" w:type="dxa"/>
              <w:end w:w="100" w:type="dxa"/>
            </w:tcMar>
            <w:vAlign w:val="center"/>
          </w:tcPr>
          <w:p>
            <w:pPr>
              <w:spacing w:after="0"/>
            </w:pPr>
            <w:r>
              <w:t>Check show ip protocols, LSDB, route table, and network statement</w:t>
            </w:r>
          </w:p>
        </w:tc>
      </w:tr>
      <w:tr>
        <w:trPr>
          <w:cantSplit/>
        </w:trPr>
        <w:tc>
          <w:tcPr>
            <w:tcW w:type="dxa" w:w="3389"/>
            <w:tcMar>
              <w:top w:w="80" w:type="dxa"/>
              <w:start w:w="100" w:type="dxa"/>
              <w:bottom w:w="80" w:type="dxa"/>
              <w:end w:w="100" w:type="dxa"/>
            </w:tcMar>
            <w:vAlign w:val="center"/>
          </w:tcPr>
          <w:p>
            <w:pPr>
              <w:spacing w:after="0"/>
            </w:pPr>
            <w:r>
              <w:t>Wrong router ID</w:t>
            </w:r>
          </w:p>
        </w:tc>
        <w:tc>
          <w:tcPr>
            <w:tcW w:type="dxa" w:w="3389"/>
            <w:tcMar>
              <w:top w:w="80" w:type="dxa"/>
              <w:start w:w="100" w:type="dxa"/>
              <w:bottom w:w="80" w:type="dxa"/>
              <w:end w:w="100" w:type="dxa"/>
            </w:tcMar>
            <w:vAlign w:val="center"/>
          </w:tcPr>
          <w:p>
            <w:pPr>
              <w:spacing w:after="0"/>
            </w:pPr>
            <w:r>
              <w:t>Existing process selected another ID before explicit configuration</w:t>
            </w:r>
          </w:p>
        </w:tc>
        <w:tc>
          <w:tcPr>
            <w:tcW w:type="dxa" w:w="3389"/>
            <w:tcMar>
              <w:top w:w="80" w:type="dxa"/>
              <w:start w:w="100" w:type="dxa"/>
              <w:bottom w:w="80" w:type="dxa"/>
              <w:end w:w="100" w:type="dxa"/>
            </w:tcMar>
            <w:vAlign w:val="center"/>
          </w:tcPr>
          <w:p>
            <w:pPr>
              <w:spacing w:after="0"/>
            </w:pPr>
            <w:r>
              <w:t>Configure router-id and reset the OSPF process during a controlled lab window</w:t>
            </w:r>
          </w:p>
        </w:tc>
      </w:tr>
      <w:tr>
        <w:trPr>
          <w:cantSplit/>
        </w:trPr>
        <w:tc>
          <w:tcPr>
            <w:tcW w:type="dxa" w:w="3389"/>
            <w:tcMar>
              <w:top w:w="80" w:type="dxa"/>
              <w:start w:w="100" w:type="dxa"/>
              <w:bottom w:w="80" w:type="dxa"/>
              <w:end w:w="100" w:type="dxa"/>
            </w:tcMar>
            <w:vAlign w:val="center"/>
          </w:tcPr>
          <w:p>
            <w:pPr>
              <w:spacing w:after="0"/>
            </w:pPr>
            <w:r>
              <w:t>Loopback ping fails</w:t>
            </w:r>
          </w:p>
        </w:tc>
        <w:tc>
          <w:tcPr>
            <w:tcW w:type="dxa" w:w="3389"/>
            <w:tcMar>
              <w:top w:w="80" w:type="dxa"/>
              <w:start w:w="100" w:type="dxa"/>
              <w:bottom w:w="80" w:type="dxa"/>
              <w:end w:w="100" w:type="dxa"/>
            </w:tcMar>
            <w:vAlign w:val="center"/>
          </w:tcPr>
          <w:p>
            <w:pPr>
              <w:spacing w:after="0"/>
            </w:pPr>
            <w:r>
              <w:t>Remote loopback or return path absent</w:t>
            </w:r>
          </w:p>
        </w:tc>
        <w:tc>
          <w:tcPr>
            <w:tcW w:type="dxa" w:w="3389"/>
            <w:tcMar>
              <w:top w:w="80" w:type="dxa"/>
              <w:start w:w="100" w:type="dxa"/>
              <w:bottom w:w="80" w:type="dxa"/>
              <w:end w:w="100" w:type="dxa"/>
            </w:tcMar>
            <w:vAlign w:val="center"/>
          </w:tcPr>
          <w:p>
            <w:pPr>
              <w:spacing w:after="0"/>
            </w:pPr>
            <w:r>
              <w:t>Check remote /32 route and source-specific return route</w:t>
            </w:r>
          </w:p>
        </w:tc>
      </w:tr>
    </w:tbl>
    <w:p>
      <w:pPr>
        <w:pStyle w:val="Heading1"/>
      </w:pPr>
      <w:r>
        <w:t>11. Required OSPF Analysis and Recovery</w:t>
      </w:r>
    </w:p>
    <w:p>
      <w:pPr>
        <w:pStyle w:val="Heading2"/>
      </w:pPr>
      <w:r>
        <w:t>11.1 Explain broadcast adjacency and LSAs</w:t>
      </w:r>
    </w:p>
    <w:p>
      <w:pPr/>
      <w:r>
        <w:t>For each of the three Ethernet segments, record its DR, BDR, priority, router IDs and FULL neighbor state. There is a separate election per segment, not one DR for the triangle. Explain why you cannot infer the current DR solely from the largest router ID: elections are non-preemptive and depend on eligibility and startup history.</w:t>
      </w:r>
    </w:p>
    <w:p>
      <w:pPr/>
      <w:r>
        <w:t>Collect show ip ospf database router and show ip ospf database network on each router. After convergence, expect three area-0 Type 1 router LSAs and one Type 2 network LSA per active broadcast segment with an adjacency. Match each Type 2 Link State ID to the DR interface address and Advertising Router to the DR router ID. Compare identities and topology content, not identical LSA ages.</w:t>
      </w:r>
    </w:p>
    <w:p>
      <w:pPr>
        <w:pStyle w:val="Heading2"/>
      </w:pPr>
      <w:r>
        <w:t>11.2 Convert one segment to point-to-point</w:t>
      </w:r>
    </w:p>
    <w:p>
      <w:pPr/>
      <w:r>
        <w:t>Record the baseline, then configure ip ospf network point-to-point on BOTH R1 Gi0/1 and R3 Gi0/1. Predict adjacency disruption, final neighbor state, DR/BDR relevance and Type 2 LSA changes. Verify FULL/- on that segment and the eventual removal of its active Type 2 LSA; flushed MaxAge entries may be visible briefly. The other two segments remain broadcast. Restore the default broadcast type on both interfaces and verify the baseline.</w:t>
      </w:r>
    </w:p>
    <w:p>
      <w:pPr>
        <w:pStyle w:val="Heading2"/>
      </w:pPr>
      <w:r>
        <w:t>11.3 Calculate and prove path selection</w:t>
      </w:r>
    </w:p>
    <w:p>
      <w:pPr/>
      <w:r>
        <w:t>For a deterministic experiment, set ip ospf cost 10 on Gi0/0 and Gi0/1 of all three routers, and ip ospf cost 1 on every Loopback0. Verify the displayed costs. From R1, calculate direct and alternate costs to 3.3.3.3/32 before changing R1 Gi0/1 to cost 20, then 30. Record the expected next hop(s) and total metric for all three stages.</w:t>
      </w:r>
    </w:p>
    <w:p>
      <w:pPr/>
      <w:r>
        <w:t>Use show ip route 3.3.3.3 and show ip cef 3.3.3.3 to prove each prediction. At equal cost, verify that the maximum-paths setting permits both paths. A single traceroute need not display both equal-cost paths because forwarding selects paths per flow. Explain why changing R1’s outgoing cost does not automatically make R3’s return path symmetric.</w:t>
      </w:r>
    </w:p>
    <w:p>
      <w:pPr>
        <w:pStyle w:val="Heading2"/>
      </w:pPr>
      <w:r>
        <w:t>11.4 Diagnose a failure masked by the triangle</w:t>
      </w:r>
    </w:p>
    <w:p>
      <w:pPr/>
      <w:r>
        <w:t>Restore explicit transit cost 10. In a lab checkpoint, have the injector configure passive-interface GigabitEthernet0/0 under R2 process 10. Wait for the peer to detect the loss. Predict neighbor counts on R1, R2 and R3, and test all remote loopbacks. Explain how loopback pings can still pass while a required adjacency is missing. Repair the passive setting rather than adding a static route.</w:t>
      </w:r>
    </w:p>
    <w:p>
      <w:pPr/>
      <w:r>
        <w:t>In a separate trial, remove only R3’s Loopback0 OSPF activation while keeping the interface and router ID. If using the reference network configuration, remove network 3.3.3.3 0.0.0.0 area 0. Predict adjacency state, the router LSA identity and the 3.3.3.3/32 route. Prove why a Router ID of 3.3.3.3 does not itself advertise that prefix; then restore its activation.</w:t>
      </w:r>
    </w:p>
    <w:p>
      <w:pPr>
        <w:pStyle w:val="Heading2"/>
      </w:pPr>
      <w:r>
        <w:t>11.5 Change and recovery evidence</w:t>
      </w:r>
    </w:p>
    <w:p>
      <w:pPr/>
      <w:r>
        <w:t>With all adjacencies healthy, shut R1 Gi0/1 and observe neighbor loss, R1’s route to 3.3.3.3 via R2, and source-specific traffic recovery. Record the detection mechanism and measured interruption. Do not assume the dead timer governs local physical link-down detection or claim a fixed convergence time. Restore the interface and all temporary costs with no ip ospf cost; verify the original broadcast, area-0 topology before saving.</w:t>
      </w:r>
    </w:p>
    <w:p>
      <w:pPr>
        <w:pStyle w:val="Heading1"/>
      </w:pPr>
      <w:r>
        <w:t>12. Success Criteria</w:t>
      </w:r>
    </w:p>
    <w:p>
      <w:pPr>
        <w:pStyle w:val="ListBullet"/>
      </w:pPr>
      <w:r>
        <w:t>R1, R2, and R3 each have two OSPF neighbors in FULL state.</w:t>
      </w:r>
    </w:p>
    <w:p>
      <w:pPr>
        <w:pStyle w:val="ListBullet"/>
      </w:pPr>
      <w:r>
        <w:t>All OSPF interfaces are in area 0.</w:t>
      </w:r>
    </w:p>
    <w:p>
      <w:pPr>
        <w:pStyle w:val="ListBullet"/>
      </w:pPr>
      <w:r>
        <w:t>Router IDs are 1.1.1.1, 2.2.2.2, and 3.3.3.3.</w:t>
      </w:r>
    </w:p>
    <w:p>
      <w:pPr>
        <w:pStyle w:val="ListBullet"/>
      </w:pPr>
      <w:r>
        <w:t>Each router learns both remote loopbacks and the non-directly-connected transit network as OSPF routes.</w:t>
      </w:r>
    </w:p>
    <w:p>
      <w:pPr>
        <w:pStyle w:val="ListBullet"/>
      </w:pPr>
      <w:r>
        <w:t>Loopback0 is advertised while passive.</w:t>
      </w:r>
    </w:p>
    <w:p>
      <w:pPr>
        <w:pStyle w:val="ListBullet"/>
      </w:pPr>
      <w:r>
        <w:t>All source-specific loopback pings succeed.</w:t>
      </w:r>
    </w:p>
    <w:p>
      <w:pPr>
        <w:pStyle w:val="ListBullet"/>
      </w:pPr>
      <w:r>
        <w:t>The final configuration is saved on all routers.</w:t>
      </w:r>
    </w:p>
    <w:p>
      <w:pPr>
        <w:pStyle w:val="Heading1"/>
      </w:pPr>
      <w:r>
        <w:t>13. Command Quick Reference</w:t>
      </w:r>
    </w:p>
    <w:p>
      <w:pPr>
        <w:pStyle w:val="CodeBlock"/>
        <w:keepLines/>
      </w:pPr>
      <w:r>
        <w:t>show ip ospf neighbor</w:t>
        <w:br/>
        <w:t>show ip ospf interface brief</w:t>
        <w:br/>
        <w:t>show ip ospf interface</w:t>
        <w:br/>
        <w:t>show ip protocols</w:t>
        <w:br/>
        <w:t>show ip route ospf</w:t>
        <w:br/>
        <w:t>show ip ospf database router</w:t>
        <w:br/>
        <w:t>show ip cef &lt;prefix&gt;</w:t>
        <w:br/>
        <w:t>ping &lt;remote-loopback&gt; source loopback0</w:t>
        <w:br/>
        <w:t>clear ip ospf process</w:t>
      </w:r>
    </w:p>
    <w:p>
      <w:pPr>
        <w:pStyle w:val="Heading1"/>
      </w:pPr>
      <w:r>
        <w:t>14. Independent Assessment</w:t>
      </w:r>
    </w:p>
    <w:p>
      <w:pPr/>
      <w:r>
        <w:t>Repeat the required tasks from the original YAML without the solution section. Self-assess each category: 0 = missing or incorrect, 1 = completed with hints or incomplete evidence, 2 = independent completion with correct explanation and evidence.</w:t>
      </w:r>
    </w:p>
    <w:p>
      <w:pPr>
        <w:pStyle w:val="ListBullet"/>
      </w:pPr>
      <w:r>
        <w:t>Implementation: correct interface activation, router IDs, passive loopbacks and all required prefixes.</w:t>
      </w:r>
    </w:p>
    <w:p>
      <w:pPr>
        <w:pStyle w:val="ListBullet"/>
      </w:pPr>
      <w:r>
        <w:t>Control-plane interpretation: per-segment elections, Type 1/2 LSA mapping and the point-to-point comparison.</w:t>
      </w:r>
    </w:p>
    <w:p>
      <w:pPr>
        <w:pStyle w:val="ListBullet"/>
      </w:pPr>
      <w:r>
        <w:t>Path reasoning: correct direct, equal-cost and alternate-path metrics verified in RIB and CEF.</w:t>
      </w:r>
    </w:p>
    <w:p>
      <w:pPr>
        <w:pStyle w:val="ListBullet"/>
      </w:pPr>
      <w:r>
        <w:t>Recovery: adjacency and prefix incidents isolated independently, measured link-failure recovery, and full restoration.</w:t>
      </w:r>
    </w:p>
    <w:p>
      <w:pPr/>
      <w:r>
        <w:t>Target 8/8 and all final-state checks satisfied. This rubric measures readiness for this lab’s objective; it is not an official Cisco score or a guarantee of exam performance. Record a corrective study action for each category below 2.</w:t>
      </w:r>
    </w:p>
    <w:p>
      <w:pPr>
        <w:pStyle w:val="Heading1"/>
      </w:pPr>
      <w:r>
        <w:t>15. Reference Solution and Reasoning</w:t>
      </w:r>
    </w:p>
    <w:p>
      <w:pPr>
        <w:pStyle w:val="Heading2"/>
      </w:pPr>
      <w:r>
        <w:t>R1</w:t>
      </w:r>
    </w:p>
    <w:p>
      <w:pPr>
        <w:pStyle w:val="CodeBlock"/>
        <w:keepLines/>
      </w:pPr>
      <w:r>
        <w:t>enable</w:t>
        <w:br/>
        <w:t>configure terminal</w:t>
        <w:br/>
        <w:t>router ospf 10</w:t>
        <w:br/>
        <w:t xml:space="preserve"> router-id 1.1.1.1</w:t>
        <w:br/>
        <w:t xml:space="preserve"> passive-interface loopback0</w:t>
        <w:br/>
        <w:t xml:space="preserve"> network 1.1.1.1 0.0.0.0 area 0</w:t>
        <w:br/>
        <w:t xml:space="preserve"> network 10.12.0.0 0.0.0.3 area 0</w:t>
        <w:br/>
        <w:t xml:space="preserve"> network 10.13.0.0 0.0.0.3 area 0</w:t>
        <w:br/>
        <w:t>end</w:t>
        <w:br/>
        <w:t>copy running-config startup-config</w:t>
      </w:r>
    </w:p>
    <w:p>
      <w:pPr>
        <w:pStyle w:val="Heading2"/>
      </w:pPr>
      <w:r>
        <w:t>R2</w:t>
      </w:r>
    </w:p>
    <w:p>
      <w:pPr>
        <w:pStyle w:val="CodeBlock"/>
        <w:keepLines/>
      </w:pPr>
      <w:r>
        <w:t>enable</w:t>
        <w:br/>
        <w:t>configure terminal</w:t>
        <w:br/>
        <w:t>router ospf 10</w:t>
        <w:br/>
        <w:t xml:space="preserve"> router-id 2.2.2.2</w:t>
        <w:br/>
        <w:t xml:space="preserve"> passive-interface loopback0</w:t>
        <w:br/>
        <w:t xml:space="preserve"> network 2.2.2.2 0.0.0.0 area 0</w:t>
        <w:br/>
        <w:t xml:space="preserve"> network 10.12.0.0 0.0.0.3 area 0</w:t>
        <w:br/>
        <w:t xml:space="preserve"> network 10.23.0.0 0.0.0.3 area 0</w:t>
        <w:br/>
        <w:t>end</w:t>
        <w:br/>
        <w:t>copy running-config startup-config</w:t>
      </w:r>
    </w:p>
    <w:p>
      <w:pPr>
        <w:pStyle w:val="Heading2"/>
      </w:pPr>
      <w:r>
        <w:t>R3</w:t>
      </w:r>
    </w:p>
    <w:p>
      <w:pPr>
        <w:pStyle w:val="CodeBlock"/>
        <w:keepLines/>
      </w:pPr>
      <w:r>
        <w:t>enable</w:t>
        <w:br/>
        <w:t>configure terminal</w:t>
        <w:br/>
        <w:t>router ospf 10</w:t>
        <w:br/>
        <w:t xml:space="preserve"> router-id 3.3.3.3</w:t>
        <w:br/>
        <w:t xml:space="preserve"> passive-interface loopback0</w:t>
        <w:br/>
        <w:t xml:space="preserve"> network 3.3.3.3 0.0.0.0 area 0</w:t>
        <w:br/>
        <w:t xml:space="preserve"> network 10.13.0.0 0.0.0.3 area 0</w:t>
        <w:br/>
        <w:t xml:space="preserve"> network 10.23.0.0 0.0.0.3 area 0</w:t>
        <w:br/>
        <w:t>end</w:t>
        <w:br/>
        <w:t>copy running-config startup-config</w:t>
      </w:r>
    </w:p>
    <w:p>
      <w:pPr/>
      <w:r>
        <w:t>Metric key with the specified costs: initial direct R1→R3→Loopback0 is 10+1=11; alternate R1→R2→R3→Loopback0 is 10+10+1=21. At R1 Gi0/1 cost 20, both paths cost 21 (next hops 10.13.0.2 and 10.12.0.2). At cost 30, the alternate remains 21 and the direct becomes 31; R1 should select R2. Verify costs before applying these expectations.</w:t>
      </w:r>
    </w:p>
    <w:p>
      <w:pPr/>
      <w:r>
        <w:t>Passive fault key: after convergence R1 and R2 each have only R3 as a FULL neighbor; R3 retains two neighbors. Alternate routing can preserve all loopback tests. On R2, no passive-interface GigabitEthernet0/0 repairs the adjacency. Passive Loopback0 still advertises its network, whereas removing its OSPF activation withdraws that prefix. Neither action necessarily changes the explicitly configured router ID.</w:t>
      </w:r>
    </w:p>
    <w:p>
      <w:pPr>
        <w:pStyle w:val="CodeBlock"/>
        <w:keepLines/>
        <w:pageBreakBefore/>
      </w:pPr>
      <w:r>
        <w:t>! Restore the network type on R1 and R3 Gi0/1</w:t>
        <w:br/>
        <w:t>interface GigabitEthernet0/1</w:t>
        <w:br/>
        <w:t xml:space="preserve"> no ip ospf network point-to-point</w:t>
        <w:br/>
        <w:t xml:space="preserve"> no shutdown</w:t>
        <w:br/>
        <w:t>! All routers: remove experiment costs</w:t>
        <w:br/>
        <w:t>interface GigabitEthernet0/0</w:t>
        <w:br/>
        <w:t xml:space="preserve"> no ip ospf cost</w:t>
        <w:br/>
        <w:t>interface GigabitEthernet0/1</w:t>
        <w:br/>
        <w:t xml:space="preserve"> no ip ospf cost</w:t>
        <w:br/>
        <w:t>interface Loopback0</w:t>
        <w:br/>
        <w:t xml:space="preserve"> no ip ospf cost</w:t>
        <w:br/>
        <w:t>! R3: restore prefix activation if using network statements</w:t>
        <w:br/>
        <w:t>router ospf 10</w:t>
        <w:br/>
        <w:t xml:space="preserve"> network 3.3.3.3 0.0.0.0 area 0</w:t>
      </w:r>
    </w:p>
    <w:p>
      <w:pPr/>
      <w:r>
        <w:t>Exam blueprint: Cisco ENCOR 350-401 v1.2. Topic wording and scope: https://learningcontent.cisco.com/documents/marketing/exam-topics/350-401-ENCORE-v1.2.pdf</w:t>
      </w:r>
    </w:p>
    <w:p>
      <w:pPr>
        <w:pStyle w:val="Heading1"/>
      </w:pPr>
      <w:r>
        <w:t>References</w:t>
      </w:r>
    </w:p>
    <w:p>
      <w:r>
        <w:t>Cisco: Configuring OSPFv2</w:t>
      </w:r>
    </w:p>
    <w:p>
      <w:r>
        <w:t>Cisco: Enabling OSPFv2 on an Interface Basis</w:t>
      </w:r>
    </w:p>
    <w:p>
      <w:r>
        <w:t>Lab source: CCNP_ENCOR_-_Single-Area_OSPFv2_Practice.yaml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CCNP ENCOR · Single-Area OSPFv2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NETWORK TRAINING  |  CCNP ENCOR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line="240" w:lineRule="auto"/>
      <w:ind w:left="259" w:right="259"/>
      <w:shd w:fill="F2F2F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CCNP ENCOR Single-Area OSPFv2 KB</dc:title>
  <dc:subject>Three-router area 0 OSPFv2 configuration and verification</dc:subject>
  <dc:creator>Erik Pope</dc:creator>
  <keywords/>
  <dc:description>generated by python-docx</dc:description>
  <lastModifiedBy>Erik Pope</lastModifiedBy>
  <revision>1</revision>
  <dcterms:created xsi:type="dcterms:W3CDTF">2026-08-29T20:37:56.6558922Z</dcterms:created>
  <dcterms:modified xsi:type="dcterms:W3CDTF">2026-08-29T20:37:56.6558922Z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f6e1f8-98e5-4614-9d5d-4296bb1482db_Enabled">
    <vt:lpwstr>true</vt:lpwstr>
  </property>
  <property fmtid="{D5CDD505-2E9C-101B-9397-08002B2CF9AE}" pid="3" name="MSIP_Label_3cf6e1f8-98e5-4614-9d5d-4296bb1482db_SetDate">
    <vt:lpwstr>2026-08-29T20:37:58Z</vt:lpwstr>
  </property>
  <property fmtid="{D5CDD505-2E9C-101B-9397-08002B2CF9AE}" pid="4" name="MSIP_Label_3cf6e1f8-98e5-4614-9d5d-4296bb1482db_Method">
    <vt:lpwstr>Standard</vt:lpwstr>
  </property>
  <property fmtid="{D5CDD505-2E9C-101B-9397-08002B2CF9AE}" pid="5" name="MSIP_Label_3cf6e1f8-98e5-4614-9d5d-4296bb1482db_Name">
    <vt:lpwstr>General</vt:lpwstr>
  </property>
  <property fmtid="{D5CDD505-2E9C-101B-9397-08002B2CF9AE}" pid="6" name="MSIP_Label_3cf6e1f8-98e5-4614-9d5d-4296bb1482db_SiteId">
    <vt:lpwstr>00a9f7b2-9733-42fa-9b43-3ffc9f5d132d</vt:lpwstr>
  </property>
  <property fmtid="{D5CDD505-2E9C-101B-9397-08002B2CF9AE}" pid="7" name="MSIP_Label_3cf6e1f8-98e5-4614-9d5d-4296bb1482db_ActionId">
    <vt:lpwstr>74ae2737-2386-4de7-bec4-ba51afde8818</vt:lpwstr>
  </property>
  <property fmtid="{D5CDD505-2E9C-101B-9397-08002B2CF9AE}" pid="8" name="MSIP_Label_3cf6e1f8-98e5-4614-9d5d-4296bb1482db_ContentBits">
    <vt:lpwstr>0</vt:lpwstr>
  </property>
</Properties>
</file>