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14.05.2018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"И441"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Плотников Александр Викторович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"И441"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Нагорная, д 31 к 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Нагорная, д 31 к 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7727789616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Плотников Александр Викторович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