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64" w:rsidRPr="007B5FF3" w:rsidRDefault="00A90E6C" w:rsidP="007B5FF3">
      <w:pPr>
        <w:pStyle w:val="tytulkarty"/>
      </w:pPr>
      <w:r w:rsidRPr="007B5FF3">
        <w:t>Podbój Europy przez Hitlera i Stalina</w:t>
      </w:r>
    </w:p>
    <w:p w:rsidR="007B5FF3" w:rsidRPr="007B5FF3" w:rsidRDefault="007B5FF3" w:rsidP="007B5FF3">
      <w:pPr>
        <w:pStyle w:val="Pa31"/>
        <w:rPr>
          <w:rFonts w:asciiTheme="majorHAnsi" w:hAnsiTheme="majorHAnsi" w:cs="Humanst521EU"/>
          <w:sz w:val="22"/>
          <w:szCs w:val="22"/>
        </w:rPr>
      </w:pPr>
      <w:r w:rsidRPr="007B5FF3">
        <w:rPr>
          <w:rFonts w:asciiTheme="majorHAnsi" w:hAnsiTheme="majorHAnsi" w:cs="Humanst521EU"/>
          <w:b/>
          <w:bCs/>
          <w:i/>
          <w:iCs/>
          <w:color w:val="000000"/>
          <w:sz w:val="22"/>
          <w:szCs w:val="22"/>
        </w:rPr>
        <w:t xml:space="preserve">Scenariusz z wykorzystaniem drzewka decyzyjnego </w:t>
      </w:r>
      <w:r w:rsidRPr="007B5FF3">
        <w:rPr>
          <w:rFonts w:asciiTheme="majorHAnsi" w:hAnsiTheme="majorHAnsi" w:cs="Humanst521EU"/>
          <w:b/>
          <w:bCs/>
          <w:sz w:val="22"/>
          <w:szCs w:val="22"/>
        </w:rPr>
        <w:t xml:space="preserve">Cele lekcji: </w:t>
      </w:r>
    </w:p>
    <w:p w:rsidR="007B5FF3" w:rsidRPr="007B5FF3" w:rsidRDefault="007B5FF3" w:rsidP="007B5FF3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b/>
        </w:rPr>
      </w:pPr>
      <w:r w:rsidRPr="007B5FF3">
        <w:rPr>
          <w:rFonts w:cs="CentSchbookEU"/>
          <w:b/>
        </w:rPr>
        <w:t xml:space="preserve">Uczeń: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poprawnie posługuje się terminami: </w:t>
      </w:r>
      <w:proofErr w:type="spellStart"/>
      <w:r w:rsidRPr="007B5FF3">
        <w:rPr>
          <w:rFonts w:cs="CentSchbookEU"/>
        </w:rPr>
        <w:t>Lend-Lease</w:t>
      </w:r>
      <w:proofErr w:type="spellEnd"/>
      <w:r w:rsidRPr="007B5FF3">
        <w:rPr>
          <w:rFonts w:cs="CentSchbookEU"/>
        </w:rPr>
        <w:t xml:space="preserve"> </w:t>
      </w:r>
      <w:proofErr w:type="spellStart"/>
      <w:r w:rsidRPr="007B5FF3">
        <w:rPr>
          <w:rFonts w:cs="CentSchbookEU"/>
        </w:rPr>
        <w:t>Act</w:t>
      </w:r>
      <w:proofErr w:type="spellEnd"/>
      <w:r w:rsidRPr="007B5FF3">
        <w:rPr>
          <w:rFonts w:cs="CentSchbookEU"/>
        </w:rPr>
        <w:t>, Karta atlantycka, Wielka Koalicja, Wielka Trójka, operacja „</w:t>
      </w:r>
      <w:proofErr w:type="spellStart"/>
      <w:r w:rsidRPr="007B5FF3">
        <w:rPr>
          <w:rFonts w:cs="CentSchbookEU"/>
        </w:rPr>
        <w:t>Overlord</w:t>
      </w:r>
      <w:proofErr w:type="spellEnd"/>
      <w:r w:rsidRPr="007B5FF3">
        <w:rPr>
          <w:rFonts w:cs="CentSchbookEU"/>
        </w:rPr>
        <w:t xml:space="preserve">”, operacja „Market Garden”,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>określa czas wydarzeń: sierpień 1941 r. – podpisanie Karty atlantyckiej, sierpień 1943 r. – klęska wojsk nie</w:t>
      </w:r>
      <w:r w:rsidRPr="007B5FF3">
        <w:rPr>
          <w:rFonts w:cs="CentSchbookEU"/>
        </w:rPr>
        <w:softHyphen/>
        <w:t xml:space="preserve">mieckich pod Kurskiem, przełom listopada i grudnia 1943 r. – konferencja w Teheranie, czerwiec 1944 r. – otwarcie drugiego frontu w Normandii,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omawia rolę postaci: Franklina Delano Roosevelta, Winstona Churchilla, Józefa Stalina,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wyjaśnia powody powstania Wielkiej Koalicji,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opisuje przebieg bitwy na Łuku Kurskim i jej skutki,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przedstawia skutki lądowania aliantów we Włoszech,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wymienia postanowienia konferencji w Teheranie,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>omawia przebieg i skutki operacji „</w:t>
      </w:r>
      <w:proofErr w:type="spellStart"/>
      <w:r w:rsidRPr="007B5FF3">
        <w:rPr>
          <w:rFonts w:cs="CentSchbookEU"/>
        </w:rPr>
        <w:t>Overlord</w:t>
      </w:r>
      <w:proofErr w:type="spellEnd"/>
      <w:r w:rsidRPr="007B5FF3">
        <w:rPr>
          <w:rFonts w:cs="CentSchbookEU"/>
        </w:rPr>
        <w:t xml:space="preserve">”, </w:t>
      </w:r>
    </w:p>
    <w:p w:rsidR="007B5FF3" w:rsidRPr="007B5FF3" w:rsidRDefault="007B5FF3" w:rsidP="007B5FF3">
      <w:pPr>
        <w:numPr>
          <w:ilvl w:val="0"/>
          <w:numId w:val="47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>wskazuje na mapie kierunki działań aliantów w Euro</w:t>
      </w:r>
      <w:r w:rsidRPr="007B5FF3">
        <w:rPr>
          <w:rFonts w:cs="CentSchbookEU"/>
        </w:rPr>
        <w:softHyphen/>
        <w:t xml:space="preserve">pie w latach 1943–1944. </w:t>
      </w:r>
    </w:p>
    <w:p w:rsidR="007B5FF3" w:rsidRPr="007B5FF3" w:rsidRDefault="007B5FF3" w:rsidP="007B5FF3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7B5FF3" w:rsidRPr="007B5FF3" w:rsidRDefault="007B5FF3" w:rsidP="007B5FF3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7B5FF3">
        <w:rPr>
          <w:rFonts w:cs="Humanst521EU"/>
          <w:b/>
          <w:bCs/>
        </w:rPr>
        <w:t xml:space="preserve">Metody: </w:t>
      </w:r>
    </w:p>
    <w:p w:rsidR="007B5FF3" w:rsidRPr="007B5FF3" w:rsidRDefault="007B5FF3" w:rsidP="007B5FF3">
      <w:pPr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metoda aktywizująca – drzewko decyzyjne, </w:t>
      </w:r>
    </w:p>
    <w:p w:rsidR="007B5FF3" w:rsidRPr="007B5FF3" w:rsidRDefault="007B5FF3" w:rsidP="007B5FF3">
      <w:pPr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elementy wykładu, </w:t>
      </w:r>
    </w:p>
    <w:p w:rsidR="007B5FF3" w:rsidRPr="007B5FF3" w:rsidRDefault="007B5FF3" w:rsidP="007B5FF3">
      <w:pPr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rozmowa kierowana, </w:t>
      </w:r>
    </w:p>
    <w:p w:rsidR="007B5FF3" w:rsidRPr="007B5FF3" w:rsidRDefault="007B5FF3" w:rsidP="007B5FF3">
      <w:pPr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praca z tekstem podręcznika, </w:t>
      </w:r>
    </w:p>
    <w:p w:rsidR="007B5FF3" w:rsidRPr="007B5FF3" w:rsidRDefault="007B5FF3" w:rsidP="007B5FF3">
      <w:pPr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praca z tekstem źródłowym, </w:t>
      </w:r>
    </w:p>
    <w:p w:rsidR="007B5FF3" w:rsidRPr="007B5FF3" w:rsidRDefault="007B5FF3" w:rsidP="007B5FF3">
      <w:pPr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praca z mapą. </w:t>
      </w:r>
    </w:p>
    <w:p w:rsidR="007B5FF3" w:rsidRPr="007B5FF3" w:rsidRDefault="007B5FF3" w:rsidP="007B5FF3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7B5FF3" w:rsidRPr="007B5FF3" w:rsidRDefault="007B5FF3" w:rsidP="007B5FF3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7B5FF3">
        <w:rPr>
          <w:rFonts w:cs="Humanst521EU"/>
          <w:b/>
          <w:bCs/>
        </w:rPr>
        <w:t xml:space="preserve">Formy pracy: </w:t>
      </w:r>
    </w:p>
    <w:p w:rsidR="007B5FF3" w:rsidRPr="007B5FF3" w:rsidRDefault="007B5FF3" w:rsidP="007B5FF3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7B5FF3">
        <w:rPr>
          <w:rFonts w:cs="CentSchbookEU"/>
        </w:rPr>
        <w:t xml:space="preserve">indywidualna, grupowa, zbiorowa. </w:t>
      </w:r>
    </w:p>
    <w:p w:rsidR="007B5FF3" w:rsidRPr="007B5FF3" w:rsidRDefault="007B5FF3" w:rsidP="007B5FF3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7B5FF3">
        <w:rPr>
          <w:rFonts w:cs="Humanst521EU"/>
          <w:b/>
          <w:bCs/>
        </w:rPr>
        <w:t xml:space="preserve">Środki dydaktyczne: </w:t>
      </w:r>
    </w:p>
    <w:p w:rsidR="007B5FF3" w:rsidRPr="007B5FF3" w:rsidRDefault="007B5FF3" w:rsidP="007B5FF3">
      <w:pPr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podręcznik „Wczoraj i dziś 8” (s. 38–42), </w:t>
      </w:r>
    </w:p>
    <w:p w:rsidR="007B5FF3" w:rsidRPr="007B5FF3" w:rsidRDefault="007B5FF3" w:rsidP="007B5FF3">
      <w:pPr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zeszyt ćwiczeń „Wczoraj i dziś 8” (s. 16–17), </w:t>
      </w:r>
    </w:p>
    <w:p w:rsidR="007B5FF3" w:rsidRPr="007B5FF3" w:rsidRDefault="007B5FF3" w:rsidP="007B5FF3">
      <w:pPr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cs="CentSchbookEU"/>
        </w:rPr>
      </w:pPr>
      <w:r w:rsidRPr="007B5FF3">
        <w:rPr>
          <w:rFonts w:cs="CentSchbookEU"/>
        </w:rPr>
        <w:t xml:space="preserve">karta pracy „Droga do zwycięstwa”. </w:t>
      </w:r>
    </w:p>
    <w:p w:rsidR="007B5FF3" w:rsidRPr="007B5FF3" w:rsidRDefault="007B5FF3" w:rsidP="007B5FF3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7B5FF3" w:rsidRPr="007B5FF3" w:rsidRDefault="007B5FF3" w:rsidP="007B5FF3">
      <w:pPr>
        <w:autoSpaceDE w:val="0"/>
        <w:autoSpaceDN w:val="0"/>
        <w:adjustRightInd w:val="0"/>
        <w:spacing w:before="280" w:after="40" w:line="231" w:lineRule="atLeast"/>
        <w:ind w:left="280" w:hanging="280"/>
        <w:jc w:val="both"/>
        <w:rPr>
          <w:rFonts w:cs="Humanst521EU"/>
        </w:rPr>
      </w:pPr>
      <w:r w:rsidRPr="007B5FF3">
        <w:rPr>
          <w:rFonts w:cs="Humanst521EU"/>
          <w:b/>
          <w:bCs/>
        </w:rPr>
        <w:t xml:space="preserve">Przebieg lekcji: </w:t>
      </w:r>
    </w:p>
    <w:p w:rsidR="007B5FF3" w:rsidRPr="007B5FF3" w:rsidRDefault="007B5FF3" w:rsidP="007B5FF3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7B5FF3">
        <w:rPr>
          <w:rFonts w:cs="Humanst521EU"/>
          <w:b/>
          <w:bCs/>
          <w:i/>
          <w:iCs/>
        </w:rPr>
        <w:t xml:space="preserve">Faza wprowadzająca </w:t>
      </w:r>
    </w:p>
    <w:p w:rsidR="007B5FF3" w:rsidRPr="007B5FF3" w:rsidRDefault="007B5FF3" w:rsidP="007B5FF3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Czynności organizacyjne: sprawdzenie obecności i po</w:t>
      </w:r>
      <w:r w:rsidRPr="007B5FF3">
        <w:rPr>
          <w:rFonts w:cs="CentSchbookEU"/>
        </w:rPr>
        <w:softHyphen/>
        <w:t xml:space="preserve">danie tematu lekcji. </w:t>
      </w:r>
    </w:p>
    <w:p w:rsidR="007B5FF3" w:rsidRPr="007B5FF3" w:rsidRDefault="007B5FF3" w:rsidP="007B5FF3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W ramach wprowadzenia nauczyciel poleca uczniom przypomnieć sobie, dlaczego Stany Zjednoczone przy</w:t>
      </w:r>
      <w:r w:rsidRPr="007B5FF3">
        <w:rPr>
          <w:rFonts w:cs="CentSchbookEU"/>
        </w:rPr>
        <w:softHyphen/>
        <w:t xml:space="preserve">stąpiły do II wojny światowej, a następnie przedstawia skutki tej decyzji dla przebiegu walk w Europie. </w:t>
      </w:r>
    </w:p>
    <w:p w:rsidR="007B5FF3" w:rsidRPr="007B5FF3" w:rsidRDefault="007B5FF3" w:rsidP="007B5FF3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Nauczyciel wyjaśnia, że celem lekcji jest zdobycie wiadomości na temat zawiązania koalicji antyhitle</w:t>
      </w:r>
      <w:r w:rsidRPr="007B5FF3">
        <w:rPr>
          <w:rFonts w:cs="CentSchbookEU"/>
        </w:rPr>
        <w:softHyphen/>
        <w:t>rowskiej oraz działań wojennych w latach 1943–1944. Uczniowie zapoznają się z informacją dotyczącą naj</w:t>
      </w:r>
      <w:r w:rsidRPr="007B5FF3">
        <w:rPr>
          <w:rFonts w:cs="CentSchbookEU"/>
        </w:rPr>
        <w:softHyphen/>
        <w:t xml:space="preserve">ważniejszych wydarzeń, na które będą musieli zwrócić uwagę w trakcie zajęć („Na co będę zwracać uwagę”, podręcznik, s. 38). </w:t>
      </w:r>
    </w:p>
    <w:p w:rsidR="007B5FF3" w:rsidRPr="007B5FF3" w:rsidRDefault="007B5FF3" w:rsidP="007B5FF3">
      <w:pPr>
        <w:autoSpaceDE w:val="0"/>
        <w:autoSpaceDN w:val="0"/>
        <w:adjustRightInd w:val="0"/>
        <w:spacing w:after="0"/>
        <w:jc w:val="both"/>
        <w:rPr>
          <w:rFonts w:cs="CentSchbookEU"/>
        </w:rPr>
      </w:pPr>
    </w:p>
    <w:p w:rsidR="007B5FF3" w:rsidRPr="007B5FF3" w:rsidRDefault="007B5FF3" w:rsidP="007B5FF3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</w:rPr>
      </w:pPr>
      <w:r w:rsidRPr="007B5FF3">
        <w:rPr>
          <w:rFonts w:cs="Humanst521EU"/>
          <w:b/>
          <w:bCs/>
          <w:i/>
          <w:iCs/>
        </w:rPr>
        <w:t xml:space="preserve">Faza realizacyjna </w:t>
      </w:r>
    </w:p>
    <w:p w:rsidR="007B5FF3" w:rsidRPr="007B5FF3" w:rsidRDefault="007B5FF3" w:rsidP="007B5FF3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 xml:space="preserve">Nauczyciel opisuje proces powstania Wielkiej Koalicji. Podkreśla, że kluczowe decyzje w tej kwestii zapadały zarówno przed wybuchem wojny niemiecko-sowieckiej w czerwcu 1941 r. (pomoc amerykańska dla Wielkiej Brytanii m.in. w postaci </w:t>
      </w:r>
      <w:proofErr w:type="spellStart"/>
      <w:r w:rsidRPr="007B5FF3">
        <w:rPr>
          <w:rFonts w:cs="CentSchbookEU"/>
          <w:i/>
          <w:iCs/>
        </w:rPr>
        <w:t>Lend-Lease</w:t>
      </w:r>
      <w:proofErr w:type="spellEnd"/>
      <w:r w:rsidRPr="007B5FF3">
        <w:rPr>
          <w:rFonts w:cs="CentSchbookEU"/>
          <w:i/>
          <w:iCs/>
        </w:rPr>
        <w:t xml:space="preserve"> </w:t>
      </w:r>
      <w:proofErr w:type="spellStart"/>
      <w:r w:rsidRPr="007B5FF3">
        <w:rPr>
          <w:rFonts w:cs="CentSchbookEU"/>
          <w:i/>
          <w:iCs/>
        </w:rPr>
        <w:t>Act</w:t>
      </w:r>
      <w:proofErr w:type="spellEnd"/>
      <w:r w:rsidRPr="007B5FF3">
        <w:rPr>
          <w:rFonts w:cs="CentSchbookEU"/>
        </w:rPr>
        <w:t>), jak też po jej rozpoczęciu (zawarcie sojuszu brytyjsko-sowieckie</w:t>
      </w:r>
      <w:r w:rsidRPr="007B5FF3">
        <w:rPr>
          <w:rFonts w:cs="CentSchbookEU"/>
        </w:rPr>
        <w:softHyphen/>
        <w:t xml:space="preserve">go, rozszerzenie </w:t>
      </w:r>
      <w:proofErr w:type="spellStart"/>
      <w:r w:rsidRPr="007B5FF3">
        <w:rPr>
          <w:rFonts w:cs="CentSchbookEU"/>
          <w:i/>
          <w:iCs/>
        </w:rPr>
        <w:t>Lend-Lease</w:t>
      </w:r>
      <w:proofErr w:type="spellEnd"/>
      <w:r w:rsidRPr="007B5FF3">
        <w:rPr>
          <w:rFonts w:cs="CentSchbookEU"/>
          <w:i/>
          <w:iCs/>
        </w:rPr>
        <w:t xml:space="preserve"> </w:t>
      </w:r>
      <w:proofErr w:type="spellStart"/>
      <w:r w:rsidRPr="007B5FF3">
        <w:rPr>
          <w:rFonts w:cs="CentSchbookEU"/>
          <w:i/>
          <w:iCs/>
        </w:rPr>
        <w:t>Act</w:t>
      </w:r>
      <w:proofErr w:type="spellEnd"/>
      <w:r w:rsidRPr="007B5FF3">
        <w:rPr>
          <w:rFonts w:cs="CentSchbookEU"/>
          <w:i/>
          <w:iCs/>
        </w:rPr>
        <w:t xml:space="preserve"> </w:t>
      </w:r>
      <w:r w:rsidRPr="007B5FF3">
        <w:rPr>
          <w:rFonts w:cs="CentSchbookEU"/>
        </w:rPr>
        <w:t xml:space="preserve">na Związek Sowiecki, podpisanie Karty atlantyckiej, </w:t>
      </w:r>
      <w:r w:rsidRPr="007B5FF3">
        <w:rPr>
          <w:rFonts w:cs="CentSchbookEU"/>
        </w:rPr>
        <w:lastRenderedPageBreak/>
        <w:t>spotkanie w Casablan</w:t>
      </w:r>
      <w:r w:rsidRPr="007B5FF3">
        <w:rPr>
          <w:rFonts w:cs="CentSchbookEU"/>
        </w:rPr>
        <w:softHyphen/>
        <w:t xml:space="preserve">ce). Następnie uczniowie wykonują zadanie 1. ze s. 16 zeszytu ćwiczeń, po czym chętna osoba przedstawia swoje rozwiązanie. </w:t>
      </w:r>
    </w:p>
    <w:p w:rsidR="007B5FF3" w:rsidRPr="007B5FF3" w:rsidRDefault="007B5FF3" w:rsidP="007B5FF3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Prowadzący poleca, aby uczniowie zapoznali się z tek</w:t>
      </w:r>
      <w:r w:rsidRPr="007B5FF3">
        <w:rPr>
          <w:rFonts w:cs="CentSchbookEU"/>
        </w:rPr>
        <w:softHyphen/>
        <w:t>stem źródłowym ze s. 38 podręcznika. Na jego podsta</w:t>
      </w:r>
      <w:r w:rsidRPr="007B5FF3">
        <w:rPr>
          <w:rFonts w:cs="CentSchbookEU"/>
        </w:rPr>
        <w:softHyphen/>
        <w:t xml:space="preserve">wie uczestnicy zajęć rozwiązują z pomocą nauczyciela ćwiczenie 1. z części „Praca z tekstem źródłowym”. Następnie wymieniają wartości, którymi kierowali się twórcy Karty atlantyckiej, a nauczyciel wypracowane odpowiedzi zapisuje na tablicy. </w:t>
      </w:r>
    </w:p>
    <w:p w:rsidR="007B5FF3" w:rsidRPr="007B5FF3" w:rsidRDefault="007B5FF3" w:rsidP="007B5FF3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Uczniowie analizują mapę ze s. 40 podręcznika i wska</w:t>
      </w:r>
      <w:r w:rsidRPr="007B5FF3">
        <w:rPr>
          <w:rFonts w:cs="CentSchbookEU"/>
        </w:rPr>
        <w:softHyphen/>
        <w:t>zują miejsca, o których opowiada prowadzący. Na</w:t>
      </w:r>
      <w:r w:rsidRPr="007B5FF3">
        <w:rPr>
          <w:rFonts w:cs="CentSchbookEU"/>
        </w:rPr>
        <w:softHyphen/>
        <w:t>uczyciel opisuje natarcie Armii Czerwonej na froncie wschodnim w 1943 r., podkreślając przełomowe zna</w:t>
      </w:r>
      <w:r w:rsidRPr="007B5FF3">
        <w:rPr>
          <w:rFonts w:cs="CentSchbookEU"/>
        </w:rPr>
        <w:softHyphen/>
        <w:t>czenie klęski Niemców pod Stalingradem i na Łuku Kurskim. Następnie zwraca uwagę na przeprowadze</w:t>
      </w:r>
      <w:r w:rsidRPr="007B5FF3">
        <w:rPr>
          <w:rFonts w:cs="CentSchbookEU"/>
        </w:rPr>
        <w:softHyphen/>
        <w:t>nie desantu aliantów zachodnich na Sycylię i Włochy w drugiej połowie 1943 r. Na zakończenie pracy z mapą poleca uczestnikom zajęć określić, jakie obszary zosta</w:t>
      </w:r>
      <w:r w:rsidRPr="007B5FF3">
        <w:rPr>
          <w:rFonts w:cs="CentSchbookEU"/>
        </w:rPr>
        <w:softHyphen/>
        <w:t xml:space="preserve">ły zdobyte przez aliantów do przełomu 1943 i 1944 r. </w:t>
      </w:r>
    </w:p>
    <w:p w:rsidR="007B5FF3" w:rsidRPr="007B5FF3" w:rsidRDefault="007B5FF3" w:rsidP="007B5FF3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Nauczyciel przybliża okoliczności, w jakich pod ko</w:t>
      </w:r>
      <w:r w:rsidRPr="007B5FF3">
        <w:rPr>
          <w:rFonts w:cs="CentSchbookEU"/>
        </w:rPr>
        <w:softHyphen/>
        <w:t>niec 1943 r. doszło do spotkania Churchilla, Roose</w:t>
      </w:r>
      <w:r w:rsidRPr="007B5FF3">
        <w:rPr>
          <w:rFonts w:cs="CentSchbookEU"/>
        </w:rPr>
        <w:softHyphen/>
        <w:t xml:space="preserve">velta i Stalina w Teheranie oraz wyjaśnia, nad czym Wielka Trójka wówczas obradowała. Następnie dzieli uczniów na 4-osobowe grupy, którym rozdaje karty pracy „Droga do zwycięstwa”. Każdy zespół ma za zadanie uzupełnienie schematu drzewka decyzyjnego dotyczącego problemu, gdzie alianci zachodni powinni otworzyć drugi front w Europie: w północnej Francji czy na Bałkanach. </w:t>
      </w:r>
    </w:p>
    <w:p w:rsidR="007B5FF3" w:rsidRPr="007B5FF3" w:rsidRDefault="007B5FF3" w:rsidP="007B5FF3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Uczniowie uzupełniają w grupach schematy drzewek w kolejności zgodnej z numerami – najpierw część 3. „Cele i wartości”, a następnie część 4. „Pozytywne skutki rozwiązań” i część 5. „Negatywne skutki roz</w:t>
      </w:r>
      <w:r w:rsidRPr="007B5FF3">
        <w:rPr>
          <w:rFonts w:cs="CentSchbookEU"/>
        </w:rPr>
        <w:softHyphen/>
        <w:t>wiązań”. Podczas pracy mogą korzystać z tekstu „Kon</w:t>
      </w:r>
      <w:r w:rsidRPr="007B5FF3">
        <w:rPr>
          <w:rFonts w:cs="CentSchbookEU"/>
        </w:rPr>
        <w:softHyphen/>
        <w:t xml:space="preserve">ferencja w Teheranie” ze s. 41–42 podręcznika. Po skończonej pracy przedstawiciele grup przedstawiają przygotowane rozwiązania w tych częściach drzewka, które zostaną im wskazane przez nauczyciela. </w:t>
      </w:r>
    </w:p>
    <w:p w:rsidR="007B5FF3" w:rsidRPr="007B5FF3" w:rsidRDefault="007B5FF3" w:rsidP="007B5FF3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CentSchbookEU"/>
        </w:rPr>
      </w:pPr>
      <w:r w:rsidRPr="007B5FF3">
        <w:rPr>
          <w:rFonts w:cs="CentSchbookEU"/>
        </w:rPr>
        <w:t>Na podstawie mapy na s. 40 podręcznika uczniowie określają, gdzie w czerwcu 1944 r. wojska alianckie dokonały desantu w Europie. Następnie nauczyciel w formie krótkiego wykładu przybliża uczestnikom zajęć rezultaty operacji „</w:t>
      </w:r>
      <w:proofErr w:type="spellStart"/>
      <w:r w:rsidRPr="007B5FF3">
        <w:rPr>
          <w:rFonts w:cs="CentSchbookEU"/>
        </w:rPr>
        <w:t>Overlord</w:t>
      </w:r>
      <w:proofErr w:type="spellEnd"/>
      <w:r w:rsidRPr="007B5FF3">
        <w:rPr>
          <w:rFonts w:cs="CentSchbookEU"/>
        </w:rPr>
        <w:t xml:space="preserve">” i „Market Garden”. </w:t>
      </w:r>
    </w:p>
    <w:p w:rsidR="007B5FF3" w:rsidRPr="007B5FF3" w:rsidRDefault="007B5FF3" w:rsidP="007B5FF3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b/>
          <w:bCs/>
          <w:i/>
          <w:iCs/>
          <w:color w:val="000000"/>
        </w:rPr>
      </w:pPr>
    </w:p>
    <w:p w:rsidR="007B5FF3" w:rsidRPr="007B5FF3" w:rsidRDefault="007B5FF3" w:rsidP="007B5FF3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7B5FF3">
        <w:rPr>
          <w:rFonts w:cs="Humanst521EU"/>
          <w:b/>
          <w:bCs/>
          <w:i/>
          <w:iCs/>
          <w:color w:val="000000"/>
        </w:rPr>
        <w:t xml:space="preserve">Faza podsumowująca </w:t>
      </w:r>
    </w:p>
    <w:p w:rsidR="007B5FF3" w:rsidRPr="007B5FF3" w:rsidRDefault="007B5FF3" w:rsidP="007B5FF3">
      <w:pPr>
        <w:autoSpaceDE w:val="0"/>
        <w:autoSpaceDN w:val="0"/>
        <w:adjustRightInd w:val="0"/>
        <w:spacing w:after="0" w:line="181" w:lineRule="atLeast"/>
        <w:jc w:val="both"/>
      </w:pPr>
      <w:r w:rsidRPr="007B5FF3">
        <w:t>Uczniowie wykonują zadanie 2., 3. i 4. ze s. 16–17 zeszytu ćwiczeń. Następnie wybrane osoby odczytują swoje roz</w:t>
      </w:r>
      <w:r w:rsidRPr="007B5FF3">
        <w:softHyphen/>
        <w:t xml:space="preserve">wiązania, a nauczyciel ewentualnie je koryguje. </w:t>
      </w:r>
    </w:p>
    <w:p w:rsidR="007B5FF3" w:rsidRPr="007B5FF3" w:rsidRDefault="007B5FF3" w:rsidP="007B5FF3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7B5FF3">
        <w:rPr>
          <w:rFonts w:cs="Humanst521EU"/>
          <w:b/>
          <w:bCs/>
          <w:i/>
          <w:iCs/>
        </w:rPr>
        <w:t xml:space="preserve">Zadanie domowe </w:t>
      </w:r>
    </w:p>
    <w:p w:rsidR="007B5FF3" w:rsidRPr="007B5FF3" w:rsidRDefault="007B5FF3" w:rsidP="007B5FF3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7B5FF3">
        <w:rPr>
          <w:rFonts w:cs="CentSchbookEU"/>
          <w:i/>
          <w:iCs/>
        </w:rPr>
        <w:t xml:space="preserve">Wykonaj pisemnie ćwiczenie 1. ze s. 42 podręcznika. </w:t>
      </w:r>
    </w:p>
    <w:p w:rsidR="007B5FF3" w:rsidRDefault="007B5FF3" w:rsidP="007B5FF3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7B5FF3">
        <w:rPr>
          <w:rFonts w:cs="Humanst521EU"/>
          <w:b/>
          <w:bCs/>
          <w:i/>
          <w:iCs/>
        </w:rPr>
        <w:t xml:space="preserve">Zadanie domowe dla chętnych </w:t>
      </w:r>
    </w:p>
    <w:p w:rsidR="007B5FF3" w:rsidRPr="007B5FF3" w:rsidRDefault="007B5FF3" w:rsidP="007B5FF3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7B5FF3">
        <w:rPr>
          <w:rFonts w:cs="CentSchbookEU"/>
          <w:i/>
          <w:iCs/>
        </w:rPr>
        <w:t>Wykonaj zadanie 5. ze s. 17. zeszytu ćwiczeń.</w:t>
      </w:r>
    </w:p>
    <w:p w:rsidR="007B5FF3" w:rsidRDefault="007B5FF3" w:rsidP="007B5FF3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b/>
          <w:bCs/>
          <w:i/>
          <w:iCs/>
          <w:color w:val="000000"/>
        </w:rPr>
      </w:pPr>
    </w:p>
    <w:p w:rsidR="007B5FF3" w:rsidRDefault="007B5FF3" w:rsidP="007B5FF3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7B5FF3">
        <w:rPr>
          <w:rFonts w:cs="Humanst521EU"/>
          <w:b/>
          <w:bCs/>
          <w:i/>
          <w:iCs/>
          <w:color w:val="000000"/>
        </w:rPr>
        <w:t xml:space="preserve">Krótki opis metody – drzewko decyzyjne </w:t>
      </w:r>
    </w:p>
    <w:p w:rsidR="007B5FF3" w:rsidRPr="007B5FF3" w:rsidRDefault="007B5FF3" w:rsidP="007B5FF3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7B5FF3">
        <w:rPr>
          <w:rFonts w:cs="CentSchbookEU"/>
          <w:color w:val="000000"/>
        </w:rPr>
        <w:t>Drzewko decyzyjne jest graficznym przedstawieniem procesu podejmowania decyzji. Metoda ta wymaga do</w:t>
      </w:r>
      <w:r w:rsidRPr="007B5FF3">
        <w:rPr>
          <w:rFonts w:cs="CentSchbookEU"/>
          <w:color w:val="000000"/>
        </w:rPr>
        <w:softHyphen/>
        <w:t>kładnego sprecyzowania problemu, który uczniowie ana</w:t>
      </w:r>
      <w:r w:rsidRPr="007B5FF3">
        <w:rPr>
          <w:rFonts w:cs="CentSchbookEU"/>
          <w:color w:val="000000"/>
        </w:rPr>
        <w:softHyphen/>
        <w:t>lizują, aby znaleźć możliwe rozwiązania. Są one uzależ</w:t>
      </w:r>
      <w:r w:rsidRPr="007B5FF3">
        <w:rPr>
          <w:rFonts w:cs="CentSchbookEU"/>
          <w:color w:val="000000"/>
        </w:rPr>
        <w:softHyphen/>
        <w:t>nione od przyjętych celów i wartości. Drzewko decyzyjne uczy logicznego myślenia – przewidywania pozytywnych i negatywnych skutków dokonywanych wyborów. Kształ</w:t>
      </w:r>
      <w:r w:rsidRPr="007B5FF3">
        <w:rPr>
          <w:rFonts w:cs="CentSchbookEU"/>
          <w:color w:val="000000"/>
        </w:rPr>
        <w:softHyphen/>
        <w:t>ci również umiejętność twórczego rozwiązywania proble</w:t>
      </w:r>
      <w:r w:rsidRPr="007B5FF3">
        <w:rPr>
          <w:rFonts w:cs="CentSchbookEU"/>
          <w:color w:val="000000"/>
        </w:rPr>
        <w:softHyphen/>
        <w:t>mów, pracy w zespole oraz wypowiadania się na określony temat. Tworzenie schematu zaczyna się od „korzenia” – należy tam wpisać kwestię do rozstrzygnięcia. Następnie na szczycie umieszcza się cele i wartości. Po uzupełnieniu tej części schematu wypełnia się „pień”, podając możliwe rozwiązania problemu, a następnie pozytywne i nega</w:t>
      </w:r>
      <w:r w:rsidRPr="007B5FF3">
        <w:rPr>
          <w:rFonts w:cs="CentSchbookEU"/>
          <w:color w:val="000000"/>
        </w:rPr>
        <w:softHyphen/>
        <w:t>tywne skutki każdego z nich. Po uzupełnieniu schematu drzewka decyzyjnego należy podjąć dyskusję o tym, które z rozwiązań wydaje się korzystniejsze pod względem re</w:t>
      </w:r>
      <w:r w:rsidRPr="007B5FF3">
        <w:rPr>
          <w:rFonts w:cs="CentSchbookEU"/>
          <w:color w:val="000000"/>
        </w:rPr>
        <w:softHyphen/>
        <w:t>alizacji określonych na szczycie celów i wartości</w:t>
      </w:r>
    </w:p>
    <w:p w:rsidR="007B5FF3" w:rsidRPr="007B5FF3" w:rsidRDefault="007B5FF3" w:rsidP="007B5FF3">
      <w:pPr>
        <w:pStyle w:val="Akapitzlist"/>
        <w:autoSpaceDE w:val="0"/>
        <w:autoSpaceDN w:val="0"/>
        <w:adjustRightInd w:val="0"/>
        <w:spacing w:before="280" w:after="40" w:line="231" w:lineRule="atLeast"/>
        <w:rPr>
          <w:rFonts w:cs="CentSchbookEU"/>
          <w:color w:val="000000"/>
        </w:rPr>
      </w:pPr>
      <w:r w:rsidRPr="007B5FF3">
        <w:rPr>
          <w:rFonts w:cs="CentSchbookEU"/>
          <w:noProof/>
          <w:color w:val="000000"/>
          <w:lang w:eastAsia="pl-PL"/>
        </w:rPr>
        <w:lastRenderedPageBreak/>
        <w:drawing>
          <wp:inline distT="0" distB="0" distL="0" distR="0">
            <wp:extent cx="4756823" cy="4565650"/>
            <wp:effectExtent l="0" t="0" r="5715" b="6350"/>
            <wp:docPr id="8" name="Obraz 8" descr="C:\Users\a.pietrzak\Work Folders\Desktop\aaaFUNKCJONALNE_2018\PROJEKTY_REFORMA SP - HISTORIA\H8_KSIAZKA_NAUCZYCIELA\dlanauczyciela.pl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pietrzak\Work Folders\Desktop\aaaFUNKCJONALNE_2018\PROJEKTY_REFORMA SP - HISTORIA\H8_KSIAZKA_NAUCZYCIELA\dlanauczyciela.pl\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41" cy="457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FF3" w:rsidRPr="007B5FF3" w:rsidSect="007471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F8" w:rsidRDefault="00D362F8" w:rsidP="000D70B4">
      <w:pPr>
        <w:spacing w:after="0"/>
      </w:pPr>
      <w:r>
        <w:separator/>
      </w:r>
    </w:p>
  </w:endnote>
  <w:endnote w:type="continuationSeparator" w:id="0">
    <w:p w:rsidR="00D362F8" w:rsidRDefault="00D362F8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Dutch801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7B5FF3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7B5FF3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7B5FF3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7B5FF3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F8" w:rsidRDefault="00D362F8" w:rsidP="000D70B4">
      <w:pPr>
        <w:spacing w:after="0"/>
      </w:pPr>
      <w:r>
        <w:separator/>
      </w:r>
    </w:p>
  </w:footnote>
  <w:footnote w:type="continuationSeparator" w:id="0">
    <w:p w:rsidR="00D362F8" w:rsidRDefault="00D362F8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23C98C"/>
    <w:multiLevelType w:val="hybridMultilevel"/>
    <w:tmpl w:val="BEA35B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0F77C82"/>
    <w:multiLevelType w:val="hybridMultilevel"/>
    <w:tmpl w:val="A9E5309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325184B"/>
    <w:multiLevelType w:val="hybridMultilevel"/>
    <w:tmpl w:val="6580651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08A0192"/>
    <w:multiLevelType w:val="hybridMultilevel"/>
    <w:tmpl w:val="8B3ABA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B33878A"/>
    <w:multiLevelType w:val="hybridMultilevel"/>
    <w:tmpl w:val="9F6A80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9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2" w15:restartNumberingAfterBreak="0">
    <w:nsid w:val="22AA4763"/>
    <w:multiLevelType w:val="hybridMultilevel"/>
    <w:tmpl w:val="2ABDEDF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F35215D"/>
    <w:multiLevelType w:val="hybridMultilevel"/>
    <w:tmpl w:val="5C406A1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F44809A"/>
    <w:multiLevelType w:val="hybridMultilevel"/>
    <w:tmpl w:val="93961B7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0B2A13A"/>
    <w:multiLevelType w:val="hybridMultilevel"/>
    <w:tmpl w:val="E45F74B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31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7D018F9"/>
    <w:multiLevelType w:val="hybridMultilevel"/>
    <w:tmpl w:val="A08EF74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7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8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AD81FC5"/>
    <w:multiLevelType w:val="hybridMultilevel"/>
    <w:tmpl w:val="8D746AF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BD236BA"/>
    <w:multiLevelType w:val="hybridMultilevel"/>
    <w:tmpl w:val="1C02F27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4142CAB"/>
    <w:multiLevelType w:val="hybridMultilevel"/>
    <w:tmpl w:val="D4901DB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AC64B15"/>
    <w:multiLevelType w:val="hybridMultilevel"/>
    <w:tmpl w:val="6BAE49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0"/>
  </w:num>
  <w:num w:numId="2">
    <w:abstractNumId w:val="19"/>
  </w:num>
  <w:num w:numId="3">
    <w:abstractNumId w:val="18"/>
  </w:num>
  <w:num w:numId="4">
    <w:abstractNumId w:val="37"/>
  </w:num>
  <w:num w:numId="5">
    <w:abstractNumId w:val="36"/>
  </w:num>
  <w:num w:numId="6">
    <w:abstractNumId w:val="21"/>
  </w:num>
  <w:num w:numId="7">
    <w:abstractNumId w:val="13"/>
  </w:num>
  <w:num w:numId="8">
    <w:abstractNumId w:val="44"/>
  </w:num>
  <w:num w:numId="9">
    <w:abstractNumId w:val="23"/>
  </w:num>
  <w:num w:numId="10">
    <w:abstractNumId w:val="47"/>
  </w:num>
  <w:num w:numId="11">
    <w:abstractNumId w:val="39"/>
  </w:num>
  <w:num w:numId="12">
    <w:abstractNumId w:val="5"/>
  </w:num>
  <w:num w:numId="13">
    <w:abstractNumId w:val="11"/>
  </w:num>
  <w:num w:numId="14">
    <w:abstractNumId w:val="48"/>
  </w:num>
  <w:num w:numId="15">
    <w:abstractNumId w:val="9"/>
  </w:num>
  <w:num w:numId="16">
    <w:abstractNumId w:val="26"/>
  </w:num>
  <w:num w:numId="17">
    <w:abstractNumId w:val="12"/>
  </w:num>
  <w:num w:numId="18">
    <w:abstractNumId w:val="17"/>
  </w:num>
  <w:num w:numId="19">
    <w:abstractNumId w:val="38"/>
  </w:num>
  <w:num w:numId="20">
    <w:abstractNumId w:val="2"/>
  </w:num>
  <w:num w:numId="21">
    <w:abstractNumId w:val="3"/>
  </w:num>
  <w:num w:numId="22">
    <w:abstractNumId w:val="24"/>
  </w:num>
  <w:num w:numId="23">
    <w:abstractNumId w:val="25"/>
  </w:num>
  <w:num w:numId="24">
    <w:abstractNumId w:val="15"/>
  </w:num>
  <w:num w:numId="25">
    <w:abstractNumId w:val="35"/>
  </w:num>
  <w:num w:numId="26">
    <w:abstractNumId w:val="46"/>
  </w:num>
  <w:num w:numId="27">
    <w:abstractNumId w:val="32"/>
  </w:num>
  <w:num w:numId="28">
    <w:abstractNumId w:val="16"/>
  </w:num>
  <w:num w:numId="29">
    <w:abstractNumId w:val="4"/>
  </w:num>
  <w:num w:numId="30">
    <w:abstractNumId w:val="33"/>
  </w:num>
  <w:num w:numId="31">
    <w:abstractNumId w:val="1"/>
  </w:num>
  <w:num w:numId="32">
    <w:abstractNumId w:val="14"/>
  </w:num>
  <w:num w:numId="33">
    <w:abstractNumId w:val="31"/>
  </w:num>
  <w:num w:numId="34">
    <w:abstractNumId w:val="42"/>
  </w:num>
  <w:num w:numId="35">
    <w:abstractNumId w:val="20"/>
  </w:num>
  <w:num w:numId="36">
    <w:abstractNumId w:val="0"/>
  </w:num>
  <w:num w:numId="37">
    <w:abstractNumId w:val="41"/>
  </w:num>
  <w:num w:numId="38">
    <w:abstractNumId w:val="43"/>
  </w:num>
  <w:num w:numId="39">
    <w:abstractNumId w:val="22"/>
  </w:num>
  <w:num w:numId="40">
    <w:abstractNumId w:val="40"/>
  </w:num>
  <w:num w:numId="41">
    <w:abstractNumId w:val="28"/>
  </w:num>
  <w:num w:numId="42">
    <w:abstractNumId w:val="8"/>
  </w:num>
  <w:num w:numId="43">
    <w:abstractNumId w:val="7"/>
  </w:num>
  <w:num w:numId="44">
    <w:abstractNumId w:val="6"/>
  </w:num>
  <w:num w:numId="45">
    <w:abstractNumId w:val="29"/>
  </w:num>
  <w:num w:numId="46">
    <w:abstractNumId w:val="10"/>
  </w:num>
  <w:num w:numId="47">
    <w:abstractNumId w:val="27"/>
  </w:num>
  <w:num w:numId="48">
    <w:abstractNumId w:val="45"/>
  </w:num>
  <w:num w:numId="49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5FF3"/>
    <w:rsid w:val="007B7938"/>
    <w:rsid w:val="007C086E"/>
    <w:rsid w:val="007C5EB5"/>
    <w:rsid w:val="007D7099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362F8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7B5FF3"/>
    <w:pPr>
      <w:spacing w:line="171" w:lineRule="atLeast"/>
    </w:pPr>
    <w:rPr>
      <w:rFonts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7B5FF3"/>
    <w:pPr>
      <w:spacing w:line="17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A9C3-6151-4A0B-BD1B-FB5B3D02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839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10</cp:revision>
  <cp:lastPrinted>2018-03-06T13:37:00Z</cp:lastPrinted>
  <dcterms:created xsi:type="dcterms:W3CDTF">2018-07-18T05:31:00Z</dcterms:created>
  <dcterms:modified xsi:type="dcterms:W3CDTF">2018-07-23T03:12:00Z</dcterms:modified>
</cp:coreProperties>
</file>