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F4C" w:rsidRPr="00E86F4C" w:rsidRDefault="00E86F4C" w:rsidP="00E86F4C">
      <w:pPr>
        <w:pStyle w:val="tytulkarty"/>
      </w:pPr>
      <w:r w:rsidRPr="00E86F4C">
        <w:t>Europa po rozpadzie ZSRS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Humanst521EU"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 xml:space="preserve">Scenariusz z wykorzystaniem dyskusji punktowanej </w:t>
      </w:r>
    </w:p>
    <w:p w:rsidR="00E86F4C" w:rsidRPr="00E86F4C" w:rsidRDefault="00E86F4C" w:rsidP="00E86F4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E86F4C">
        <w:rPr>
          <w:rFonts w:cs="Humanst521EU"/>
          <w:b/>
          <w:bCs/>
          <w:color w:val="000000"/>
        </w:rPr>
        <w:t xml:space="preserve">Cele lekcji: 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Uczeń: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poprawnie posługuje się terminami: Euroazjatycka Unia Gospodarcza, oligarcha, pomarańczowa rewolu</w:t>
      </w:r>
      <w:r w:rsidRPr="00E86F4C">
        <w:rPr>
          <w:rFonts w:cs="CentSchbookEU"/>
          <w:color w:val="000000"/>
        </w:rPr>
        <w:softHyphen/>
        <w:t xml:space="preserve">cja, </w:t>
      </w:r>
      <w:proofErr w:type="spellStart"/>
      <w:r w:rsidRPr="00E86F4C">
        <w:rPr>
          <w:rFonts w:cs="CentSchbookEU"/>
          <w:color w:val="000000"/>
        </w:rPr>
        <w:t>Euromajdan</w:t>
      </w:r>
      <w:proofErr w:type="spellEnd"/>
      <w:r w:rsidRPr="00E86F4C">
        <w:rPr>
          <w:rFonts w:cs="CentSchbookEU"/>
          <w:color w:val="000000"/>
        </w:rPr>
        <w:t xml:space="preserve">, rewolucja róż, masakra w Srebrenicy,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określa czas wydarzeń: lata 1992–1995 – wojna domo</w:t>
      </w:r>
      <w:r w:rsidRPr="00E86F4C">
        <w:rPr>
          <w:rFonts w:cs="CentSchbookEU"/>
          <w:color w:val="000000"/>
        </w:rPr>
        <w:softHyphen/>
        <w:t>wa w Jugosławii, lata 1994–1994 – I wojna czeczeńska, lata 1999–2009 – II wojna czeczeńska, 1999 r. – przy</w:t>
      </w:r>
      <w:r w:rsidRPr="00E86F4C">
        <w:rPr>
          <w:rFonts w:cs="CentSchbookEU"/>
          <w:color w:val="000000"/>
        </w:rPr>
        <w:softHyphen/>
        <w:t>jęcie do NATO Polski, Czech i Węgier, 2000 r. – Wła</w:t>
      </w:r>
      <w:r w:rsidRPr="00E86F4C">
        <w:rPr>
          <w:rFonts w:cs="CentSchbookEU"/>
          <w:color w:val="000000"/>
        </w:rPr>
        <w:softHyphen/>
        <w:t xml:space="preserve">dimir Putin prezydentem Rosji, 2003 r. – rewolucja róż, 2004 r. – początek pomarańczowej rewolucji, lata 2013–2014 – </w:t>
      </w:r>
      <w:proofErr w:type="spellStart"/>
      <w:r w:rsidRPr="00E86F4C">
        <w:rPr>
          <w:rFonts w:cs="CentSchbookEU"/>
          <w:color w:val="000000"/>
        </w:rPr>
        <w:t>Euromajdan</w:t>
      </w:r>
      <w:proofErr w:type="spellEnd"/>
      <w:r w:rsidRPr="00E86F4C">
        <w:rPr>
          <w:rFonts w:cs="CentSchbookEU"/>
          <w:color w:val="000000"/>
        </w:rPr>
        <w:t xml:space="preserve">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omawia rolę postaci: Borysa Jelcyna, Władimira Pu</w:t>
      </w:r>
      <w:r w:rsidRPr="00E86F4C">
        <w:rPr>
          <w:rFonts w:cs="CentSchbookEU"/>
          <w:color w:val="000000"/>
        </w:rPr>
        <w:softHyphen/>
        <w:t xml:space="preserve">tina, Aleksandra Łukaszenki, Wiktora </w:t>
      </w:r>
      <w:proofErr w:type="spellStart"/>
      <w:r w:rsidRPr="00E86F4C">
        <w:rPr>
          <w:rFonts w:cs="CentSchbookEU"/>
          <w:color w:val="000000"/>
        </w:rPr>
        <w:t>Janukowycza</w:t>
      </w:r>
      <w:proofErr w:type="spellEnd"/>
      <w:r w:rsidRPr="00E86F4C">
        <w:rPr>
          <w:rFonts w:cs="CentSchbookEU"/>
          <w:color w:val="000000"/>
        </w:rPr>
        <w:t xml:space="preserve">, Wiktora Juszczenki, Eduarda </w:t>
      </w:r>
      <w:proofErr w:type="spellStart"/>
      <w:r w:rsidRPr="00E86F4C">
        <w:rPr>
          <w:rFonts w:cs="CentSchbookEU"/>
          <w:color w:val="000000"/>
        </w:rPr>
        <w:t>Szewerdnadze</w:t>
      </w:r>
      <w:proofErr w:type="spellEnd"/>
      <w:r w:rsidRPr="00E86F4C">
        <w:rPr>
          <w:rFonts w:cs="CentSchbookEU"/>
          <w:color w:val="000000"/>
        </w:rPr>
        <w:t xml:space="preserve">, </w:t>
      </w:r>
      <w:proofErr w:type="spellStart"/>
      <w:r w:rsidRPr="00E86F4C">
        <w:rPr>
          <w:rFonts w:cs="CentSchbookEU"/>
          <w:color w:val="000000"/>
        </w:rPr>
        <w:t>Micheila</w:t>
      </w:r>
      <w:proofErr w:type="spellEnd"/>
      <w:r w:rsidRPr="00E86F4C">
        <w:rPr>
          <w:rFonts w:cs="CentSchbookEU"/>
          <w:color w:val="000000"/>
        </w:rPr>
        <w:t xml:space="preserve"> Saakaszwilego, </w:t>
      </w:r>
      <w:proofErr w:type="spellStart"/>
      <w:r w:rsidRPr="00E86F4C">
        <w:rPr>
          <w:rFonts w:cs="CentSchbookEU"/>
          <w:color w:val="000000"/>
        </w:rPr>
        <w:t>Dżohara</w:t>
      </w:r>
      <w:proofErr w:type="spellEnd"/>
      <w:r w:rsidRPr="00E86F4C">
        <w:rPr>
          <w:rFonts w:cs="CentSchbookEU"/>
          <w:color w:val="000000"/>
        </w:rPr>
        <w:t xml:space="preserve"> Dudajewa,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wyjaśnia następstwa rozpadu ZSRS dla układu sił na świecie,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charakteryzuje sytuację wewnętrzną w Federacji Ro</w:t>
      </w:r>
      <w:r w:rsidRPr="00E86F4C">
        <w:rPr>
          <w:rFonts w:cs="CentSchbookEU"/>
          <w:color w:val="000000"/>
        </w:rPr>
        <w:softHyphen/>
        <w:t xml:space="preserve">syjskiej oraz jej działania mające na celu utrzymanie wpływów w krajach postsowieckich,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opisuje proces przemian politycznych na Ukrainie i w Gruzji,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omawia przebieg konfliktu rosyjsko-czeczeńskiego,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przedstawia przyczyny, przebieg i skutki rozpadu Ju</w:t>
      </w:r>
      <w:r w:rsidRPr="00E86F4C">
        <w:rPr>
          <w:rFonts w:cs="CentSchbookEU"/>
          <w:color w:val="000000"/>
        </w:rPr>
        <w:softHyphen/>
        <w:t xml:space="preserve">gosławii, </w:t>
      </w:r>
    </w:p>
    <w:p w:rsidR="00E86F4C" w:rsidRPr="00E86F4C" w:rsidRDefault="00E86F4C" w:rsidP="00E86F4C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wymienia państwa powstałe po rozpadzie ZSRS, które nie są uznawane na arenie międzynarodowej (Górski Karabach, Abchazja, Osetia Południowa, Naddnie</w:t>
      </w:r>
      <w:r w:rsidRPr="00E86F4C">
        <w:rPr>
          <w:rFonts w:cs="CentSchbookEU"/>
          <w:color w:val="000000"/>
        </w:rPr>
        <w:softHyphen/>
        <w:t xml:space="preserve">strze, Kosowo). </w:t>
      </w:r>
    </w:p>
    <w:p w:rsidR="00E86F4C" w:rsidRPr="00E86F4C" w:rsidRDefault="00E86F4C" w:rsidP="00E86F4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E86F4C">
        <w:rPr>
          <w:rFonts w:cs="Humanst521EU"/>
          <w:b/>
          <w:bCs/>
          <w:color w:val="000000"/>
        </w:rPr>
        <w:t xml:space="preserve">Metody: </w:t>
      </w:r>
    </w:p>
    <w:p w:rsidR="00E86F4C" w:rsidRPr="00E86F4C" w:rsidRDefault="00E86F4C" w:rsidP="00E86F4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metoda aktywizująca – dyskusja punktowana, </w:t>
      </w:r>
    </w:p>
    <w:p w:rsidR="00E86F4C" w:rsidRPr="00E86F4C" w:rsidRDefault="00E86F4C" w:rsidP="00E86F4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praca z tekstem podręcznika, </w:t>
      </w:r>
    </w:p>
    <w:p w:rsidR="00E86F4C" w:rsidRPr="00E86F4C" w:rsidRDefault="00E86F4C" w:rsidP="00E86F4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elementy wykładu, </w:t>
      </w:r>
    </w:p>
    <w:p w:rsidR="00E86F4C" w:rsidRPr="00E86F4C" w:rsidRDefault="00E86F4C" w:rsidP="00E86F4C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praca z tekstem źródłowym. </w:t>
      </w:r>
    </w:p>
    <w:p w:rsidR="00E86F4C" w:rsidRPr="00E86F4C" w:rsidRDefault="00E86F4C" w:rsidP="00E86F4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E86F4C">
        <w:rPr>
          <w:rFonts w:cs="Humanst521EU"/>
          <w:b/>
          <w:bCs/>
          <w:color w:val="000000"/>
        </w:rPr>
        <w:t xml:space="preserve">Formy pracy: 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indywidualna, grupowa, zbiorowa. </w:t>
      </w:r>
    </w:p>
    <w:p w:rsidR="00E86F4C" w:rsidRPr="00E86F4C" w:rsidRDefault="00E86F4C" w:rsidP="00E86F4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E86F4C">
        <w:rPr>
          <w:rFonts w:cs="Humanst521EU"/>
          <w:b/>
          <w:bCs/>
          <w:color w:val="000000"/>
        </w:rPr>
        <w:t xml:space="preserve">Środki dydaktyczne: </w:t>
      </w:r>
    </w:p>
    <w:p w:rsidR="00E86F4C" w:rsidRPr="00E86F4C" w:rsidRDefault="00E86F4C" w:rsidP="00E86F4C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podręcznik „Wczoraj i dziś 8” (s. 234–239), </w:t>
      </w:r>
    </w:p>
    <w:p w:rsidR="00E86F4C" w:rsidRPr="00E86F4C" w:rsidRDefault="00E86F4C" w:rsidP="00E86F4C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plan dyskusji punktowanej, </w:t>
      </w:r>
    </w:p>
    <w:p w:rsidR="00E86F4C" w:rsidRPr="00E86F4C" w:rsidRDefault="00E86F4C" w:rsidP="00E86F4C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karta pracy „Europa po rozpadzie ZSRS”. </w:t>
      </w:r>
    </w:p>
    <w:p w:rsidR="00E86F4C" w:rsidRPr="00E86F4C" w:rsidRDefault="00E86F4C" w:rsidP="00E86F4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E86F4C">
        <w:rPr>
          <w:rFonts w:cs="Humanst521EU"/>
          <w:b/>
          <w:bCs/>
          <w:color w:val="000000"/>
        </w:rPr>
        <w:t xml:space="preserve">Przebieg lekcji: </w:t>
      </w:r>
    </w:p>
    <w:p w:rsidR="00E86F4C" w:rsidRPr="00E86F4C" w:rsidRDefault="00E86F4C" w:rsidP="00E86F4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 xml:space="preserve">Faza wprowadzająca </w:t>
      </w:r>
    </w:p>
    <w:p w:rsidR="00E86F4C" w:rsidRPr="00E86F4C" w:rsidRDefault="00E86F4C" w:rsidP="00E86F4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Czynności organizacyjne: sprawdzenie obecności i po</w:t>
      </w:r>
      <w:r w:rsidRPr="00E86F4C">
        <w:rPr>
          <w:rFonts w:cs="CentSchbookEU"/>
          <w:color w:val="000000"/>
        </w:rPr>
        <w:softHyphen/>
        <w:t xml:space="preserve">danie tematu lekcji. </w:t>
      </w:r>
    </w:p>
    <w:p w:rsidR="00E86F4C" w:rsidRPr="00E86F4C" w:rsidRDefault="00E86F4C" w:rsidP="00E86F4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Nauczyciel przypomina pojęcie ładu jałtańskiego i za</w:t>
      </w:r>
      <w:r w:rsidRPr="00E86F4C">
        <w:rPr>
          <w:rFonts w:cs="CentSchbookEU"/>
          <w:color w:val="000000"/>
        </w:rPr>
        <w:softHyphen/>
        <w:t xml:space="preserve">daje uczniom pytania: </w:t>
      </w:r>
      <w:r w:rsidRPr="00E86F4C">
        <w:rPr>
          <w:rFonts w:cs="CentSchbookEU"/>
          <w:i/>
          <w:iCs/>
          <w:color w:val="000000"/>
        </w:rPr>
        <w:t xml:space="preserve">Jaki był układ sił na świecie po 1945 r.? Które państwa odgrywały w nim decydującą rolę? Jaką strukturę miał ZSRS? W jakiej sytuacji znajdowała się Europa Środkowo-Wschodnia? Kiedy upadł ZSRS? </w:t>
      </w:r>
    </w:p>
    <w:p w:rsidR="00E86F4C" w:rsidRPr="00E86F4C" w:rsidRDefault="00E86F4C" w:rsidP="00E86F4C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Prowadzący wyjaśnia, że tematem lekcji będą następ</w:t>
      </w:r>
      <w:r w:rsidRPr="00E86F4C">
        <w:rPr>
          <w:rFonts w:cs="CentSchbookEU"/>
          <w:color w:val="000000"/>
        </w:rPr>
        <w:softHyphen/>
        <w:t xml:space="preserve">stwa upadku ZSRS dla Europy oraz zmiana układu sił na świecie. </w:t>
      </w:r>
    </w:p>
    <w:p w:rsidR="00E86F4C" w:rsidRPr="00E86F4C" w:rsidRDefault="00E86F4C" w:rsidP="00E86F4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 xml:space="preserve">Faza realizacyjna </w:t>
      </w:r>
    </w:p>
    <w:p w:rsidR="00E86F4C" w:rsidRPr="00E86F4C" w:rsidRDefault="00E86F4C" w:rsidP="00E86F4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lastRenderedPageBreak/>
        <w:t xml:space="preserve">Uczniowie zapoznają się z tekstem źródłowym ze s. 239 podręcznika i odpowiadają na zamieszczone pod nim pytania. </w:t>
      </w:r>
    </w:p>
    <w:p w:rsidR="00E86F4C" w:rsidRPr="00E86F4C" w:rsidRDefault="00E86F4C" w:rsidP="00E86F4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 xml:space="preserve">Nauczyciel dzieli klasę na pięć grup, którym rozdaje instrukcje załączone w </w:t>
      </w:r>
      <w:r w:rsidRPr="00E86F4C">
        <w:rPr>
          <w:rFonts w:cs="CentSchbookEU"/>
          <w:i/>
          <w:iCs/>
          <w:color w:val="000000"/>
        </w:rPr>
        <w:t>Materiałach dla ucznia</w:t>
      </w:r>
      <w:r w:rsidRPr="00E86F4C">
        <w:rPr>
          <w:rFonts w:cs="CentSchbookEU"/>
          <w:color w:val="000000"/>
        </w:rPr>
        <w:t>. Na</w:t>
      </w:r>
      <w:r w:rsidRPr="00E86F4C">
        <w:rPr>
          <w:rFonts w:cs="CentSchbookEU"/>
          <w:color w:val="000000"/>
        </w:rPr>
        <w:softHyphen/>
        <w:t>stępnie wyjaśnia zasady dyskusji punktowanej. Na przygotowanie się do zadania zespoły mają 15–20 mi</w:t>
      </w:r>
      <w:r w:rsidRPr="00E86F4C">
        <w:rPr>
          <w:rFonts w:cs="CentSchbookEU"/>
          <w:color w:val="000000"/>
        </w:rPr>
        <w:softHyphen/>
        <w:t xml:space="preserve">nut. </w:t>
      </w:r>
    </w:p>
    <w:p w:rsidR="00E86F4C" w:rsidRPr="00E86F4C" w:rsidRDefault="00E86F4C" w:rsidP="00E86F4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Po upływie wyznaczonego czasu przedstawiciele dru</w:t>
      </w:r>
      <w:r w:rsidRPr="00E86F4C">
        <w:rPr>
          <w:rFonts w:cs="CentSchbookEU"/>
          <w:color w:val="000000"/>
        </w:rPr>
        <w:softHyphen/>
        <w:t>żyn zajmują miejsca na środku klasy. Prowadzący za</w:t>
      </w:r>
      <w:r w:rsidRPr="00E86F4C">
        <w:rPr>
          <w:rFonts w:cs="CentSchbookEU"/>
          <w:color w:val="000000"/>
        </w:rPr>
        <w:softHyphen/>
        <w:t>wiesza na tablicy kryteria oceny dyskusji punktowanej i rozdaje pozostałym osobom odpowiednie arkusze (ta</w:t>
      </w:r>
      <w:r w:rsidRPr="00E86F4C">
        <w:rPr>
          <w:rFonts w:cs="CentSchbookEU"/>
          <w:color w:val="000000"/>
        </w:rPr>
        <w:softHyphen/>
        <w:t xml:space="preserve">bela z kryteriami oceny znajduje się w </w:t>
      </w:r>
      <w:r w:rsidRPr="00E86F4C">
        <w:rPr>
          <w:rFonts w:cs="CentSchbookEU"/>
          <w:i/>
          <w:iCs/>
          <w:color w:val="000000"/>
        </w:rPr>
        <w:t>Materiałach dla nauczyciela</w:t>
      </w:r>
      <w:r w:rsidRPr="00E86F4C">
        <w:rPr>
          <w:rFonts w:cs="CentSchbookEU"/>
          <w:color w:val="000000"/>
        </w:rPr>
        <w:t>). Następnie inicjuje dyskusję i kieruje nią, pilnując kolejności przechodzenia do poszczególnych punktów zgodnie z planem i reagując w przypadkach niewłaściwego zachowania uczestników. Uczniowie przysłuchujący się dyskusji przyznają punkty osobom zabierającym głos – oceniają poprawność merytorycz</w:t>
      </w:r>
      <w:r w:rsidRPr="00E86F4C">
        <w:rPr>
          <w:rFonts w:cs="CentSchbookEU"/>
          <w:color w:val="000000"/>
        </w:rPr>
        <w:softHyphen/>
        <w:t>ną ich wystąpień oraz sposób przekazywania informa</w:t>
      </w:r>
      <w:r w:rsidRPr="00E86F4C">
        <w:rPr>
          <w:rFonts w:cs="CentSchbookEU"/>
          <w:color w:val="000000"/>
        </w:rPr>
        <w:softHyphen/>
        <w:t xml:space="preserve">cji i prezentacji własnego punktu widzenia. Ponadto zadaniem słuchaczy jest zanotowanie najważniejszych wypowiedzi. </w:t>
      </w:r>
    </w:p>
    <w:p w:rsidR="00E86F4C" w:rsidRPr="00E86F4C" w:rsidRDefault="00E86F4C" w:rsidP="00E86F4C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Po zakończeniu dyskusji słuchacze oddają nauczycielo</w:t>
      </w:r>
      <w:r w:rsidRPr="00E86F4C">
        <w:rPr>
          <w:rFonts w:cs="CentSchbookEU"/>
          <w:color w:val="000000"/>
        </w:rPr>
        <w:softHyphen/>
        <w:t>wi wypełnione arkusze ocen. Potem na podstawie swo</w:t>
      </w:r>
      <w:r w:rsidRPr="00E86F4C">
        <w:rPr>
          <w:rFonts w:cs="CentSchbookEU"/>
          <w:color w:val="000000"/>
        </w:rPr>
        <w:softHyphen/>
        <w:t>ich notatek spisują relację, w której po zarysowaniu stanowisk uczestników dyskusji samodzielnie sfor</w:t>
      </w:r>
      <w:r w:rsidRPr="00E86F4C">
        <w:rPr>
          <w:rFonts w:cs="CentSchbookEU"/>
          <w:color w:val="000000"/>
        </w:rPr>
        <w:softHyphen/>
        <w:t>mułują wypływające z niej wnioski. W tym czasie na</w:t>
      </w:r>
      <w:r w:rsidRPr="00E86F4C">
        <w:rPr>
          <w:rFonts w:cs="CentSchbookEU"/>
          <w:color w:val="000000"/>
        </w:rPr>
        <w:softHyphen/>
        <w:t xml:space="preserve">uczyciel uzupełnia zawieszony na tablicy arkusz oceny uczestników dyskusji. </w:t>
      </w:r>
    </w:p>
    <w:p w:rsidR="00E86F4C" w:rsidRPr="00E86F4C" w:rsidRDefault="00E86F4C" w:rsidP="00E86F4C">
      <w:pPr>
        <w:autoSpaceDE w:val="0"/>
        <w:autoSpaceDN w:val="0"/>
        <w:adjustRightInd w:val="0"/>
        <w:spacing w:after="0"/>
        <w:rPr>
          <w:rFonts w:cs="CentSchbookEU"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 xml:space="preserve">Faza podsumowująca 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Prowadzący zbiera prace pisemne. Następnie podaje licz</w:t>
      </w:r>
      <w:r w:rsidRPr="00E86F4C">
        <w:rPr>
          <w:rFonts w:cs="CentSchbookEU"/>
          <w:color w:val="000000"/>
        </w:rPr>
        <w:softHyphen/>
        <w:t>bę punktów uzyskanych przez każdą grupę oraz komen</w:t>
      </w:r>
      <w:r w:rsidRPr="00E86F4C">
        <w:rPr>
          <w:rFonts w:cs="CentSchbookEU"/>
          <w:color w:val="000000"/>
        </w:rPr>
        <w:softHyphen/>
        <w:t xml:space="preserve">tuje i ocenia pracę uczniów. </w:t>
      </w:r>
    </w:p>
    <w:p w:rsidR="00E86F4C" w:rsidRPr="00E86F4C" w:rsidRDefault="00E86F4C" w:rsidP="00E86F4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 xml:space="preserve">Zadanie domowe 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  <w:color w:val="000000"/>
        </w:rPr>
      </w:pPr>
      <w:r w:rsidRPr="00E86F4C">
        <w:rPr>
          <w:rFonts w:cs="CentSchbookEU"/>
          <w:i/>
          <w:iCs/>
          <w:color w:val="000000"/>
        </w:rPr>
        <w:t>Wykonaj ćwiczenia 1., 2. i 3. z karty pracy.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E86F4C">
        <w:rPr>
          <w:rFonts w:cs="Humanst521EU"/>
          <w:b/>
          <w:bCs/>
          <w:color w:val="000000"/>
        </w:rPr>
        <w:t xml:space="preserve">Materiały dla nauczyciela </w:t>
      </w:r>
    </w:p>
    <w:p w:rsidR="00E86F4C" w:rsidRPr="00E86F4C" w:rsidRDefault="00E86F4C" w:rsidP="00E86F4C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 xml:space="preserve">Krótki opis metody – dyskusja punktowana 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E86F4C">
        <w:rPr>
          <w:rFonts w:cs="CentSchbookEU"/>
          <w:color w:val="000000"/>
        </w:rPr>
        <w:t>Nauczyciel podaje uczniom temat dyskusji lub problem do rozwiązania. Następnie informuje o sposobie przy</w:t>
      </w:r>
      <w:r w:rsidRPr="00E86F4C">
        <w:rPr>
          <w:rFonts w:cs="CentSchbookEU"/>
          <w:color w:val="000000"/>
        </w:rPr>
        <w:softHyphen/>
        <w:t>dzielania punktów uczestnikom dyskusji. Temat, kryte</w:t>
      </w:r>
      <w:r w:rsidRPr="00E86F4C">
        <w:rPr>
          <w:rFonts w:cs="CentSchbookEU"/>
          <w:color w:val="000000"/>
        </w:rPr>
        <w:softHyphen/>
        <w:t>ria oceny oraz punkty powinny być widoczne dla wszyst</w:t>
      </w:r>
      <w:r w:rsidRPr="00E86F4C">
        <w:rPr>
          <w:rFonts w:cs="CentSchbookEU"/>
          <w:color w:val="000000"/>
        </w:rPr>
        <w:softHyphen/>
        <w:t>kich. Najlepiej będzie, jeśli zostaną zapisane na tablicy lub przedstawione na plakacie. Nauczyciel ustala czas dyskusji (zależnie od możliwości danej lekcji – od 10 do 20 minut). Wybiera 5–7 uczniów, którzy zajmują miej</w:t>
      </w:r>
      <w:r w:rsidRPr="00E86F4C">
        <w:rPr>
          <w:rFonts w:cs="CentSchbookEU"/>
          <w:color w:val="000000"/>
        </w:rPr>
        <w:softHyphen/>
        <w:t>sca na środku klasy. Pozostałe osoby przydzielają punkty uczestnikom dyskusji na podstawie wytycznych znajdu</w:t>
      </w:r>
      <w:r w:rsidRPr="00E86F4C">
        <w:rPr>
          <w:rFonts w:cs="CentSchbookEU"/>
          <w:color w:val="000000"/>
        </w:rPr>
        <w:softHyphen/>
        <w:t>jących się w arkuszu oceny. Prowadzący kontroluje prze</w:t>
      </w:r>
      <w:r w:rsidRPr="00E86F4C">
        <w:rPr>
          <w:rFonts w:cs="CentSchbookEU"/>
          <w:color w:val="000000"/>
        </w:rPr>
        <w:softHyphen/>
        <w:t>bieg dyskusji i ją podsumowuje. Na koniec wystawia oce</w:t>
      </w:r>
      <w:r w:rsidRPr="00E86F4C">
        <w:rPr>
          <w:rFonts w:cs="CentSchbookEU"/>
          <w:color w:val="000000"/>
        </w:rPr>
        <w:softHyphen/>
        <w:t>ny uczestnikom lekcji.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E86F4C">
        <w:rPr>
          <w:rFonts w:cs="Humanst521EU"/>
          <w:b/>
          <w:bCs/>
          <w:i/>
          <w:iCs/>
          <w:color w:val="000000"/>
        </w:rPr>
        <w:t>Propozycja arkusza oceny dyskusji punktowanej</w:t>
      </w: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1"/>
        <w:gridCol w:w="1276"/>
        <w:gridCol w:w="850"/>
        <w:gridCol w:w="851"/>
        <w:gridCol w:w="850"/>
        <w:gridCol w:w="709"/>
        <w:gridCol w:w="709"/>
      </w:tblGrid>
      <w:tr w:rsidR="00E86F4C" w:rsidRPr="00E86F4C" w:rsidTr="00E86F4C">
        <w:trPr>
          <w:trHeight w:val="104"/>
        </w:trPr>
        <w:tc>
          <w:tcPr>
            <w:tcW w:w="4781" w:type="dxa"/>
            <w:vMerge w:val="restart"/>
          </w:tcPr>
          <w:p w:rsidR="00E86F4C" w:rsidRPr="00E86F4C" w:rsidRDefault="00E86F4C" w:rsidP="00E86F4C">
            <w:pPr>
              <w:pStyle w:val="tabela"/>
              <w:rPr>
                <w:b/>
              </w:rPr>
            </w:pPr>
            <w:r w:rsidRPr="00E86F4C">
              <w:rPr>
                <w:b/>
              </w:rPr>
              <w:t xml:space="preserve">Kryteria oceny uczestników dyskusji </w:t>
            </w:r>
          </w:p>
          <w:p w:rsidR="00E86F4C" w:rsidRPr="00E86F4C" w:rsidRDefault="00E86F4C" w:rsidP="00E86F4C">
            <w:pPr>
              <w:pStyle w:val="tabela"/>
              <w:rPr>
                <w:b/>
              </w:rPr>
            </w:pPr>
          </w:p>
        </w:tc>
        <w:tc>
          <w:tcPr>
            <w:tcW w:w="1276" w:type="dxa"/>
            <w:vMerge w:val="restart"/>
          </w:tcPr>
          <w:p w:rsidR="00E86F4C" w:rsidRPr="00E86F4C" w:rsidRDefault="00E86F4C" w:rsidP="00E86F4C">
            <w:pPr>
              <w:pStyle w:val="tabela"/>
              <w:rPr>
                <w:b/>
              </w:rPr>
            </w:pPr>
            <w:r w:rsidRPr="00E86F4C">
              <w:rPr>
                <w:b/>
              </w:rPr>
              <w:t xml:space="preserve">Punkty </w:t>
            </w:r>
          </w:p>
          <w:p w:rsidR="00E86F4C" w:rsidRPr="00E86F4C" w:rsidRDefault="00E86F4C" w:rsidP="00E86F4C">
            <w:pPr>
              <w:pStyle w:val="tabela"/>
              <w:rPr>
                <w:b/>
              </w:rPr>
            </w:pPr>
          </w:p>
        </w:tc>
        <w:tc>
          <w:tcPr>
            <w:tcW w:w="3969" w:type="dxa"/>
            <w:gridSpan w:val="5"/>
          </w:tcPr>
          <w:p w:rsidR="00E86F4C" w:rsidRPr="00E86F4C" w:rsidRDefault="00E86F4C" w:rsidP="00E86F4C">
            <w:pPr>
              <w:pStyle w:val="tabela"/>
              <w:rPr>
                <w:b/>
              </w:rPr>
            </w:pPr>
            <w:r w:rsidRPr="00E86F4C">
              <w:rPr>
                <w:b/>
              </w:rPr>
              <w:t xml:space="preserve">Uczestnicy dyskusji </w:t>
            </w:r>
          </w:p>
          <w:p w:rsidR="00E86F4C" w:rsidRPr="00E86F4C" w:rsidRDefault="00E86F4C" w:rsidP="00E86F4C">
            <w:pPr>
              <w:pStyle w:val="tabela"/>
              <w:rPr>
                <w:b/>
              </w:rPr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  <w:vMerge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1276" w:type="dxa"/>
            <w:vMerge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  <w:jc w:val="center"/>
              <w:rPr>
                <w:b/>
              </w:rPr>
            </w:pPr>
            <w:r w:rsidRPr="00E86F4C">
              <w:rPr>
                <w:b/>
              </w:rPr>
              <w:t>1</w:t>
            </w: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  <w:jc w:val="center"/>
              <w:rPr>
                <w:b/>
              </w:rPr>
            </w:pPr>
            <w:r w:rsidRPr="00E86F4C">
              <w:rPr>
                <w:b/>
              </w:rPr>
              <w:t>2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  <w:jc w:val="center"/>
              <w:rPr>
                <w:b/>
              </w:rPr>
            </w:pPr>
            <w:r w:rsidRPr="00E86F4C">
              <w:rPr>
                <w:b/>
              </w:rPr>
              <w:t>3</w:t>
            </w: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  <w:jc w:val="center"/>
              <w:rPr>
                <w:b/>
              </w:rPr>
            </w:pPr>
            <w:r w:rsidRPr="00E86F4C">
              <w:rPr>
                <w:b/>
              </w:rPr>
              <w:t>4</w:t>
            </w: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  <w:jc w:val="center"/>
              <w:rPr>
                <w:b/>
              </w:rPr>
            </w:pPr>
            <w:r w:rsidRPr="00E86F4C">
              <w:rPr>
                <w:b/>
              </w:rPr>
              <w:t>5</w:t>
            </w: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Prezentacja informacji na podstawie faktów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+2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Zajęcie stanowiska, prezentacja osobistej opinii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+2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6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Dostrzeganie analogii/podobieństw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+2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Komentarz do informacji lub jej uzupełnienie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+1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Zwrócenie uwagi na błąd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+1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Wypowiedź nie na temat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-2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Rozpoczęcie dyskusji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+1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Rozwijanie dyskusji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+1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206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>Wciągnięcie do dyskusji osoby dotąd niezabiera</w:t>
            </w:r>
            <w:r w:rsidRPr="00E86F4C">
              <w:softHyphen/>
              <w:t xml:space="preserve">jącej głosu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+1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Przerywanie innym, przeszkadzanie w dyskusji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-3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206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Monopolizowanie dyskusji (wypowiedź powyżej 50 s)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-2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206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Atak osobisty (niewłaściwe uwagi o charakterze personalnym)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  <w:jc w:val="center"/>
            </w:pPr>
            <w:r w:rsidRPr="00E86F4C">
              <w:t>-3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4781" w:type="dxa"/>
          </w:tcPr>
          <w:p w:rsidR="00E86F4C" w:rsidRPr="00E86F4C" w:rsidRDefault="00E86F4C" w:rsidP="00E86F4C">
            <w:pPr>
              <w:pStyle w:val="tabela"/>
            </w:pPr>
            <w:r w:rsidRPr="00E86F4C">
              <w:lastRenderedPageBreak/>
              <w:t xml:space="preserve">Przeproszenie </w:t>
            </w:r>
          </w:p>
        </w:tc>
        <w:tc>
          <w:tcPr>
            <w:tcW w:w="1276" w:type="dxa"/>
          </w:tcPr>
          <w:p w:rsidR="00E86F4C" w:rsidRPr="00E86F4C" w:rsidRDefault="00E86F4C" w:rsidP="00E86F4C">
            <w:pPr>
              <w:pStyle w:val="tabela"/>
            </w:pPr>
            <w:r w:rsidRPr="00E86F4C">
              <w:t xml:space="preserve">+1 </w:t>
            </w: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  <w:tr w:rsidR="00E86F4C" w:rsidRPr="00E86F4C" w:rsidTr="00E86F4C">
        <w:trPr>
          <w:trHeight w:val="104"/>
        </w:trPr>
        <w:tc>
          <w:tcPr>
            <w:tcW w:w="6057" w:type="dxa"/>
            <w:gridSpan w:val="2"/>
          </w:tcPr>
          <w:p w:rsidR="00E86F4C" w:rsidRPr="00E86F4C" w:rsidRDefault="00E86F4C" w:rsidP="00E86F4C">
            <w:pPr>
              <w:pStyle w:val="tabela"/>
              <w:jc w:val="center"/>
              <w:rPr>
                <w:b/>
              </w:rPr>
            </w:pPr>
            <w:r w:rsidRPr="00E86F4C">
              <w:rPr>
                <w:b/>
              </w:rPr>
              <w:t>Suma punktów</w:t>
            </w:r>
          </w:p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1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850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  <w:tc>
          <w:tcPr>
            <w:tcW w:w="709" w:type="dxa"/>
          </w:tcPr>
          <w:p w:rsidR="00E86F4C" w:rsidRPr="00E86F4C" w:rsidRDefault="00E86F4C" w:rsidP="00E86F4C">
            <w:pPr>
              <w:pStyle w:val="tabela"/>
            </w:pPr>
          </w:p>
        </w:tc>
      </w:tr>
    </w:tbl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</w:p>
    <w:p w:rsidR="00E86F4C" w:rsidRP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Humanst521EU"/>
          <w:b/>
          <w:bCs/>
          <w:i/>
          <w:iCs/>
          <w:color w:val="000000"/>
        </w:rPr>
      </w:pPr>
      <w:r w:rsidRPr="00E86F4C">
        <w:rPr>
          <w:rStyle w:val="A16"/>
          <w:sz w:val="22"/>
          <w:szCs w:val="22"/>
        </w:rPr>
        <w:t>Propozycja arkusza za: M. Rutkowska-</w:t>
      </w:r>
      <w:proofErr w:type="spellStart"/>
      <w:r w:rsidRPr="00E86F4C">
        <w:rPr>
          <w:rStyle w:val="A16"/>
          <w:sz w:val="22"/>
          <w:szCs w:val="22"/>
        </w:rPr>
        <w:t>Paszta</w:t>
      </w:r>
      <w:proofErr w:type="spellEnd"/>
      <w:r w:rsidRPr="00E86F4C">
        <w:rPr>
          <w:rStyle w:val="A16"/>
          <w:sz w:val="22"/>
          <w:szCs w:val="22"/>
        </w:rPr>
        <w:t xml:space="preserve">, </w:t>
      </w:r>
      <w:r w:rsidRPr="00E86F4C">
        <w:rPr>
          <w:rStyle w:val="A16"/>
          <w:i/>
          <w:iCs/>
          <w:sz w:val="22"/>
          <w:szCs w:val="22"/>
        </w:rPr>
        <w:t>Biblioteczka poszukiwań. Historia i wiedza o społeczeństwie</w:t>
      </w:r>
      <w:r w:rsidRPr="00E86F4C">
        <w:rPr>
          <w:rStyle w:val="A16"/>
          <w:sz w:val="22"/>
          <w:szCs w:val="22"/>
        </w:rPr>
        <w:t>, Warszawa 1995.</w:t>
      </w:r>
    </w:p>
    <w:p w:rsidR="00E86F4C" w:rsidRDefault="00E86F4C" w:rsidP="00E86F4C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p w:rsidR="001F5861" w:rsidRDefault="001F5861" w:rsidP="00E86F4C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p w:rsidR="001F5861" w:rsidRDefault="001F5861" w:rsidP="001F5861">
      <w:pPr>
        <w:autoSpaceDE w:val="0"/>
        <w:autoSpaceDN w:val="0"/>
        <w:adjustRightInd w:val="0"/>
        <w:spacing w:before="280" w:after="440" w:line="231" w:lineRule="atLeast"/>
        <w:ind w:left="280" w:hanging="280"/>
        <w:rPr>
          <w:rFonts w:ascii="Humanst521EU" w:hAnsi="Humanst521EU" w:cs="Humanst521EU"/>
          <w:b/>
          <w:bCs/>
          <w:color w:val="000000"/>
          <w:sz w:val="23"/>
          <w:szCs w:val="23"/>
        </w:rPr>
      </w:pPr>
      <w:r w:rsidRPr="001F5861">
        <w:rPr>
          <w:rFonts w:ascii="Humanst521EU" w:hAnsi="Humanst521EU" w:cs="Humanst521EU"/>
          <w:b/>
          <w:bCs/>
          <w:color w:val="000000"/>
          <w:sz w:val="23"/>
          <w:szCs w:val="23"/>
        </w:rPr>
        <w:t xml:space="preserve">Materiały dla ucznia </w:t>
      </w:r>
    </w:p>
    <w:tbl>
      <w:tblPr>
        <w:tblStyle w:val="Siatkatabelijasn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F5861" w:rsidTr="001F5861">
        <w:tc>
          <w:tcPr>
            <w:tcW w:w="10194" w:type="dxa"/>
          </w:tcPr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b/>
                <w:sz w:val="22"/>
              </w:rPr>
            </w:pPr>
            <w:r w:rsidRPr="001F5861">
              <w:rPr>
                <w:rFonts w:asciiTheme="majorHAnsi" w:hAnsiTheme="majorHAnsi"/>
                <w:b/>
                <w:sz w:val="22"/>
              </w:rPr>
              <w:t xml:space="preserve">Plan dyskusji punktowanej </w:t>
            </w:r>
          </w:p>
          <w:p w:rsidR="001F5861" w:rsidRDefault="001F5861" w:rsidP="001F5861">
            <w:pPr>
              <w:pStyle w:val="tabela"/>
              <w:rPr>
                <w:rFonts w:asciiTheme="majorHAnsi" w:hAnsiTheme="majorHAnsi" w:cs="CentSchbookEU"/>
                <w:sz w:val="22"/>
              </w:rPr>
            </w:pP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>Przygotujcie się do dyskusji na temat Upadek ZSRS to nowy układ sił na świecie. Zbierzcie informacje, które po</w:t>
            </w:r>
            <w:r w:rsidRPr="001F5861">
              <w:rPr>
                <w:rFonts w:asciiTheme="majorHAnsi" w:hAnsiTheme="majorHAnsi" w:cs="CentSchbookEU"/>
                <w:sz w:val="22"/>
              </w:rPr>
              <w:softHyphen/>
              <w:t xml:space="preserve">mogą Wam odpowiedzieć na zamieszczone poniżej pytania. W tym celu skorzystajcie z podręcznika (s. 234–239). W trakcie dyskusji trzymajcie się następującego planu: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b/>
                <w:sz w:val="22"/>
              </w:rPr>
            </w:pPr>
            <w:r w:rsidRPr="001F5861">
              <w:rPr>
                <w:rFonts w:asciiTheme="majorHAnsi" w:hAnsiTheme="majorHAnsi" w:cs="CentSchbookEU"/>
                <w:b/>
                <w:sz w:val="22"/>
              </w:rPr>
              <w:t xml:space="preserve">1. Europa na przełomie XX i XXI w.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Jakie cele polityczne postawiły sobie kraje Europy Środkowo-Wschodniej po upadku ZSRS i jak je realizowały?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b/>
                <w:sz w:val="22"/>
              </w:rPr>
            </w:pPr>
            <w:r w:rsidRPr="001F5861">
              <w:rPr>
                <w:rFonts w:asciiTheme="majorHAnsi" w:hAnsiTheme="majorHAnsi" w:cs="CentSchbookEU"/>
                <w:b/>
                <w:sz w:val="22"/>
              </w:rPr>
              <w:t xml:space="preserve">2. Rosja w nowej rzeczywistości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Jak zmieniła się pozycja Rosji na arenie międzynarodowej?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Jaką politykę przyjęła Rosja wobec byłych republik sowieckich i jak ją realizowała?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b/>
                <w:sz w:val="22"/>
              </w:rPr>
            </w:pPr>
            <w:r w:rsidRPr="001F5861">
              <w:rPr>
                <w:rFonts w:asciiTheme="majorHAnsi" w:hAnsiTheme="majorHAnsi" w:cs="CentSchbookEU"/>
                <w:b/>
                <w:sz w:val="22"/>
              </w:rPr>
              <w:t xml:space="preserve">3. Kraje postsowieckie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Które z dawnych republik sowieckich najszybciej odnalazły się w nowych realiach?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Jak przebiegało wprowadzanie zmian na Ukrainie i w Gruzji? Jaką rolę odegrała w tych procesach Rosja?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O jakie kraje toczyły się konflikty z udziałem sił rosyjskich i jaki jest ich obecny status?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b/>
                <w:sz w:val="22"/>
              </w:rPr>
            </w:pPr>
            <w:r w:rsidRPr="001F5861">
              <w:rPr>
                <w:rFonts w:asciiTheme="majorHAnsi" w:hAnsiTheme="majorHAnsi" w:cs="CentSchbookEU"/>
                <w:b/>
                <w:sz w:val="22"/>
              </w:rPr>
              <w:t xml:space="preserve">4. Wojna w Czeczenii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>– Dlaczego wybuchła I wojna czeczeńska i ja</w:t>
            </w:r>
            <w:bookmarkStart w:id="0" w:name="_GoBack"/>
            <w:bookmarkEnd w:id="0"/>
            <w:r w:rsidRPr="001F5861">
              <w:rPr>
                <w:rFonts w:asciiTheme="majorHAnsi" w:hAnsiTheme="majorHAnsi" w:cs="CentSchbookEU"/>
                <w:sz w:val="22"/>
              </w:rPr>
              <w:t xml:space="preserve">ki był jej rezultat?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Dlaczego doszło do II wojny czeczeńskiej? Jakie były przebieg i skutki tego konfliktu?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 w:cs="CentSchbookEU"/>
                <w:b/>
                <w:sz w:val="22"/>
              </w:rPr>
            </w:pPr>
            <w:r w:rsidRPr="001F5861">
              <w:rPr>
                <w:rFonts w:asciiTheme="majorHAnsi" w:hAnsiTheme="majorHAnsi" w:cs="CentSchbookEU"/>
                <w:b/>
                <w:sz w:val="22"/>
              </w:rPr>
              <w:t xml:space="preserve">5. Wojna w Jugosławii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Dlaczego upadek ZSRS miał wpływ na sytuację w Jugosławii? Co jeszcze przyczyniło się do jej rozpadu? </w:t>
            </w:r>
          </w:p>
          <w:p w:rsidR="001F5861" w:rsidRPr="001F5861" w:rsidRDefault="001F5861" w:rsidP="001F5861">
            <w:pPr>
              <w:pStyle w:val="tabela"/>
              <w:rPr>
                <w:rFonts w:asciiTheme="majorHAnsi" w:hAnsiTheme="majorHAnsi"/>
                <w:sz w:val="22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 xml:space="preserve">– Jakie były etapy rozpadu Jugosławii, począwszy od 1990 r.? </w:t>
            </w:r>
          </w:p>
          <w:p w:rsidR="001F5861" w:rsidRDefault="001F5861" w:rsidP="001F5861">
            <w:pPr>
              <w:pStyle w:val="tabela"/>
              <w:rPr>
                <w:sz w:val="23"/>
                <w:szCs w:val="23"/>
              </w:rPr>
            </w:pPr>
            <w:r w:rsidRPr="001F5861">
              <w:rPr>
                <w:rFonts w:asciiTheme="majorHAnsi" w:hAnsiTheme="majorHAnsi" w:cs="CentSchbookEU"/>
                <w:sz w:val="22"/>
              </w:rPr>
              <w:t>– Jaki był udział państw zewnętrznych w konfliktach na Bałkanach?</w:t>
            </w:r>
          </w:p>
        </w:tc>
      </w:tr>
    </w:tbl>
    <w:p w:rsidR="001F5861" w:rsidRPr="00E86F4C" w:rsidRDefault="001F5861" w:rsidP="001F5861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sectPr w:rsidR="001F5861" w:rsidRPr="00E86F4C" w:rsidSect="00747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D92" w:rsidRDefault="00672D92" w:rsidP="000D70B4">
      <w:pPr>
        <w:spacing w:after="0"/>
      </w:pPr>
      <w:r>
        <w:separator/>
      </w:r>
    </w:p>
  </w:endnote>
  <w:endnote w:type="continuationSeparator" w:id="0">
    <w:p w:rsidR="00672D92" w:rsidRDefault="00672D92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Dutch801EU"/>
    <w:panose1 w:val="00000000000000000000"/>
    <w:charset w:val="EE"/>
    <w:family w:val="roman"/>
    <w:notTrueType/>
    <w:pitch w:val="default"/>
    <w:sig w:usb0="00000003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F5861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F5861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F5861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F5861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D92" w:rsidRDefault="00672D92" w:rsidP="000D70B4">
      <w:pPr>
        <w:spacing w:after="0"/>
      </w:pPr>
      <w:r>
        <w:separator/>
      </w:r>
    </w:p>
  </w:footnote>
  <w:footnote w:type="continuationSeparator" w:id="0">
    <w:p w:rsidR="00672D92" w:rsidRDefault="00672D92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136BA7B"/>
    <w:multiLevelType w:val="hybridMultilevel"/>
    <w:tmpl w:val="5E8344D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1C39D07"/>
    <w:multiLevelType w:val="hybridMultilevel"/>
    <w:tmpl w:val="804FDAB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8288607"/>
    <w:multiLevelType w:val="hybridMultilevel"/>
    <w:tmpl w:val="1C3113D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7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0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C53D8A8"/>
    <w:multiLevelType w:val="hybridMultilevel"/>
    <w:tmpl w:val="681242D0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322911E6"/>
    <w:multiLevelType w:val="hybridMultilevel"/>
    <w:tmpl w:val="BC9A0B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7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57B80D1B"/>
    <w:multiLevelType w:val="hybridMultilevel"/>
    <w:tmpl w:val="809A2ED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01B3ED4"/>
    <w:multiLevelType w:val="hybridMultilevel"/>
    <w:tmpl w:val="18805C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4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5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90805CC"/>
    <w:multiLevelType w:val="hybridMultilevel"/>
    <w:tmpl w:val="03A402A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6"/>
  </w:num>
  <w:num w:numId="2">
    <w:abstractNumId w:val="17"/>
  </w:num>
  <w:num w:numId="3">
    <w:abstractNumId w:val="16"/>
  </w:num>
  <w:num w:numId="4">
    <w:abstractNumId w:val="34"/>
  </w:num>
  <w:num w:numId="5">
    <w:abstractNumId w:val="33"/>
  </w:num>
  <w:num w:numId="6">
    <w:abstractNumId w:val="19"/>
  </w:num>
  <w:num w:numId="7">
    <w:abstractNumId w:val="11"/>
  </w:num>
  <w:num w:numId="8">
    <w:abstractNumId w:val="39"/>
  </w:num>
  <w:num w:numId="9">
    <w:abstractNumId w:val="20"/>
  </w:num>
  <w:num w:numId="10">
    <w:abstractNumId w:val="41"/>
  </w:num>
  <w:num w:numId="11">
    <w:abstractNumId w:val="36"/>
  </w:num>
  <w:num w:numId="12">
    <w:abstractNumId w:val="5"/>
  </w:num>
  <w:num w:numId="13">
    <w:abstractNumId w:val="9"/>
  </w:num>
  <w:num w:numId="14">
    <w:abstractNumId w:val="42"/>
  </w:num>
  <w:num w:numId="15">
    <w:abstractNumId w:val="7"/>
  </w:num>
  <w:num w:numId="16">
    <w:abstractNumId w:val="24"/>
  </w:num>
  <w:num w:numId="17">
    <w:abstractNumId w:val="10"/>
  </w:num>
  <w:num w:numId="18">
    <w:abstractNumId w:val="15"/>
  </w:num>
  <w:num w:numId="19">
    <w:abstractNumId w:val="35"/>
  </w:num>
  <w:num w:numId="20">
    <w:abstractNumId w:val="2"/>
  </w:num>
  <w:num w:numId="21">
    <w:abstractNumId w:val="3"/>
  </w:num>
  <w:num w:numId="22">
    <w:abstractNumId w:val="21"/>
  </w:num>
  <w:num w:numId="23">
    <w:abstractNumId w:val="22"/>
  </w:num>
  <w:num w:numId="24">
    <w:abstractNumId w:val="13"/>
  </w:num>
  <w:num w:numId="25">
    <w:abstractNumId w:val="32"/>
  </w:num>
  <w:num w:numId="26">
    <w:abstractNumId w:val="40"/>
  </w:num>
  <w:num w:numId="27">
    <w:abstractNumId w:val="28"/>
  </w:num>
  <w:num w:numId="28">
    <w:abstractNumId w:val="14"/>
  </w:num>
  <w:num w:numId="29">
    <w:abstractNumId w:val="4"/>
  </w:num>
  <w:num w:numId="30">
    <w:abstractNumId w:val="29"/>
  </w:num>
  <w:num w:numId="31">
    <w:abstractNumId w:val="1"/>
  </w:num>
  <w:num w:numId="32">
    <w:abstractNumId w:val="12"/>
  </w:num>
  <w:num w:numId="33">
    <w:abstractNumId w:val="27"/>
  </w:num>
  <w:num w:numId="34">
    <w:abstractNumId w:val="37"/>
  </w:num>
  <w:num w:numId="35">
    <w:abstractNumId w:val="18"/>
  </w:num>
  <w:num w:numId="36">
    <w:abstractNumId w:val="6"/>
  </w:num>
  <w:num w:numId="37">
    <w:abstractNumId w:val="30"/>
  </w:num>
  <w:num w:numId="38">
    <w:abstractNumId w:val="0"/>
  </w:num>
  <w:num w:numId="39">
    <w:abstractNumId w:val="23"/>
  </w:num>
  <w:num w:numId="40">
    <w:abstractNumId w:val="8"/>
  </w:num>
  <w:num w:numId="41">
    <w:abstractNumId w:val="38"/>
  </w:num>
  <w:num w:numId="42">
    <w:abstractNumId w:val="25"/>
  </w:num>
  <w:num w:numId="43">
    <w:abstractNumId w:val="3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E63B4"/>
    <w:rsid w:val="001F2935"/>
    <w:rsid w:val="001F5861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346D7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2D92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86F4C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E86F4C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E86F4C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22">
    <w:name w:val="Pa22"/>
    <w:basedOn w:val="Default"/>
    <w:next w:val="Default"/>
    <w:uiPriority w:val="99"/>
    <w:rsid w:val="00E86F4C"/>
    <w:pPr>
      <w:spacing w:line="171" w:lineRule="atLeast"/>
    </w:pPr>
    <w:rPr>
      <w:rFonts w:cstheme="minorBidi"/>
      <w:color w:val="auto"/>
    </w:rPr>
  </w:style>
  <w:style w:type="paragraph" w:customStyle="1" w:styleId="Pa21">
    <w:name w:val="Pa21"/>
    <w:basedOn w:val="Default"/>
    <w:next w:val="Default"/>
    <w:uiPriority w:val="99"/>
    <w:rsid w:val="00E86F4C"/>
    <w:pPr>
      <w:spacing w:line="171" w:lineRule="atLeast"/>
    </w:pPr>
    <w:rPr>
      <w:rFonts w:cstheme="minorBidi"/>
      <w:color w:val="auto"/>
    </w:rPr>
  </w:style>
  <w:style w:type="character" w:customStyle="1" w:styleId="A16">
    <w:name w:val="A16"/>
    <w:uiPriority w:val="99"/>
    <w:rsid w:val="00E86F4C"/>
    <w:rPr>
      <w:rFonts w:cs="CentSchbookEU"/>
      <w:color w:val="000000"/>
      <w:sz w:val="17"/>
      <w:szCs w:val="17"/>
    </w:rPr>
  </w:style>
  <w:style w:type="paragraph" w:customStyle="1" w:styleId="Pa68">
    <w:name w:val="Pa68"/>
    <w:basedOn w:val="Default"/>
    <w:next w:val="Default"/>
    <w:uiPriority w:val="99"/>
    <w:rsid w:val="001F5861"/>
    <w:pPr>
      <w:spacing w:line="181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9279-E347-4657-8F37-0BDD28358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913</Words>
  <Characters>5884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11</cp:revision>
  <cp:lastPrinted>2018-03-06T13:37:00Z</cp:lastPrinted>
  <dcterms:created xsi:type="dcterms:W3CDTF">2018-07-18T05:31:00Z</dcterms:created>
  <dcterms:modified xsi:type="dcterms:W3CDTF">2018-07-23T21:18:00Z</dcterms:modified>
</cp:coreProperties>
</file>