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5E" w:rsidRPr="00546E5E" w:rsidRDefault="00546E5E" w:rsidP="00546E5E">
      <w:pPr>
        <w:pStyle w:val="tytulkarty"/>
      </w:pPr>
      <w:r w:rsidRPr="00546E5E">
        <w:t>Świat w erze globalizacji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  <w:r w:rsidRPr="00546E5E">
        <w:rPr>
          <w:rFonts w:cs="Humanst521EU"/>
          <w:b/>
          <w:bCs/>
          <w:i/>
          <w:iCs/>
          <w:color w:val="000000"/>
        </w:rPr>
        <w:t xml:space="preserve">Scenariusz z wykorzystaniem debaty „za” i „przeciw” </w:t>
      </w:r>
    </w:p>
    <w:p w:rsidR="00546E5E" w:rsidRPr="00546E5E" w:rsidRDefault="00546E5E" w:rsidP="00546E5E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46E5E">
        <w:rPr>
          <w:rFonts w:cs="Humanst521EU"/>
          <w:b/>
          <w:bCs/>
          <w:color w:val="000000"/>
        </w:rPr>
        <w:t xml:space="preserve">Cele lekcji: 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Uczeń: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poprawnie posługuje się terminami: globalizacja, al</w:t>
      </w:r>
      <w:r w:rsidRPr="00546E5E">
        <w:rPr>
          <w:rFonts w:cs="CentSchbookEU"/>
          <w:color w:val="000000"/>
        </w:rPr>
        <w:softHyphen/>
        <w:t>terglobalizm, antyglobalizm, kultura masowa (popkul</w:t>
      </w:r>
      <w:r w:rsidRPr="00546E5E">
        <w:rPr>
          <w:rFonts w:cs="CentSchbookEU"/>
          <w:color w:val="000000"/>
        </w:rPr>
        <w:softHyphen/>
        <w:t xml:space="preserve">tura), kultura wysoka, amerykanizacja, metropolia, slumsy,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określa czas wydarzeń: 1973 r. – pierwsza rozmowa przez telefon komórkowy, 1991 r. – początek powszech</w:t>
      </w:r>
      <w:r w:rsidRPr="00546E5E">
        <w:rPr>
          <w:rFonts w:cs="CentSchbookEU"/>
          <w:color w:val="000000"/>
        </w:rPr>
        <w:softHyphen/>
        <w:t>nego wykorzystania internetu, 1992 r. – pierwszy wy</w:t>
      </w:r>
      <w:r w:rsidRPr="00546E5E">
        <w:rPr>
          <w:rFonts w:cs="CentSchbookEU"/>
          <w:color w:val="000000"/>
        </w:rPr>
        <w:softHyphen/>
        <w:t xml:space="preserve">słany SMS,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rozumie zjawisko globalizacji: wymienia sprzyjające mu czynniki, jego przejawy oraz pozytywne i negatyw</w:t>
      </w:r>
      <w:r w:rsidRPr="00546E5E">
        <w:rPr>
          <w:rFonts w:cs="CentSchbookEU"/>
          <w:color w:val="000000"/>
        </w:rPr>
        <w:softHyphen/>
        <w:t xml:space="preserve">ne aspekty,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charakteryzuje rozwój gospodarki światowej,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omawia rolę nowych środków komunikacji i przekazu informacji w procesach globalizacji oraz rozwoju kul</w:t>
      </w:r>
      <w:r w:rsidRPr="00546E5E">
        <w:rPr>
          <w:rFonts w:cs="CentSchbookEU"/>
          <w:color w:val="000000"/>
        </w:rPr>
        <w:softHyphen/>
        <w:t xml:space="preserve">tury masowej,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wskazuje cechy kultury masowej we współczesnym świecie,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podaje przykłady amerykanizacji w różnych sferach życia,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przedstawia znaczenie rozwoju turystyki,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opisuje dynamikę procesu urbanizacji na świecie oraz aspekty życia w metropolii, </w:t>
      </w:r>
    </w:p>
    <w:p w:rsidR="00546E5E" w:rsidRPr="00546E5E" w:rsidRDefault="00546E5E" w:rsidP="00546E5E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charakteryzuje zjawisko współczesnej migracji. </w:t>
      </w:r>
    </w:p>
    <w:p w:rsidR="00546E5E" w:rsidRPr="00546E5E" w:rsidRDefault="00546E5E" w:rsidP="00546E5E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46E5E" w:rsidRPr="00546E5E" w:rsidRDefault="00546E5E" w:rsidP="00546E5E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46E5E">
        <w:rPr>
          <w:rFonts w:cs="Humanst521EU"/>
          <w:b/>
          <w:bCs/>
          <w:color w:val="000000"/>
        </w:rPr>
        <w:t xml:space="preserve">Metody: </w:t>
      </w:r>
    </w:p>
    <w:p w:rsidR="00546E5E" w:rsidRPr="00546E5E" w:rsidRDefault="00546E5E" w:rsidP="00546E5E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metoda aktywizująca – debata „za i przeciw”, </w:t>
      </w:r>
    </w:p>
    <w:p w:rsidR="00546E5E" w:rsidRPr="00546E5E" w:rsidRDefault="00546E5E" w:rsidP="00546E5E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praca z tekstem podręcznika, </w:t>
      </w:r>
    </w:p>
    <w:p w:rsidR="00546E5E" w:rsidRPr="00546E5E" w:rsidRDefault="00546E5E" w:rsidP="00546E5E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elementy wykładu, </w:t>
      </w:r>
    </w:p>
    <w:p w:rsidR="00546E5E" w:rsidRPr="00546E5E" w:rsidRDefault="00546E5E" w:rsidP="00546E5E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praca z tekstem źródłowym, </w:t>
      </w:r>
    </w:p>
    <w:p w:rsidR="00546E5E" w:rsidRPr="00546E5E" w:rsidRDefault="00546E5E" w:rsidP="00546E5E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praca z mapą, </w:t>
      </w:r>
    </w:p>
    <w:p w:rsidR="00546E5E" w:rsidRPr="00546E5E" w:rsidRDefault="00546E5E" w:rsidP="00546E5E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praca z danymi statystycznymi. </w:t>
      </w:r>
    </w:p>
    <w:p w:rsidR="00546E5E" w:rsidRPr="00546E5E" w:rsidRDefault="00546E5E" w:rsidP="00546E5E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46E5E" w:rsidRPr="00546E5E" w:rsidRDefault="00546E5E" w:rsidP="00546E5E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46E5E">
        <w:rPr>
          <w:rFonts w:cs="Humanst521EU"/>
          <w:b/>
          <w:bCs/>
          <w:color w:val="000000"/>
        </w:rPr>
        <w:t xml:space="preserve">Formy pracy: 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indywidualna, grupowa, zbiorowa. </w:t>
      </w:r>
    </w:p>
    <w:p w:rsidR="00546E5E" w:rsidRPr="00546E5E" w:rsidRDefault="00546E5E" w:rsidP="00546E5E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46E5E">
        <w:rPr>
          <w:rFonts w:cs="Humanst521EU"/>
          <w:b/>
          <w:bCs/>
          <w:color w:val="000000"/>
        </w:rPr>
        <w:t xml:space="preserve">Środki dydaktyczne: </w:t>
      </w:r>
    </w:p>
    <w:p w:rsidR="00546E5E" w:rsidRPr="00546E5E" w:rsidRDefault="00546E5E" w:rsidP="00546E5E">
      <w:pPr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podręcznik „Wczoraj i dziś 8” (s. 257–261), </w:t>
      </w:r>
    </w:p>
    <w:p w:rsidR="00546E5E" w:rsidRPr="00546E5E" w:rsidRDefault="00546E5E" w:rsidP="00546E5E">
      <w:pPr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zeszyt ćwiczeń „Wczoraj i dziś 8” (s. 115), </w:t>
      </w:r>
    </w:p>
    <w:p w:rsidR="00546E5E" w:rsidRPr="00546E5E" w:rsidRDefault="00546E5E" w:rsidP="00546E5E">
      <w:pPr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karta pracy „Świat w erze globalizacji”. </w:t>
      </w:r>
    </w:p>
    <w:p w:rsidR="00546E5E" w:rsidRPr="00546E5E" w:rsidRDefault="00546E5E" w:rsidP="00546E5E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46E5E" w:rsidRPr="00546E5E" w:rsidRDefault="00546E5E" w:rsidP="00546E5E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46E5E">
        <w:rPr>
          <w:rFonts w:cs="Humanst521EU"/>
          <w:b/>
          <w:bCs/>
          <w:color w:val="000000"/>
        </w:rPr>
        <w:t xml:space="preserve">Przebieg lekcji: </w:t>
      </w:r>
    </w:p>
    <w:p w:rsidR="00546E5E" w:rsidRPr="00546E5E" w:rsidRDefault="00546E5E" w:rsidP="00546E5E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46E5E">
        <w:rPr>
          <w:rFonts w:cs="Humanst521EU"/>
          <w:b/>
          <w:bCs/>
          <w:i/>
          <w:iCs/>
          <w:color w:val="000000"/>
        </w:rPr>
        <w:t xml:space="preserve">Faza wprowadzająca </w:t>
      </w:r>
    </w:p>
    <w:p w:rsidR="00546E5E" w:rsidRPr="00546E5E" w:rsidRDefault="00546E5E" w:rsidP="00546E5E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Czynności organizacyjne: sprawdzenie obecności i po</w:t>
      </w:r>
      <w:r w:rsidRPr="00546E5E">
        <w:rPr>
          <w:rFonts w:cs="CentSchbookEU"/>
          <w:color w:val="000000"/>
        </w:rPr>
        <w:softHyphen/>
        <w:t xml:space="preserve">danie tematu lekcji. </w:t>
      </w:r>
    </w:p>
    <w:p w:rsidR="00546E5E" w:rsidRPr="00546E5E" w:rsidRDefault="00546E5E" w:rsidP="00546E5E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W ramach rozmowy kierowanej uczniowie przypo</w:t>
      </w:r>
      <w:r w:rsidRPr="00546E5E">
        <w:rPr>
          <w:rFonts w:cs="CentSchbookEU"/>
          <w:color w:val="000000"/>
        </w:rPr>
        <w:softHyphen/>
        <w:t>minają pojęcie kultury masowej oraz okoliczności jej narodzin pod koniec XIX w. i rozwoju w okresie mię</w:t>
      </w:r>
      <w:r w:rsidRPr="00546E5E">
        <w:rPr>
          <w:rFonts w:cs="CentSchbookEU"/>
          <w:color w:val="000000"/>
        </w:rPr>
        <w:softHyphen/>
        <w:t>dzywojennym: wzrost zamożności społeczeństwa, po</w:t>
      </w:r>
      <w:r w:rsidRPr="00546E5E">
        <w:rPr>
          <w:rFonts w:cs="CentSchbookEU"/>
          <w:color w:val="000000"/>
        </w:rPr>
        <w:softHyphen/>
        <w:t xml:space="preserve">stęp w dziedzinie komunikacji, wzrost czytelnictwa, powstanie mass mediów – kina, radia, telewizji. </w:t>
      </w:r>
    </w:p>
    <w:p w:rsidR="00546E5E" w:rsidRPr="00546E5E" w:rsidRDefault="00546E5E" w:rsidP="00546E5E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Nauczyciel wyjaśnia, że celem zajęć jest poznanie pro</w:t>
      </w:r>
      <w:r w:rsidRPr="00546E5E">
        <w:rPr>
          <w:rFonts w:cs="CentSchbookEU"/>
          <w:color w:val="000000"/>
        </w:rPr>
        <w:softHyphen/>
        <w:t>cesu globalizacji oraz przemian społecznych i kulturo</w:t>
      </w:r>
      <w:r w:rsidRPr="00546E5E">
        <w:rPr>
          <w:rFonts w:cs="CentSchbookEU"/>
          <w:color w:val="000000"/>
        </w:rPr>
        <w:softHyphen/>
        <w:t xml:space="preserve">wych przełomu XX i XXI w., w tym dalszego rozwoju kultury masowej. </w:t>
      </w:r>
    </w:p>
    <w:p w:rsidR="00546E5E" w:rsidRPr="00546E5E" w:rsidRDefault="00546E5E" w:rsidP="00546E5E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46E5E" w:rsidRPr="00546E5E" w:rsidRDefault="00546E5E" w:rsidP="00546E5E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546E5E">
        <w:rPr>
          <w:rFonts w:cs="Humanst521EU"/>
          <w:b/>
          <w:bCs/>
          <w:i/>
          <w:iCs/>
          <w:color w:val="000000"/>
        </w:rPr>
        <w:t xml:space="preserve">Faza realizacyjna </w:t>
      </w:r>
    </w:p>
    <w:p w:rsidR="00546E5E" w:rsidRPr="00546E5E" w:rsidRDefault="00546E5E" w:rsidP="00546E5E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lastRenderedPageBreak/>
        <w:t>Nauczyciel wyjaśnia, czym jest globalizacja. Ucznio</w:t>
      </w:r>
      <w:r w:rsidRPr="00546E5E">
        <w:rPr>
          <w:rFonts w:cs="CentSchbookEU"/>
          <w:color w:val="000000"/>
        </w:rPr>
        <w:softHyphen/>
        <w:t>wie zapoznają się z tekstem źródłowym ze s. 258 pod</w:t>
      </w:r>
      <w:r w:rsidRPr="00546E5E">
        <w:rPr>
          <w:rFonts w:cs="CentSchbookEU"/>
          <w:color w:val="000000"/>
        </w:rPr>
        <w:softHyphen/>
        <w:t>ręcznika i odpowiadają na zamieszczone pod nim py</w:t>
      </w:r>
      <w:r w:rsidRPr="00546E5E">
        <w:rPr>
          <w:rFonts w:cs="CentSchbookEU"/>
          <w:color w:val="000000"/>
        </w:rPr>
        <w:softHyphen/>
        <w:t xml:space="preserve">tania. Następnie wykonują ćwiczenie 1. z karty pracy. </w:t>
      </w:r>
    </w:p>
    <w:p w:rsidR="00546E5E" w:rsidRPr="00546E5E" w:rsidRDefault="00546E5E" w:rsidP="00546E5E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Uczestnicy zajęć czytają tekst </w:t>
      </w:r>
      <w:r w:rsidRPr="00546E5E">
        <w:rPr>
          <w:rFonts w:cs="CentSchbookEU"/>
          <w:i/>
          <w:iCs/>
          <w:color w:val="000000"/>
        </w:rPr>
        <w:t xml:space="preserve">Rewolucja informacyjna </w:t>
      </w:r>
      <w:r w:rsidRPr="00546E5E">
        <w:rPr>
          <w:rFonts w:cs="CentSchbookEU"/>
          <w:color w:val="000000"/>
        </w:rPr>
        <w:t>ze s. 258–259 podręcznika. W nawiązaniu do jego tre</w:t>
      </w:r>
      <w:r w:rsidRPr="00546E5E">
        <w:rPr>
          <w:rFonts w:cs="CentSchbookEU"/>
          <w:color w:val="000000"/>
        </w:rPr>
        <w:softHyphen/>
        <w:t>ści prowadzący pyta uczniów, w jakich celach korzy</w:t>
      </w:r>
      <w:r w:rsidRPr="00546E5E">
        <w:rPr>
          <w:rFonts w:cs="CentSchbookEU"/>
          <w:color w:val="000000"/>
        </w:rPr>
        <w:softHyphen/>
        <w:t>stają z internetu i czy słyszeli o nowych problemach z nim związanych. Przywołuje przykład cyberwojen, w ramach których są publikowane fałszywe informa</w:t>
      </w:r>
      <w:r w:rsidRPr="00546E5E">
        <w:rPr>
          <w:rFonts w:cs="CentSchbookEU"/>
          <w:color w:val="000000"/>
        </w:rPr>
        <w:softHyphen/>
        <w:t>cje m.in. na Facebooku (</w:t>
      </w:r>
      <w:r w:rsidRPr="00546E5E">
        <w:rPr>
          <w:rFonts w:cs="CentSchbookEU"/>
          <w:i/>
          <w:iCs/>
          <w:color w:val="000000"/>
        </w:rPr>
        <w:t>fake newsy</w:t>
      </w:r>
      <w:r w:rsidRPr="00546E5E">
        <w:rPr>
          <w:rFonts w:cs="CentSchbookEU"/>
          <w:color w:val="000000"/>
        </w:rPr>
        <w:t xml:space="preserve">) wpływające na wybory w krajach demokratycznych i są prowadzone ataki rosyjskich czy północnokoreańskich hakerów np. na banki, w tym polskie. Uczniowie zastanawiają się nad kwestiami: </w:t>
      </w:r>
      <w:r w:rsidRPr="00546E5E">
        <w:rPr>
          <w:rFonts w:cs="CentSchbookEU"/>
          <w:i/>
          <w:iCs/>
          <w:color w:val="000000"/>
        </w:rPr>
        <w:t>Jakie znaczenie dla procesu globali</w:t>
      </w:r>
      <w:r w:rsidRPr="00546E5E">
        <w:rPr>
          <w:rFonts w:cs="CentSchbookEU"/>
          <w:i/>
          <w:iCs/>
          <w:color w:val="000000"/>
        </w:rPr>
        <w:softHyphen/>
        <w:t xml:space="preserve">zacji mają nowoczesne technologie informacyjne? Jakie korzyści, a jakie zagrożenia przyniósł ich rozwój? </w:t>
      </w:r>
    </w:p>
    <w:p w:rsidR="00546E5E" w:rsidRPr="00546E5E" w:rsidRDefault="00546E5E" w:rsidP="00546E5E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Nauczyciel przechodzi do kwestii rozwoju popkultury w erze globalizacji. Poleca uczniom podać przykłady dzieł kultury masowej i kultury wysokiej. Następnie wprowadza pojęcie amerykanizacji i ponownie prosi klasę o podanie przykładów. </w:t>
      </w:r>
    </w:p>
    <w:p w:rsidR="00546E5E" w:rsidRPr="00546E5E" w:rsidRDefault="00546E5E" w:rsidP="00546E5E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Prowadzący dzieli klasę na trzy grupy i przydziela im do przeczytania teksty z podręcznika: pierwszej – </w:t>
      </w:r>
      <w:r w:rsidRPr="00546E5E">
        <w:rPr>
          <w:rFonts w:cs="CentSchbookEU"/>
          <w:i/>
          <w:iCs/>
          <w:color w:val="000000"/>
        </w:rPr>
        <w:t xml:space="preserve">Rozwój turystyki </w:t>
      </w:r>
      <w:r w:rsidRPr="00546E5E">
        <w:rPr>
          <w:rFonts w:cs="CentSchbookEU"/>
          <w:color w:val="000000"/>
        </w:rPr>
        <w:t xml:space="preserve">ze s. 260, drugiej – </w:t>
      </w:r>
      <w:r w:rsidRPr="00546E5E">
        <w:rPr>
          <w:rFonts w:cs="CentSchbookEU"/>
          <w:i/>
          <w:iCs/>
          <w:color w:val="000000"/>
        </w:rPr>
        <w:t xml:space="preserve">Globalna wioska czy globalne miasto? </w:t>
      </w:r>
      <w:r w:rsidRPr="00546E5E">
        <w:rPr>
          <w:rFonts w:cs="CentSchbookEU"/>
          <w:color w:val="000000"/>
        </w:rPr>
        <w:t xml:space="preserve">ze s. 261, trzeciej – </w:t>
      </w:r>
      <w:r w:rsidRPr="00546E5E">
        <w:rPr>
          <w:rFonts w:cs="CentSchbookEU"/>
          <w:i/>
          <w:iCs/>
          <w:color w:val="000000"/>
        </w:rPr>
        <w:t xml:space="preserve">Współczesne migracje </w:t>
      </w:r>
      <w:r w:rsidRPr="00546E5E">
        <w:rPr>
          <w:rFonts w:cs="CentSchbookEU"/>
          <w:color w:val="000000"/>
        </w:rPr>
        <w:t>ze s. 261. Wybrane osoby z każdej drużyny mają za zadanie zreferować reszcie klasy najważniej</w:t>
      </w:r>
      <w:r w:rsidRPr="00546E5E">
        <w:rPr>
          <w:rFonts w:cs="CentSchbookEU"/>
          <w:color w:val="000000"/>
        </w:rPr>
        <w:softHyphen/>
        <w:t xml:space="preserve">sze informacje zawarte w tekstach. Nauczyciel w razie potrzeby uzupełnia ich wypowiedzi. </w:t>
      </w:r>
    </w:p>
    <w:p w:rsidR="00546E5E" w:rsidRPr="00546E5E" w:rsidRDefault="00546E5E" w:rsidP="00546E5E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 xml:space="preserve">W dalszej kolejności uczniowie czytają tekst </w:t>
      </w:r>
      <w:r w:rsidRPr="00546E5E">
        <w:rPr>
          <w:rFonts w:cs="CentSchbookEU"/>
          <w:i/>
          <w:iCs/>
          <w:color w:val="000000"/>
        </w:rPr>
        <w:t>Przeciwni</w:t>
      </w:r>
      <w:r w:rsidRPr="00546E5E">
        <w:rPr>
          <w:rFonts w:cs="CentSchbookEU"/>
          <w:i/>
          <w:iCs/>
          <w:color w:val="000000"/>
        </w:rPr>
        <w:softHyphen/>
        <w:t xml:space="preserve">cy globalizacji </w:t>
      </w:r>
      <w:r w:rsidRPr="00546E5E">
        <w:rPr>
          <w:rFonts w:cs="CentSchbookEU"/>
          <w:color w:val="000000"/>
        </w:rPr>
        <w:t>ze s. 257 podręcznika. Nauczyciel inicju</w:t>
      </w:r>
      <w:r w:rsidRPr="00546E5E">
        <w:rPr>
          <w:rFonts w:cs="CentSchbookEU"/>
          <w:color w:val="000000"/>
        </w:rPr>
        <w:softHyphen/>
        <w:t xml:space="preserve">je dyskusję nad tym zagadnieniem, w której uczestnicy zajmują stanowisko „za” lub „przeciw” globalizacji. </w:t>
      </w:r>
    </w:p>
    <w:p w:rsidR="00546E5E" w:rsidRPr="00546E5E" w:rsidRDefault="00546E5E" w:rsidP="00546E5E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46E5E" w:rsidRPr="00546E5E" w:rsidRDefault="00546E5E" w:rsidP="00546E5E">
      <w:pPr>
        <w:autoSpaceDE w:val="0"/>
        <w:autoSpaceDN w:val="0"/>
        <w:adjustRightInd w:val="0"/>
        <w:spacing w:before="40" w:after="0" w:line="181" w:lineRule="atLeast"/>
        <w:jc w:val="both"/>
        <w:rPr>
          <w:rFonts w:cs="Humanst521EU"/>
          <w:color w:val="000000"/>
        </w:rPr>
      </w:pPr>
      <w:r w:rsidRPr="00546E5E">
        <w:rPr>
          <w:rFonts w:cs="Humanst521EU"/>
          <w:b/>
          <w:bCs/>
          <w:i/>
          <w:iCs/>
          <w:color w:val="000000"/>
        </w:rPr>
        <w:t xml:space="preserve">Faza podsumowująca 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Zgodnie z zajętym przez uczniów stanowiskiem prowa</w:t>
      </w:r>
      <w:r w:rsidRPr="00546E5E">
        <w:rPr>
          <w:rFonts w:cs="CentSchbookEU"/>
          <w:color w:val="000000"/>
        </w:rPr>
        <w:softHyphen/>
        <w:t>dzący dzieli klasę na dwie grupy – zwolenników i prze</w:t>
      </w:r>
      <w:r w:rsidRPr="00546E5E">
        <w:rPr>
          <w:rFonts w:cs="CentSchbookEU"/>
          <w:color w:val="000000"/>
        </w:rPr>
        <w:softHyphen/>
        <w:t>ciwników globalizacji. Tłumaczy, że mają za zadanie wcielić się w role ekspertów na międzynarodowej kon</w:t>
      </w:r>
      <w:r w:rsidRPr="00546E5E">
        <w:rPr>
          <w:rFonts w:cs="CentSchbookEU"/>
          <w:color w:val="000000"/>
        </w:rPr>
        <w:softHyphen/>
        <w:t xml:space="preserve">ferencji pod hasłem </w:t>
      </w:r>
      <w:r w:rsidRPr="00546E5E">
        <w:rPr>
          <w:rFonts w:cs="CentSchbookEU"/>
          <w:i/>
          <w:iCs/>
          <w:color w:val="000000"/>
        </w:rPr>
        <w:t xml:space="preserve">Globalizacja – szansa na rozwój czy zagrożenie dla świata? </w:t>
      </w:r>
      <w:r w:rsidRPr="00546E5E">
        <w:rPr>
          <w:rFonts w:cs="CentSchbookEU"/>
          <w:color w:val="000000"/>
        </w:rPr>
        <w:t>Zespoły przygotowują listę argu</w:t>
      </w:r>
      <w:r w:rsidRPr="00546E5E">
        <w:rPr>
          <w:rFonts w:cs="CentSchbookEU"/>
          <w:color w:val="000000"/>
        </w:rPr>
        <w:softHyphen/>
        <w:t>mentów na podstawie informacji z podręcznika. Po upły</w:t>
      </w:r>
      <w:r w:rsidRPr="00546E5E">
        <w:rPr>
          <w:rFonts w:cs="CentSchbookEU"/>
          <w:color w:val="000000"/>
        </w:rPr>
        <w:softHyphen/>
        <w:t>wie ustalonego czasu (ok. 10 minut) nauczyciel, występu</w:t>
      </w:r>
      <w:r w:rsidRPr="00546E5E">
        <w:rPr>
          <w:rFonts w:cs="CentSchbookEU"/>
          <w:color w:val="000000"/>
        </w:rPr>
        <w:softHyphen/>
        <w:t>jący w roli moderatora, rozpoczyna debatę. W jej trakcie reprezentanci drużyn na przemian przedstawiają swoje propozycje. Po wyczerpaniu argumentów nauczyciel pod</w:t>
      </w:r>
      <w:r w:rsidRPr="00546E5E">
        <w:rPr>
          <w:rFonts w:cs="CentSchbookEU"/>
          <w:color w:val="000000"/>
        </w:rPr>
        <w:softHyphen/>
        <w:t xml:space="preserve">sumowuje wyniki debaty. </w:t>
      </w:r>
    </w:p>
    <w:p w:rsidR="00546E5E" w:rsidRPr="00546E5E" w:rsidRDefault="00546E5E" w:rsidP="00546E5E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46E5E">
        <w:rPr>
          <w:rFonts w:cs="Humanst521EU"/>
          <w:b/>
          <w:bCs/>
          <w:i/>
          <w:iCs/>
          <w:color w:val="000000"/>
        </w:rPr>
        <w:t xml:space="preserve">Zadanie domowe 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  <w:color w:val="000000"/>
        </w:rPr>
      </w:pPr>
      <w:r w:rsidRPr="00546E5E">
        <w:rPr>
          <w:rFonts w:cs="CentSchbookEU"/>
          <w:i/>
          <w:iCs/>
          <w:color w:val="000000"/>
        </w:rPr>
        <w:t>Wykonaj zadanie 5 ze s. 115 zeszytu ćwiczeń.</w:t>
      </w:r>
    </w:p>
    <w:p w:rsidR="00546E5E" w:rsidRPr="00546E5E" w:rsidRDefault="00546E5E" w:rsidP="00546E5E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46E5E">
        <w:rPr>
          <w:rFonts w:cs="Humanst521EU"/>
          <w:b/>
          <w:bCs/>
          <w:color w:val="000000"/>
        </w:rPr>
        <w:t xml:space="preserve">Materiały dla nauczyciela </w:t>
      </w:r>
    </w:p>
    <w:p w:rsidR="00546E5E" w:rsidRPr="00546E5E" w:rsidRDefault="00546E5E" w:rsidP="00546E5E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46E5E">
        <w:rPr>
          <w:rFonts w:cs="Humanst521EU"/>
          <w:b/>
          <w:bCs/>
          <w:i/>
          <w:iCs/>
          <w:color w:val="000000"/>
        </w:rPr>
        <w:t xml:space="preserve">Krótki opis metody – debata „za” i „przeciw” 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  <w:r w:rsidRPr="00546E5E">
        <w:rPr>
          <w:rFonts w:cs="CentSchbookEU"/>
          <w:color w:val="000000"/>
        </w:rPr>
        <w:t>Debata „za” i „przeciw” to metoda analizowania wska</w:t>
      </w:r>
      <w:r w:rsidRPr="00546E5E">
        <w:rPr>
          <w:rFonts w:cs="CentSchbookEU"/>
          <w:color w:val="000000"/>
        </w:rPr>
        <w:softHyphen/>
        <w:t>zanego problemu z różnych punktów widzenia. Polega na dyskusji między osobami, które reprezentują określone stanowiska. Wymaga od ucznia ustosunkowania się do danej kwestii oraz sformułowania odpowiednich argu</w:t>
      </w:r>
      <w:r w:rsidRPr="00546E5E">
        <w:rPr>
          <w:rFonts w:cs="CentSchbookEU"/>
          <w:color w:val="000000"/>
        </w:rPr>
        <w:softHyphen/>
        <w:t>mentów. Metoda ta uczy przede wszystkim twórczego myślenia, wyrażania własnych opinii oraz otwartości na poglądy innych osób. Dzięki niej uczniowie kształcą umiejętność wypowiadania się w sposób jasny i precyzyj</w:t>
      </w:r>
      <w:r w:rsidRPr="00546E5E">
        <w:rPr>
          <w:rFonts w:cs="CentSchbookEU"/>
          <w:color w:val="000000"/>
        </w:rPr>
        <w:softHyphen/>
        <w:t>ny oraz obrony swoich racji w czasie publicznych wystą</w:t>
      </w:r>
      <w:r w:rsidRPr="00546E5E">
        <w:rPr>
          <w:rFonts w:cs="CentSchbookEU"/>
          <w:color w:val="000000"/>
        </w:rPr>
        <w:softHyphen/>
        <w:t>pień.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</w:p>
    <w:p w:rsidR="00546E5E" w:rsidRPr="00546E5E" w:rsidRDefault="00546E5E" w:rsidP="00546E5E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546E5E">
        <w:rPr>
          <w:rFonts w:cs="Humanst521EU"/>
          <w:b/>
          <w:bCs/>
          <w:i/>
          <w:iCs/>
          <w:color w:val="000000"/>
        </w:rPr>
        <w:t>Przykładowe argumenty do debaty „za” i „przeciw”</w:t>
      </w:r>
    </w:p>
    <w:p w:rsidR="00546E5E" w:rsidRPr="00546E5E" w:rsidRDefault="00546E5E" w:rsidP="00546E5E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5"/>
        <w:gridCol w:w="4896"/>
      </w:tblGrid>
      <w:tr w:rsidR="00546E5E" w:rsidRPr="00546E5E" w:rsidTr="00546E5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791" w:type="dxa"/>
            <w:gridSpan w:val="2"/>
          </w:tcPr>
          <w:p w:rsidR="00546E5E" w:rsidRPr="00546E5E" w:rsidRDefault="00546E5E" w:rsidP="00546E5E">
            <w:pPr>
              <w:pStyle w:val="tabela"/>
              <w:jc w:val="center"/>
              <w:rPr>
                <w:b/>
              </w:rPr>
            </w:pPr>
            <w:r w:rsidRPr="00546E5E">
              <w:rPr>
                <w:b/>
              </w:rPr>
              <w:t>Globalizacja – szansa na rozwój czy zagrożenie dla świata?</w:t>
            </w:r>
          </w:p>
        </w:tc>
      </w:tr>
      <w:tr w:rsidR="00546E5E" w:rsidRPr="00546E5E" w:rsidTr="00546E5E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895" w:type="dxa"/>
          </w:tcPr>
          <w:p w:rsidR="00546E5E" w:rsidRPr="00546E5E" w:rsidRDefault="00546E5E" w:rsidP="00546E5E">
            <w:pPr>
              <w:pStyle w:val="tabela"/>
              <w:jc w:val="center"/>
              <w:rPr>
                <w:b/>
              </w:rPr>
            </w:pPr>
            <w:r w:rsidRPr="00546E5E">
              <w:rPr>
                <w:b/>
              </w:rPr>
              <w:t>Argumenty „za”</w:t>
            </w:r>
          </w:p>
        </w:tc>
        <w:tc>
          <w:tcPr>
            <w:tcW w:w="4895" w:type="dxa"/>
          </w:tcPr>
          <w:p w:rsidR="00546E5E" w:rsidRPr="00546E5E" w:rsidRDefault="00546E5E" w:rsidP="00546E5E">
            <w:pPr>
              <w:pStyle w:val="tabela"/>
              <w:jc w:val="center"/>
              <w:rPr>
                <w:b/>
              </w:rPr>
            </w:pPr>
            <w:r w:rsidRPr="00546E5E">
              <w:rPr>
                <w:b/>
              </w:rPr>
              <w:t>Argumenty „przeciw”</w:t>
            </w:r>
          </w:p>
        </w:tc>
      </w:tr>
      <w:tr w:rsidR="00546E5E" w:rsidRPr="00546E5E" w:rsidTr="00546E5E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4895" w:type="dxa"/>
          </w:tcPr>
          <w:p w:rsidR="00546E5E" w:rsidRPr="00546E5E" w:rsidRDefault="00546E5E" w:rsidP="00546E5E">
            <w:pPr>
              <w:pStyle w:val="tabela"/>
            </w:pP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rozwój międzynarodowego handlu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rozwój gospodarczy państw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postęp w dziedzinie komunikacji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większa łatwość migracji w celach zarobkowych i edukacyjnych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rozwój techniki i badań naukowych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rozwój kultury masowej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większa łatwość podróżowania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zmniejszenie skali skrajnego ubóstwa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bookmarkStart w:id="0" w:name="_GoBack"/>
            <w:r w:rsidRPr="00546E5E">
              <w:lastRenderedPageBreak/>
              <w:t xml:space="preserve">upowszechnienie demokracji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8"/>
              </w:numPr>
            </w:pPr>
            <w:r w:rsidRPr="00546E5E">
              <w:t xml:space="preserve">powstanie międzynarodowych organizacji </w:t>
            </w:r>
          </w:p>
          <w:bookmarkEnd w:id="0"/>
          <w:p w:rsidR="00546E5E" w:rsidRPr="00546E5E" w:rsidRDefault="00546E5E" w:rsidP="00546E5E">
            <w:pPr>
              <w:pStyle w:val="tabela"/>
            </w:pPr>
          </w:p>
        </w:tc>
        <w:tc>
          <w:tcPr>
            <w:tcW w:w="4895" w:type="dxa"/>
          </w:tcPr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amerykanizacja kultury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zanik lokalnych tradycji i obyczajów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rozwój międzynarodowych korporacji, wpływających na politykę i środowisko naturalne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wyzysk biednych krajów przez bogate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pogłębiające się nierówności społeczne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narastanie napięć społecznych i konfliktów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podatność rynków finansowych na kryzysy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lastRenderedPageBreak/>
              <w:t xml:space="preserve">przeludnienie miast </w:t>
            </w:r>
          </w:p>
          <w:p w:rsidR="00546E5E" w:rsidRPr="00546E5E" w:rsidRDefault="00546E5E" w:rsidP="00546E5E">
            <w:pPr>
              <w:pStyle w:val="tabela"/>
              <w:numPr>
                <w:ilvl w:val="0"/>
                <w:numId w:val="49"/>
              </w:numPr>
            </w:pPr>
            <w:r w:rsidRPr="00546E5E">
              <w:t xml:space="preserve">nadmierny napływ turystów do niektórych miejsc </w:t>
            </w:r>
          </w:p>
          <w:p w:rsidR="00546E5E" w:rsidRPr="00546E5E" w:rsidRDefault="00546E5E" w:rsidP="00546E5E">
            <w:pPr>
              <w:pStyle w:val="tabela"/>
            </w:pPr>
          </w:p>
        </w:tc>
      </w:tr>
    </w:tbl>
    <w:p w:rsidR="00546E5E" w:rsidRPr="00546E5E" w:rsidRDefault="00546E5E" w:rsidP="00546E5E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sectPr w:rsidR="00546E5E" w:rsidRPr="00546E5E" w:rsidSect="007471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278" w:rsidRDefault="00DE6278" w:rsidP="000D70B4">
      <w:pPr>
        <w:spacing w:after="0"/>
      </w:pPr>
      <w:r>
        <w:separator/>
      </w:r>
    </w:p>
  </w:endnote>
  <w:endnote w:type="continuationSeparator" w:id="0">
    <w:p w:rsidR="00DE6278" w:rsidRDefault="00DE6278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Dutch801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46E5E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46E5E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46E5E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46E5E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278" w:rsidRDefault="00DE6278" w:rsidP="000D70B4">
      <w:pPr>
        <w:spacing w:after="0"/>
      </w:pPr>
      <w:r>
        <w:separator/>
      </w:r>
    </w:p>
  </w:footnote>
  <w:footnote w:type="continuationSeparator" w:id="0">
    <w:p w:rsidR="00DE6278" w:rsidRDefault="00DE6278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E34959"/>
    <w:multiLevelType w:val="hybridMultilevel"/>
    <w:tmpl w:val="94CEE7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37F2C33"/>
    <w:multiLevelType w:val="hybridMultilevel"/>
    <w:tmpl w:val="F32B474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4DBBA01"/>
    <w:multiLevelType w:val="hybridMultilevel"/>
    <w:tmpl w:val="8402A5E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90A0712"/>
    <w:multiLevelType w:val="hybridMultilevel"/>
    <w:tmpl w:val="7199D20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60B01AC"/>
    <w:multiLevelType w:val="hybridMultilevel"/>
    <w:tmpl w:val="83F01D7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B950E92"/>
    <w:multiLevelType w:val="hybridMultilevel"/>
    <w:tmpl w:val="CBE9688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35609BC"/>
    <w:multiLevelType w:val="hybridMultilevel"/>
    <w:tmpl w:val="17903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1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4" w15:restartNumberingAfterBreak="0">
    <w:nsid w:val="230533AD"/>
    <w:multiLevelType w:val="hybridMultilevel"/>
    <w:tmpl w:val="5849F3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2FB44D0F"/>
    <w:multiLevelType w:val="hybridMultilevel"/>
    <w:tmpl w:val="04E051D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36CA0F64"/>
    <w:multiLevelType w:val="hybridMultilevel"/>
    <w:tmpl w:val="60540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32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4AF9041A"/>
    <w:multiLevelType w:val="hybridMultilevel"/>
    <w:tmpl w:val="2CB81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4F246837"/>
    <w:multiLevelType w:val="hybridMultilevel"/>
    <w:tmpl w:val="8264C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8DAED"/>
    <w:multiLevelType w:val="hybridMultilevel"/>
    <w:tmpl w:val="2BC00B0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0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1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7DEB63E6"/>
    <w:multiLevelType w:val="hybridMultilevel"/>
    <w:tmpl w:val="7112417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1"/>
  </w:num>
  <w:num w:numId="2">
    <w:abstractNumId w:val="21"/>
  </w:num>
  <w:num w:numId="3">
    <w:abstractNumId w:val="20"/>
  </w:num>
  <w:num w:numId="4">
    <w:abstractNumId w:val="40"/>
  </w:num>
  <w:num w:numId="5">
    <w:abstractNumId w:val="39"/>
  </w:num>
  <w:num w:numId="6">
    <w:abstractNumId w:val="23"/>
  </w:num>
  <w:num w:numId="7">
    <w:abstractNumId w:val="12"/>
  </w:num>
  <w:num w:numId="8">
    <w:abstractNumId w:val="44"/>
  </w:num>
  <w:num w:numId="9">
    <w:abstractNumId w:val="25"/>
  </w:num>
  <w:num w:numId="10">
    <w:abstractNumId w:val="46"/>
  </w:num>
  <w:num w:numId="11">
    <w:abstractNumId w:val="42"/>
  </w:num>
  <w:num w:numId="12">
    <w:abstractNumId w:val="5"/>
  </w:num>
  <w:num w:numId="13">
    <w:abstractNumId w:val="10"/>
  </w:num>
  <w:num w:numId="14">
    <w:abstractNumId w:val="48"/>
  </w:num>
  <w:num w:numId="15">
    <w:abstractNumId w:val="7"/>
  </w:num>
  <w:num w:numId="16">
    <w:abstractNumId w:val="29"/>
  </w:num>
  <w:num w:numId="17">
    <w:abstractNumId w:val="11"/>
  </w:num>
  <w:num w:numId="18">
    <w:abstractNumId w:val="18"/>
  </w:num>
  <w:num w:numId="19">
    <w:abstractNumId w:val="41"/>
  </w:num>
  <w:num w:numId="20">
    <w:abstractNumId w:val="2"/>
  </w:num>
  <w:num w:numId="21">
    <w:abstractNumId w:val="3"/>
  </w:num>
  <w:num w:numId="22">
    <w:abstractNumId w:val="26"/>
  </w:num>
  <w:num w:numId="23">
    <w:abstractNumId w:val="27"/>
  </w:num>
  <w:num w:numId="24">
    <w:abstractNumId w:val="15"/>
  </w:num>
  <w:num w:numId="25">
    <w:abstractNumId w:val="38"/>
  </w:num>
  <w:num w:numId="26">
    <w:abstractNumId w:val="45"/>
  </w:num>
  <w:num w:numId="27">
    <w:abstractNumId w:val="34"/>
  </w:num>
  <w:num w:numId="28">
    <w:abstractNumId w:val="16"/>
  </w:num>
  <w:num w:numId="29">
    <w:abstractNumId w:val="4"/>
  </w:num>
  <w:num w:numId="30">
    <w:abstractNumId w:val="35"/>
  </w:num>
  <w:num w:numId="31">
    <w:abstractNumId w:val="0"/>
  </w:num>
  <w:num w:numId="32">
    <w:abstractNumId w:val="13"/>
  </w:num>
  <w:num w:numId="33">
    <w:abstractNumId w:val="32"/>
  </w:num>
  <w:num w:numId="34">
    <w:abstractNumId w:val="43"/>
  </w:num>
  <w:num w:numId="35">
    <w:abstractNumId w:val="22"/>
  </w:num>
  <w:num w:numId="36">
    <w:abstractNumId w:val="24"/>
  </w:num>
  <w:num w:numId="37">
    <w:abstractNumId w:val="8"/>
  </w:num>
  <w:num w:numId="38">
    <w:abstractNumId w:val="9"/>
  </w:num>
  <w:num w:numId="39">
    <w:abstractNumId w:val="17"/>
  </w:num>
  <w:num w:numId="40">
    <w:abstractNumId w:val="6"/>
  </w:num>
  <w:num w:numId="41">
    <w:abstractNumId w:val="37"/>
  </w:num>
  <w:num w:numId="42">
    <w:abstractNumId w:val="1"/>
  </w:num>
  <w:num w:numId="43">
    <w:abstractNumId w:val="47"/>
  </w:num>
  <w:num w:numId="44">
    <w:abstractNumId w:val="28"/>
  </w:num>
  <w:num w:numId="45">
    <w:abstractNumId w:val="14"/>
  </w:num>
  <w:num w:numId="46">
    <w:abstractNumId w:val="30"/>
  </w:num>
  <w:num w:numId="47">
    <w:abstractNumId w:val="36"/>
  </w:num>
  <w:num w:numId="48">
    <w:abstractNumId w:val="19"/>
  </w:num>
  <w:num w:numId="49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46E5E"/>
    <w:rsid w:val="00555E29"/>
    <w:rsid w:val="00587F52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DE6278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546E5E"/>
    <w:pPr>
      <w:spacing w:line="181" w:lineRule="atLeast"/>
    </w:pPr>
    <w:rPr>
      <w:rFonts w:cstheme="minorBidi"/>
      <w:color w:val="auto"/>
    </w:rPr>
  </w:style>
  <w:style w:type="character" w:customStyle="1" w:styleId="A19">
    <w:name w:val="A19"/>
    <w:uiPriority w:val="99"/>
    <w:rsid w:val="00546E5E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21">
    <w:name w:val="Pa21"/>
    <w:basedOn w:val="Default"/>
    <w:next w:val="Default"/>
    <w:uiPriority w:val="99"/>
    <w:rsid w:val="00546E5E"/>
    <w:pPr>
      <w:spacing w:line="17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8F96-C768-4069-AB42-E6BE8DCB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795</Words>
  <Characters>5121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10</cp:revision>
  <cp:lastPrinted>2018-03-06T13:37:00Z</cp:lastPrinted>
  <dcterms:created xsi:type="dcterms:W3CDTF">2018-07-18T05:31:00Z</dcterms:created>
  <dcterms:modified xsi:type="dcterms:W3CDTF">2018-07-23T21:21:00Z</dcterms:modified>
</cp:coreProperties>
</file>