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REQUEST FOR PROPOSAL</w:t>
      </w:r>
    </w:p>
    <w:p>
      <w:pPr>
        <w:spacing w:after="120"/>
        <w:jc w:val="center"/>
      </w:pPr>
      <w:r>
        <w:rPr>
          <w:rFonts w:ascii="Arial" w:cs="Arial" w:eastAsia="Arial" w:hAnsi="Arial"/>
          <w:color w:val="2E75B6"/>
          <w:sz w:val="36"/>
          <w:szCs w:val="36"/>
        </w:rPr>
        <w:t xml:space="preserve">Enterprise CRM Software Implementation</w:t>
      </w:r>
    </w:p>
    <w:p>
      <w:pPr>
        <w:pBdr>
          <w:bottom w:val="single" w:color="2E75B6" w:sz="6" w:space="1"/>
        </w:pBdr>
        <w:spacing w:after="120"/>
      </w:pPr>
      <w:r>
        <w:t xml:space="preserve"/>
      </w:r>
    </w:p>
    <w:p>
      <w:pPr>
        <w:spacing w:after="120" w:before="480"/>
        <w:jc w:val="center"/>
      </w:pPr>
      <w:r>
        <w:rPr>
          <w:rFonts w:ascii="Arial" w:cs="Arial" w:eastAsia="Arial" w:hAnsi="Arial"/>
          <w:i/>
          <w:iCs/>
          <w:color w:val="666666"/>
          <w:sz w:val="22"/>
          <w:szCs w:val="22"/>
        </w:rPr>
        <w:t xml:space="preserve">Issued by:</w:t>
      </w:r>
    </w:p>
    <w:p>
      <w:pPr>
        <w:spacing w:after="120"/>
        <w:jc w:val="center"/>
      </w:pPr>
      <w:r>
        <w:rPr>
          <w:rFonts w:ascii="Arial" w:cs="Arial" w:eastAsia="Arial" w:hAnsi="Arial"/>
          <w:b/>
          <w:bCs/>
          <w:color w:val="1F3864"/>
          <w:sz w:val="32"/>
          <w:szCs w:val="32"/>
        </w:rPr>
        <w:t xml:space="preserve">GlobalTech Industries, Inc.</w:t>
      </w:r>
    </w:p>
    <w:p>
      <w:pPr>
        <w:spacing w:after="120"/>
        <w:jc w:val="center"/>
      </w:pPr>
      <w:r>
        <w:rPr>
          <w:rFonts w:ascii="Arial" w:cs="Arial" w:eastAsia="Arial" w:hAnsi="Arial"/>
          <w:color w:val="444444"/>
          <w:sz w:val="20"/>
          <w:szCs w:val="20"/>
        </w:rPr>
        <w:t xml:space="preserve">1200 Innovation Drive, Suite 3000  |  Chicago, IL 60601  |  USA</w:t>
      </w:r>
    </w:p>
    <w:p>
      <w:pPr>
        <w:spacing w:after="120"/>
      </w:pPr>
      <w:r>
        <w:t xml:space="preserve"/>
      </w:r>
    </w:p>
    <w:p>
      <w:pPr>
        <w:spacing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RFP Reference:</w:t>
            </w:r>
          </w:p>
        </w:tc>
        <w:tc>
          <w:tcPr>
            <w:tcW w:type="dxa" w:w="36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GTI-CRM-2026-001</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Issue Date:</w:t>
            </w:r>
          </w:p>
        </w:tc>
        <w:tc>
          <w:tcPr>
            <w:tcW w:type="dxa" w:w="36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March 3, 2026</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Proposals Due:</w:t>
            </w:r>
          </w:p>
        </w:tc>
        <w:tc>
          <w:tcPr>
            <w:tcW w:type="dxa" w:w="36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April 18, 2026 at 5:00 PM CT</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Primary Contact:</w:t>
            </w:r>
          </w:p>
        </w:tc>
        <w:tc>
          <w:tcPr>
            <w:tcW w:type="dxa" w:w="36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Ms. Diana Hartwell, VP IT Procurement</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36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crm-rfp@globaltech-industries.com</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r>
              <w:rPr>
                <w:rFonts w:ascii="Arial" w:cs="Arial" w:eastAsia="Arial" w:hAnsi="Arial"/>
                <w:b/>
                <w:bCs/>
                <w:sz w:val="20"/>
                <w:szCs w:val="20"/>
              </w:rPr>
              <w:t xml:space="preserve">Budget Range:</w:t>
            </w:r>
          </w:p>
        </w:tc>
        <w:tc>
          <w:tcPr>
            <w:tcW w:type="dxa" w:w="3600"/>
            <w:tcBorders>
              <w:top w:val="single" w:color="D9D9D9" w:sz="1"/>
              <w:left w:val="single" w:color="D9D9D9" w:sz="1"/>
              <w:bottom w:val="single" w:color="D9D9D9" w:sz="1"/>
              <w:right w:val="single" w:color="D9D9D9" w:sz="1"/>
            </w:tcBorders>
            <w:tcMar>
              <w:top w:type="dxa" w:w="80"/>
              <w:left w:type="dxa" w:w="120"/>
              <w:bottom w:type="dxa" w:w="80"/>
              <w:right w:type="dxa" w:w="120"/>
            </w:tcMar>
          </w:tcPr>
          <w:p>
            <w:r>
              <w:rPr>
                <w:rFonts w:ascii="Arial" w:cs="Arial" w:eastAsia="Arial" w:hAnsi="Arial"/>
                <w:sz w:val="20"/>
                <w:szCs w:val="20"/>
              </w:rPr>
              <w:t xml:space="preserve">$5,000,000 – $8,000,000 (Implementation)</w:t>
            </w:r>
          </w:p>
        </w:tc>
      </w:tr>
    </w:tbl>
    <w:p>
      <w:pPr>
        <w:spacing w:after="120"/>
      </w:pPr>
      <w:r>
        <w:t xml:space="preserve"/>
      </w:r>
    </w:p>
    <w:p>
      <w:pPr>
        <w:spacing w:after="120"/>
      </w:pPr>
      <w:r>
        <w:t xml:space="preserve"/>
      </w:r>
    </w:p>
    <w:p>
      <w:pPr>
        <w:spacing w:after="60"/>
        <w:jc w:val="center"/>
      </w:pPr>
      <w:r>
        <w:rPr>
          <w:rFonts w:ascii="Arial" w:cs="Arial" w:eastAsia="Arial" w:hAnsi="Arial"/>
          <w:b/>
          <w:bCs/>
          <w:color w:val="CC0000"/>
          <w:sz w:val="20"/>
          <w:szCs w:val="20"/>
        </w:rPr>
        <w:t xml:space="preserve">CONFIDENTIAL</w:t>
      </w:r>
    </w:p>
    <w:p>
      <w:pPr>
        <w:jc w:val="center"/>
      </w:pPr>
      <w:r>
        <w:rPr>
          <w:rFonts w:ascii="Arial" w:cs="Arial" w:eastAsia="Arial" w:hAnsi="Arial"/>
          <w:i/>
          <w:iCs/>
          <w:color w:val="666666"/>
          <w:sz w:val="16"/>
          <w:szCs w:val="16"/>
        </w:rPr>
        <w:t xml:space="preserve">This document contains proprietary information of GlobalTech Industries, Inc. and is intended solely for the use of the named recipient(s). Unauthorized disclosure is strictly prohibited.</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b/>
          <w:bCs/>
          <w:color w:val="1F3864"/>
          <w:sz w:val="32"/>
          <w:szCs w:val="32"/>
        </w:rPr>
        <w:t xml:space="preserve">1. Executive Summary &amp; Background</w:t>
      </w:r>
    </w:p>
    <w:p>
      <w:pPr>
        <w:pStyle w:val="Heading2"/>
      </w:pPr>
      <w:r>
        <w:rPr>
          <w:rFonts w:ascii="Arial" w:cs="Arial" w:eastAsia="Arial" w:hAnsi="Arial"/>
          <w:b/>
          <w:bCs/>
          <w:color w:val="2E75B6"/>
          <w:sz w:val="26"/>
          <w:szCs w:val="26"/>
        </w:rPr>
        <w:t xml:space="preserve">1.1 Company Overview</w:t>
      </w:r>
    </w:p>
    <w:p>
      <w:pPr>
        <w:spacing w:after="120" w:before="60"/>
        <w:jc w:val="left"/>
      </w:pPr>
      <w:r>
        <w:rPr>
          <w:rFonts w:ascii="Arial" w:cs="Arial" w:eastAsia="Arial" w:hAnsi="Arial"/>
          <w:b w:val="false"/>
          <w:bCs w:val="false"/>
          <w:i w:val="false"/>
          <w:iCs w:val="false"/>
          <w:sz w:val="20"/>
          <w:szCs w:val="20"/>
        </w:rPr>
        <w:t xml:space="preserve">GlobalTech Industries, Inc. (GTI) is a leading multinational manufacturing conglomerate headquartered in Chicago, Illinois. Founded in 1978, GTI designs and manufactures precision industrial components, advanced materials, and integrated automation systems serving the aerospace, automotive, energy, and semiconductor sectors worldwide.</w:t>
      </w:r>
    </w:p>
    <w:p>
      <w:pPr>
        <w:spacing w:after="120" w:before="60"/>
        <w:jc w:val="left"/>
      </w:pPr>
      <w:r>
        <w:rPr>
          <w:rFonts w:ascii="Arial" w:cs="Arial" w:eastAsia="Arial" w:hAnsi="Arial"/>
          <w:b w:val="false"/>
          <w:bCs w:val="false"/>
          <w:i w:val="false"/>
          <w:iCs w:val="false"/>
          <w:sz w:val="20"/>
          <w:szCs w:val="20"/>
        </w:rPr>
        <w:t xml:space="preserve">GTI employs approximately 15,000 professionals across 25 countries, with major regional hubs in North America (Chicago, IL; Houston, TX; Toronto, Canada), Europe (Frankfurt, Germany; Amsterdam, Netherlands; Madrid, Spain; Warsaw, Poland), Asia-Pacific (Shanghai, China; Tokyo, Japan; Singapore; Sydney, Australia), and emerging markets (São Paulo, Brazil; Mumbai, India; Mexico City, Mexico). Annual revenue for fiscal year 2025 was $4.2 billion USD.</w:t>
      </w:r>
    </w:p>
    <w:p>
      <w:pPr>
        <w:pStyle w:val="Heading2"/>
      </w:pPr>
      <w:r>
        <w:rPr>
          <w:rFonts w:ascii="Arial" w:cs="Arial" w:eastAsia="Arial" w:hAnsi="Arial"/>
          <w:b/>
          <w:bCs/>
          <w:color w:val="2E75B6"/>
          <w:sz w:val="26"/>
          <w:szCs w:val="26"/>
        </w:rPr>
        <w:t xml:space="preserve">1.2 Current State &amp; Pain Points</w:t>
      </w:r>
    </w:p>
    <w:p>
      <w:pPr>
        <w:spacing w:after="120" w:before="60"/>
        <w:jc w:val="left"/>
      </w:pPr>
      <w:r>
        <w:rPr>
          <w:rFonts w:ascii="Arial" w:cs="Arial" w:eastAsia="Arial" w:hAnsi="Arial"/>
          <w:b w:val="false"/>
          <w:bCs w:val="false"/>
          <w:i w:val="false"/>
          <w:iCs w:val="false"/>
          <w:sz w:val="20"/>
          <w:szCs w:val="20"/>
        </w:rPr>
        <w:t xml:space="preserve">GTI's current customer relationship management environment is fragmented across three separate platforms acquired through organic growth and strategic acquisitions:</w:t>
      </w:r>
    </w:p>
    <w:p>
      <w:pPr>
        <w:pStyle w:val="ListParagraph"/>
        <w:numPr>
          <w:ilvl w:val="0"/>
          <w:numId w:val="2"/>
        </w:numPr>
      </w:pPr>
      <w:r>
        <w:rPr>
          <w:rFonts w:ascii="Arial" w:cs="Arial" w:eastAsia="Arial" w:hAnsi="Arial"/>
          <w:sz w:val="20"/>
          <w:szCs w:val="20"/>
        </w:rPr>
        <w:t xml:space="preserve">Salesforce Sales Cloud (North America) – Originally deployed in 2014 for the legacy GTI domestic sales force; heavily customized and now technically outdated.</w:t>
      </w:r>
    </w:p>
    <w:p>
      <w:pPr>
        <w:pStyle w:val="ListParagraph"/>
        <w:numPr>
          <w:ilvl w:val="0"/>
          <w:numId w:val="2"/>
        </w:numPr>
      </w:pPr>
      <w:r>
        <w:rPr>
          <w:rFonts w:ascii="Arial" w:cs="Arial" w:eastAsia="Arial" w:hAnsi="Arial"/>
          <w:sz w:val="20"/>
          <w:szCs w:val="20"/>
        </w:rPr>
        <w:t xml:space="preserve">Microsoft Dynamics 365 (EMEA) – Deployed in 2018 following the acquisition of Bauer Industrial GmbH; operates as a standalone instance with no integration to the North America environment.</w:t>
      </w:r>
    </w:p>
    <w:p>
      <w:pPr>
        <w:pStyle w:val="ListParagraph"/>
        <w:numPr>
          <w:ilvl w:val="0"/>
          <w:numId w:val="2"/>
        </w:numPr>
      </w:pPr>
      <w:r>
        <w:rPr>
          <w:rFonts w:ascii="Arial" w:cs="Arial" w:eastAsia="Arial" w:hAnsi="Arial"/>
          <w:sz w:val="20"/>
          <w:szCs w:val="20"/>
        </w:rPr>
        <w:t xml:space="preserve">Custom Legacy CRM (APAC) – A bespoke Oracle-based system built in 2011 by GTI's Asia-Pacific IT team; lacks modern APIs, has no mobile support, and is supported by a single internal developer nearing retirement.</w:t>
      </w:r>
    </w:p>
    <w:p>
      <w:pPr>
        <w:spacing w:after="120"/>
      </w:pPr>
      <w:r>
        <w:t xml:space="preserve"/>
      </w:r>
    </w:p>
    <w:p>
      <w:pPr>
        <w:spacing w:after="120" w:before="60"/>
        <w:jc w:val="left"/>
      </w:pPr>
      <w:r>
        <w:rPr>
          <w:rFonts w:ascii="Arial" w:cs="Arial" w:eastAsia="Arial" w:hAnsi="Arial"/>
          <w:b/>
          <w:bCs/>
          <w:i w:val="false"/>
          <w:iCs w:val="false"/>
          <w:sz w:val="20"/>
          <w:szCs w:val="20"/>
        </w:rPr>
        <w:t xml:space="preserve">These disconnected systems create significant operational challenges:</w:t>
      </w:r>
    </w:p>
    <w:p>
      <w:pPr>
        <w:pStyle w:val="ListParagraph"/>
        <w:numPr>
          <w:ilvl w:val="0"/>
          <w:numId w:val="2"/>
        </w:numPr>
      </w:pPr>
      <w:r>
        <w:rPr>
          <w:rFonts w:ascii="Arial" w:cs="Arial" w:eastAsia="Arial" w:hAnsi="Arial"/>
          <w:sz w:val="20"/>
          <w:szCs w:val="20"/>
        </w:rPr>
        <w:t xml:space="preserve">360-Degree Customer Visibility Gap: Sales representatives cannot view complete customer interaction histories across regions, leading to duplicated outreach, missed cross-sell opportunities, and customer dissatisfaction.</w:t>
      </w:r>
    </w:p>
    <w:p>
      <w:pPr>
        <w:pStyle w:val="ListParagraph"/>
        <w:numPr>
          <w:ilvl w:val="0"/>
          <w:numId w:val="2"/>
        </w:numPr>
      </w:pPr>
      <w:r>
        <w:rPr>
          <w:rFonts w:ascii="Arial" w:cs="Arial" w:eastAsia="Arial" w:hAnsi="Arial"/>
          <w:sz w:val="20"/>
          <w:szCs w:val="20"/>
        </w:rPr>
        <w:t xml:space="preserve">Data Inconsistency: Customer records, account hierarchies, and contact information are maintained independently in each system, resulting in duplicate records estimated at 23% of the total customer database.</w:t>
      </w:r>
    </w:p>
    <w:p>
      <w:pPr>
        <w:pStyle w:val="ListParagraph"/>
        <w:numPr>
          <w:ilvl w:val="0"/>
          <w:numId w:val="2"/>
        </w:numPr>
      </w:pPr>
      <w:r>
        <w:rPr>
          <w:rFonts w:ascii="Arial" w:cs="Arial" w:eastAsia="Arial" w:hAnsi="Arial"/>
          <w:sz w:val="20"/>
          <w:szCs w:val="20"/>
        </w:rPr>
        <w:t xml:space="preserve">Reporting Limitations: Generating a consolidated global sales pipeline report requires manual exports from three systems and multi-hour reconciliation by the Revenue Operations team every Monday morning.</w:t>
      </w:r>
    </w:p>
    <w:p>
      <w:pPr>
        <w:pStyle w:val="ListParagraph"/>
        <w:numPr>
          <w:ilvl w:val="0"/>
          <w:numId w:val="2"/>
        </w:numPr>
      </w:pPr>
      <w:r>
        <w:rPr>
          <w:rFonts w:ascii="Arial" w:cs="Arial" w:eastAsia="Arial" w:hAnsi="Arial"/>
          <w:sz w:val="20"/>
          <w:szCs w:val="20"/>
        </w:rPr>
        <w:t xml:space="preserve">Mobility Deficiency: Field sales representatives in APAC have no mobile access to the legacy CRM, relying on paper-based processes and email for customer updates while traveling.</w:t>
      </w:r>
    </w:p>
    <w:p>
      <w:pPr>
        <w:pStyle w:val="ListParagraph"/>
        <w:numPr>
          <w:ilvl w:val="0"/>
          <w:numId w:val="2"/>
        </w:numPr>
      </w:pPr>
      <w:r>
        <w:rPr>
          <w:rFonts w:ascii="Arial" w:cs="Arial" w:eastAsia="Arial" w:hAnsi="Arial"/>
          <w:sz w:val="20"/>
          <w:szCs w:val="20"/>
        </w:rPr>
        <w:t xml:space="preserve">Integration Failures: The current ERP system (SAP S/4HANA) connects only to the North America Salesforce instance; EMEA and APAC cannot access real-time inventory, order status, or pricing.</w:t>
      </w:r>
    </w:p>
    <w:p>
      <w:pPr>
        <w:pStyle w:val="ListParagraph"/>
        <w:numPr>
          <w:ilvl w:val="0"/>
          <w:numId w:val="2"/>
        </w:numPr>
      </w:pPr>
      <w:r>
        <w:rPr>
          <w:rFonts w:ascii="Arial" w:cs="Arial" w:eastAsia="Arial" w:hAnsi="Arial"/>
          <w:sz w:val="20"/>
          <w:szCs w:val="20"/>
        </w:rPr>
        <w:t xml:space="preserve">Compliance Risk: The APAC legacy system has not undergone a security audit since 2019 and does not meet current GDPR or SOC 2 standards.</w:t>
      </w:r>
    </w:p>
    <w:p>
      <w:pPr>
        <w:pStyle w:val="Heading2"/>
      </w:pPr>
      <w:r>
        <w:rPr>
          <w:rFonts w:ascii="Arial" w:cs="Arial" w:eastAsia="Arial" w:hAnsi="Arial"/>
          <w:b/>
          <w:bCs/>
          <w:color w:val="2E75B6"/>
          <w:sz w:val="26"/>
          <w:szCs w:val="26"/>
        </w:rPr>
        <w:t xml:space="preserve">1.3 Strategic Business Drivers</w:t>
      </w:r>
    </w:p>
    <w:p>
      <w:pPr>
        <w:spacing w:after="120" w:before="60"/>
        <w:jc w:val="left"/>
      </w:pPr>
      <w:r>
        <w:rPr>
          <w:rFonts w:ascii="Arial" w:cs="Arial" w:eastAsia="Arial" w:hAnsi="Arial"/>
          <w:b w:val="false"/>
          <w:bCs w:val="false"/>
          <w:i w:val="false"/>
          <w:iCs w:val="false"/>
          <w:sz w:val="20"/>
          <w:szCs w:val="20"/>
        </w:rPr>
        <w:t xml:space="preserve">The CRM Transformation Initiative is a Board-approved, strategic priority for GTI's 2026–2028 Digital Transformation Roadmap. The following drivers underpin the urgency of this initiative:</w:t>
      </w:r>
    </w:p>
    <w:p>
      <w:pPr>
        <w:pStyle w:val="ListParagraph"/>
        <w:numPr>
          <w:ilvl w:val="0"/>
          <w:numId w:val="2"/>
        </w:numPr>
      </w:pPr>
      <w:r>
        <w:rPr>
          <w:rFonts w:ascii="Arial" w:cs="Arial" w:eastAsia="Arial" w:hAnsi="Arial"/>
          <w:sz w:val="20"/>
          <w:szCs w:val="20"/>
        </w:rPr>
        <w:t xml:space="preserve">Revenue Growth Target: GTI's executive team has committed to growing annual revenue to $6.0B by 2029. Achieving this target requires improving win rates, shortening sales cycles, and enabling systematic cross-sell and upsell motions that are impossible with fragmented CRM data.</w:t>
      </w:r>
    </w:p>
    <w:p>
      <w:pPr>
        <w:pStyle w:val="ListParagraph"/>
        <w:numPr>
          <w:ilvl w:val="0"/>
          <w:numId w:val="2"/>
        </w:numPr>
      </w:pPr>
      <w:r>
        <w:rPr>
          <w:rFonts w:ascii="Arial" w:cs="Arial" w:eastAsia="Arial" w:hAnsi="Arial"/>
          <w:sz w:val="20"/>
          <w:szCs w:val="20"/>
        </w:rPr>
        <w:t xml:space="preserve">Customer Experience Excellence: GTI's annual Voice-of-Customer survey (n=1,200 respondents) rated 'consistency of account management experience' at 6.1/10, a significant gap versus the industry benchmark of 8.2/10.</w:t>
      </w:r>
    </w:p>
    <w:p>
      <w:pPr>
        <w:pStyle w:val="ListParagraph"/>
        <w:numPr>
          <w:ilvl w:val="0"/>
          <w:numId w:val="2"/>
        </w:numPr>
      </w:pPr>
      <w:r>
        <w:rPr>
          <w:rFonts w:ascii="Arial" w:cs="Arial" w:eastAsia="Arial" w:hAnsi="Arial"/>
          <w:sz w:val="20"/>
          <w:szCs w:val="20"/>
        </w:rPr>
        <w:t xml:space="preserve">Operational Efficiency: Revenue Operations currently allocates 40% of its capacity to data reconciliation and manual reporting. A unified platform is expected to reclaim this capacity for strategic analysis and business partnering.</w:t>
      </w:r>
    </w:p>
    <w:p>
      <w:pPr>
        <w:pStyle w:val="ListParagraph"/>
        <w:numPr>
          <w:ilvl w:val="0"/>
          <w:numId w:val="2"/>
        </w:numPr>
      </w:pPr>
      <w:r>
        <w:rPr>
          <w:rFonts w:ascii="Arial" w:cs="Arial" w:eastAsia="Arial" w:hAnsi="Arial"/>
          <w:sz w:val="20"/>
          <w:szCs w:val="20"/>
        </w:rPr>
        <w:t xml:space="preserve">Regulatory Compliance: Expanding operations in the European Union require full GDPR compliance across all customer data systems by Q3 2026.</w:t>
      </w:r>
    </w:p>
    <w:p>
      <w:pPr>
        <w:pStyle w:val="ListParagraph"/>
        <w:numPr>
          <w:ilvl w:val="0"/>
          <w:numId w:val="2"/>
        </w:numPr>
      </w:pPr>
      <w:r>
        <w:rPr>
          <w:rFonts w:ascii="Arial" w:cs="Arial" w:eastAsia="Arial" w:hAnsi="Arial"/>
          <w:sz w:val="20"/>
          <w:szCs w:val="20"/>
        </w:rPr>
        <w:t xml:space="preserve">Talent Retention: A 2025 employee satisfaction survey cited 'poor tools and technology' as the #2 reason for voluntary attrition among the sales force (18% annual attrition vs. 11% industry average).</w:t>
      </w:r>
    </w:p>
    <w:p>
      <w:pPr>
        <w:pStyle w:val="Heading2"/>
      </w:pPr>
      <w:r>
        <w:rPr>
          <w:rFonts w:ascii="Arial" w:cs="Arial" w:eastAsia="Arial" w:hAnsi="Arial"/>
          <w:b/>
          <w:bCs/>
          <w:color w:val="2E75B6"/>
          <w:sz w:val="26"/>
          <w:szCs w:val="26"/>
        </w:rPr>
        <w:t xml:space="preserve">1.4 Project Timeline &amp; Budget</w:t>
      </w:r>
    </w:p>
    <w:p>
      <w:pPr>
        <w:spacing w:after="120" w:before="60"/>
        <w:jc w:val="left"/>
      </w:pPr>
      <w:r>
        <w:rPr>
          <w:rFonts w:ascii="Arial" w:cs="Arial" w:eastAsia="Arial" w:hAnsi="Arial"/>
          <w:b w:val="false"/>
          <w:bCs w:val="false"/>
          <w:i w:val="false"/>
          <w:iCs w:val="false"/>
          <w:sz w:val="20"/>
          <w:szCs w:val="20"/>
        </w:rPr>
        <w:t xml:space="preserve">GTI seeks to execute this initiative with discipline and speed. The high-level timeline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Milestone</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Date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RFP Issued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March 3, 2026</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Vendor Q&amp;A Deadline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March 28,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Written questions only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Proposals Due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April 18, 2026</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5:00 PM CT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Shortlist Notification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May 9,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Top 3 vendors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Vendor Presentations / Demo</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May 19–30, 2026</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2-day on-site sessions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Final Selection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June 13,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Contract Negotiation &amp; Execution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June–July 2026</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Target: signed by July 31, 2026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Project Kickoff</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August 10, 2026</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Phase 1 Go-Live (N. America)</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February 28, 2027</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~6 months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Phase 2 Go-Live (EMEA)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June 30, 2027</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~4 months post Phase 1</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Phase 3 Go-Live (APAC)</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November 30, 2027</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~5 months post Phase 2</w:t>
            </w:r>
          </w:p>
        </w:tc>
      </w:tr>
    </w:tbl>
    <w:p>
      <w:pPr>
        <w:spacing w:after="120"/>
      </w:pPr>
      <w:r>
        <w:t xml:space="preserve"/>
      </w:r>
    </w:p>
    <w:p>
      <w:pPr>
        <w:spacing w:after="120" w:before="60"/>
        <w:jc w:val="left"/>
      </w:pPr>
      <w:r>
        <w:rPr>
          <w:rFonts w:ascii="Arial" w:cs="Arial" w:eastAsia="Arial" w:hAnsi="Arial"/>
          <w:b w:val="false"/>
          <w:bCs w:val="false"/>
          <w:i w:val="false"/>
          <w:iCs w:val="false"/>
          <w:sz w:val="20"/>
          <w:szCs w:val="20"/>
        </w:rPr>
        <w:t xml:space="preserve">The approved budget for implementation services (excluding software licensing) is $5,000,000 to $8,000,000 USD. Annual software licensing costs (SaaS subscription) are expected to be evaluated separately and are not included in the implementation budget ceiling.</w:t>
      </w:r>
    </w:p>
    <w:p>
      <w:pPr>
        <w:pStyle w:val="Heading1"/>
        <w:pageBreakBefore/>
      </w:pPr>
      <w:r>
        <w:rPr>
          <w:rFonts w:ascii="Arial" w:cs="Arial" w:eastAsia="Arial" w:hAnsi="Arial"/>
          <w:b/>
          <w:bCs/>
          <w:color w:val="1F3864"/>
          <w:sz w:val="32"/>
          <w:szCs w:val="32"/>
        </w:rPr>
        <w:t xml:space="preserve">2. Project Scope &amp; Objectives</w:t>
      </w:r>
    </w:p>
    <w:p>
      <w:pPr>
        <w:pStyle w:val="Heading2"/>
      </w:pPr>
      <w:r>
        <w:rPr>
          <w:rFonts w:ascii="Arial" w:cs="Arial" w:eastAsia="Arial" w:hAnsi="Arial"/>
          <w:b/>
          <w:bCs/>
          <w:color w:val="2E75B6"/>
          <w:sz w:val="26"/>
          <w:szCs w:val="26"/>
        </w:rPr>
        <w:t xml:space="preserve">2.1 Business Objectives</w:t>
      </w:r>
    </w:p>
    <w:p>
      <w:pPr>
        <w:spacing w:after="120" w:before="60"/>
        <w:jc w:val="left"/>
      </w:pPr>
      <w:r>
        <w:rPr>
          <w:rFonts w:ascii="Arial" w:cs="Arial" w:eastAsia="Arial" w:hAnsi="Arial"/>
          <w:b w:val="false"/>
          <w:bCs w:val="false"/>
          <w:i w:val="false"/>
          <w:iCs w:val="false"/>
          <w:sz w:val="20"/>
          <w:szCs w:val="20"/>
        </w:rPr>
        <w:t xml:space="preserve">The following measurable business outcomes are the primary success criteria for this initiative:</w:t>
      </w:r>
    </w:p>
    <w:p>
      <w:pPr>
        <w:pStyle w:val="ListParagraph"/>
        <w:numPr>
          <w:ilvl w:val="0"/>
          <w:numId w:val="2"/>
        </w:numPr>
      </w:pPr>
      <w:r>
        <w:rPr>
          <w:rFonts w:ascii="Arial" w:cs="Arial" w:eastAsia="Arial" w:hAnsi="Arial"/>
          <w:sz w:val="20"/>
          <w:szCs w:val="20"/>
        </w:rPr>
        <w:t xml:space="preserve">Sales Efficiency: Reduce average sales cycle length by 20% within 12 months of full deployment through improved pipeline visibility, automated task management, and AI-assisted next-best-action recommendations.</w:t>
      </w:r>
    </w:p>
    <w:p>
      <w:pPr>
        <w:pStyle w:val="ListParagraph"/>
        <w:numPr>
          <w:ilvl w:val="0"/>
          <w:numId w:val="2"/>
        </w:numPr>
      </w:pPr>
      <w:r>
        <w:rPr>
          <w:rFonts w:ascii="Arial" w:cs="Arial" w:eastAsia="Arial" w:hAnsi="Arial"/>
          <w:sz w:val="20"/>
          <w:szCs w:val="20"/>
        </w:rPr>
        <w:t xml:space="preserve">Customer Retention: Increase net revenue retention rate from 88% to 95% by year-end 2028 through proactive customer health scoring and coordinated account management.</w:t>
      </w:r>
    </w:p>
    <w:p>
      <w:pPr>
        <w:pStyle w:val="ListParagraph"/>
        <w:numPr>
          <w:ilvl w:val="0"/>
          <w:numId w:val="2"/>
        </w:numPr>
      </w:pPr>
      <w:r>
        <w:rPr>
          <w:rFonts w:ascii="Arial" w:cs="Arial" w:eastAsia="Arial" w:hAnsi="Arial"/>
          <w:sz w:val="20"/>
          <w:szCs w:val="20"/>
        </w:rPr>
        <w:t xml:space="preserve">Data Unification: Achieve a single, deduplicated global customer database with &gt;99% record accuracy within 90 days of Phase 3 go-live.</w:t>
      </w:r>
    </w:p>
    <w:p>
      <w:pPr>
        <w:pStyle w:val="ListParagraph"/>
        <w:numPr>
          <w:ilvl w:val="0"/>
          <w:numId w:val="2"/>
        </w:numPr>
      </w:pPr>
      <w:r>
        <w:rPr>
          <w:rFonts w:ascii="Arial" w:cs="Arial" w:eastAsia="Arial" w:hAnsi="Arial"/>
          <w:sz w:val="20"/>
          <w:szCs w:val="20"/>
        </w:rPr>
        <w:t xml:space="preserve">Reporting Speed: Reduce global pipeline report generation time from 4+ hours (manual) to under 5 minutes (automated) by end of Phase 1.</w:t>
      </w:r>
    </w:p>
    <w:p>
      <w:pPr>
        <w:pStyle w:val="ListParagraph"/>
        <w:numPr>
          <w:ilvl w:val="0"/>
          <w:numId w:val="2"/>
        </w:numPr>
      </w:pPr>
      <w:r>
        <w:rPr>
          <w:rFonts w:ascii="Arial" w:cs="Arial" w:eastAsia="Arial" w:hAnsi="Arial"/>
          <w:sz w:val="20"/>
          <w:szCs w:val="20"/>
        </w:rPr>
        <w:t xml:space="preserve">User Adoption: Achieve &gt;85% weekly active user rate across all licensed users within 6 months of each regional go-live.</w:t>
      </w:r>
    </w:p>
    <w:p>
      <w:pPr>
        <w:pStyle w:val="ListParagraph"/>
        <w:numPr>
          <w:ilvl w:val="0"/>
          <w:numId w:val="2"/>
        </w:numPr>
      </w:pPr>
      <w:r>
        <w:rPr>
          <w:rFonts w:ascii="Arial" w:cs="Arial" w:eastAsia="Arial" w:hAnsi="Arial"/>
          <w:sz w:val="20"/>
          <w:szCs w:val="20"/>
        </w:rPr>
        <w:t xml:space="preserve">Revenue Attribution: Enable end-to-end attribution of marketing spend to closed revenue within the unified CRM platform.</w:t>
      </w:r>
    </w:p>
    <w:p>
      <w:pPr>
        <w:pStyle w:val="Heading2"/>
      </w:pPr>
      <w:r>
        <w:rPr>
          <w:rFonts w:ascii="Arial" w:cs="Arial" w:eastAsia="Arial" w:hAnsi="Arial"/>
          <w:b/>
          <w:bCs/>
          <w:color w:val="2E75B6"/>
          <w:sz w:val="26"/>
          <w:szCs w:val="26"/>
        </w:rPr>
        <w:t xml:space="preserve">2.2 User Base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 Group</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Region</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Use Cases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Field Sales Representatives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2,200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Global</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Opportunity management, account planning, mobile access, quote generation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Inside Sales / SDRs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 America, EMEA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Lead management, cadence execution, email sequencing, call logging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Sales Managers &amp; Directors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320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Global</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Pipeline review, forecast management, team performance dashboards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Marketing Users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 America, EMEA, APAC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Campaign management, lead scoring, content performance, attribution reporting</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Customer Service Agents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Global (24/7 coverage)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Case management, SLA tracking, knowledge base, customer portal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Revenue Operations Analysts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 America, EMEA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Advanced reporting, data quality management, process configuration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IT Administrators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 America (centralized)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System administration, integration monitoring, security management</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 LICENSED USERS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3,980</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t xml:space="preserve"/>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t xml:space="preserve"/>
            </w:r>
          </w:p>
        </w:tc>
      </w:tr>
    </w:tbl>
    <w:p>
      <w:pPr>
        <w:pStyle w:val="Heading2"/>
      </w:pPr>
      <w:r>
        <w:rPr>
          <w:rFonts w:ascii="Arial" w:cs="Arial" w:eastAsia="Arial" w:hAnsi="Arial"/>
          <w:b/>
          <w:bCs/>
          <w:color w:val="2E75B6"/>
          <w:sz w:val="26"/>
          <w:szCs w:val="26"/>
        </w:rPr>
        <w:t xml:space="preserve">2.3 Geographic &amp; Language Requirements</w:t>
      </w:r>
    </w:p>
    <w:p>
      <w:pPr>
        <w:spacing w:after="120" w:before="60"/>
        <w:jc w:val="left"/>
      </w:pPr>
      <w:r>
        <w:rPr>
          <w:rFonts w:ascii="Arial" w:cs="Arial" w:eastAsia="Arial" w:hAnsi="Arial"/>
          <w:b w:val="false"/>
          <w:bCs w:val="false"/>
          <w:i w:val="false"/>
          <w:iCs w:val="false"/>
          <w:sz w:val="20"/>
          <w:szCs w:val="20"/>
        </w:rPr>
        <w:t xml:space="preserve">The selected CRM platform must support GTI's global operating footprint from day one, with specific requirements for:</w:t>
      </w:r>
    </w:p>
    <w:p>
      <w:pPr>
        <w:pStyle w:val="ListParagraph"/>
        <w:numPr>
          <w:ilvl w:val="0"/>
          <w:numId w:val="2"/>
        </w:numPr>
      </w:pPr>
      <w:r>
        <w:rPr>
          <w:rFonts w:ascii="Arial" w:cs="Arial" w:eastAsia="Arial" w:hAnsi="Arial"/>
          <w:sz w:val="20"/>
          <w:szCs w:val="20"/>
        </w:rPr>
        <w:t xml:space="preserve">Multi-Language UI: The platform must natively support English, Spanish, German, Mandarin (Simplified Chinese), and Japanese. All five languages must be available for the full end-user interface, not just data entry fields.</w:t>
      </w:r>
    </w:p>
    <w:p>
      <w:pPr>
        <w:pStyle w:val="ListParagraph"/>
        <w:numPr>
          <w:ilvl w:val="0"/>
          <w:numId w:val="2"/>
        </w:numPr>
      </w:pPr>
      <w:r>
        <w:rPr>
          <w:rFonts w:ascii="Arial" w:cs="Arial" w:eastAsia="Arial" w:hAnsi="Arial"/>
          <w:sz w:val="20"/>
          <w:szCs w:val="20"/>
        </w:rPr>
        <w:t xml:space="preserve">Multi-Currency: Support for all ISO 4217 currencies; automatic exchange rate updates at minimum daily frequency; historical rate preservation for closed deals.</w:t>
      </w:r>
    </w:p>
    <w:p>
      <w:pPr>
        <w:pStyle w:val="ListParagraph"/>
        <w:numPr>
          <w:ilvl w:val="0"/>
          <w:numId w:val="2"/>
        </w:numPr>
      </w:pPr>
      <w:r>
        <w:rPr>
          <w:rFonts w:ascii="Arial" w:cs="Arial" w:eastAsia="Arial" w:hAnsi="Arial"/>
          <w:sz w:val="20"/>
          <w:szCs w:val="20"/>
        </w:rPr>
        <w:t xml:space="preserve">Multi-Timezone: User-level timezone settings with automatic conversion for all date/time fields, calendar events, and reporting.</w:t>
      </w:r>
    </w:p>
    <w:p>
      <w:pPr>
        <w:pStyle w:val="ListParagraph"/>
        <w:numPr>
          <w:ilvl w:val="0"/>
          <w:numId w:val="2"/>
        </w:numPr>
      </w:pPr>
      <w:r>
        <w:rPr>
          <w:rFonts w:ascii="Arial" w:cs="Arial" w:eastAsia="Arial" w:hAnsi="Arial"/>
          <w:sz w:val="20"/>
          <w:szCs w:val="20"/>
        </w:rPr>
        <w:t xml:space="preserve">Data Residency: Customer data for EU-based entities must be stored within EU data centers (Frankfurt or Dublin) to meet GDPR data residency obligations. Vendors must certify EU data residency capability.</w:t>
      </w:r>
    </w:p>
    <w:p>
      <w:pPr>
        <w:pStyle w:val="ListParagraph"/>
        <w:numPr>
          <w:ilvl w:val="0"/>
          <w:numId w:val="2"/>
        </w:numPr>
      </w:pPr>
      <w:r>
        <w:rPr>
          <w:rFonts w:ascii="Arial" w:cs="Arial" w:eastAsia="Arial" w:hAnsi="Arial"/>
          <w:sz w:val="20"/>
          <w:szCs w:val="20"/>
        </w:rPr>
        <w:t xml:space="preserve">Character Set Support: Full Unicode (UTF-8) support including CJK character sets for Mandarin and Japanese data entry and display.</w:t>
      </w:r>
    </w:p>
    <w:p>
      <w:pPr>
        <w:pStyle w:val="Heading2"/>
      </w:pPr>
      <w:r>
        <w:rPr>
          <w:rFonts w:ascii="Arial" w:cs="Arial" w:eastAsia="Arial" w:hAnsi="Arial"/>
          <w:b/>
          <w:bCs/>
          <w:color w:val="2E75B6"/>
          <w:sz w:val="26"/>
          <w:szCs w:val="26"/>
        </w:rPr>
        <w:t xml:space="preserve">2.4 Integration Requirements Overview</w:t>
      </w:r>
    </w:p>
    <w:p>
      <w:pPr>
        <w:spacing w:after="120" w:before="60"/>
        <w:jc w:val="left"/>
      </w:pPr>
      <w:r>
        <w:rPr>
          <w:rFonts w:ascii="Arial" w:cs="Arial" w:eastAsia="Arial" w:hAnsi="Arial"/>
          <w:b w:val="false"/>
          <w:bCs w:val="false"/>
          <w:i w:val="false"/>
          <w:iCs w:val="false"/>
          <w:sz w:val="20"/>
          <w:szCs w:val="20"/>
        </w:rPr>
        <w:t xml:space="preserve">The new CRM must integrate with the following enterprise systems. Detailed API requirements are specified in Section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Vendor / Version</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Integration Type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Data Flows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ERP – Core Finance &amp; Order Mgmt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SAP S/4HANA 2023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Bi-directional, Real-time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Accounts, contacts, orders, invoices, inventory, pricing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Marketing Automation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Marketo Engage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Bi-directional, Near-real-time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Leads, campaigns, scores, email engagement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E-Commerce Platform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Salesforce Commerce Cloud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Inbound, Daily batch + real-time events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Online orders, cart data, customer behavior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CPQ / Configure-Price-Quote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Apttus CPQ</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Bi-directional, Real-time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Quotes, approvals, price books, product catalog</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Customer Support / Ticketing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ServiceNow ITSM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Bi-directional, Near-real-time</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Cases, escalations, SLA data, CSAT scores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Business Intelligence / Analytics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Microsoft Power BI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Outbound, Scheduled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CRM data feeds for executive dashboards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Identity &amp; Access Management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Azure Active Directory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SSO, SAML 2.0 / OIDC</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User provisioning, authentication, role sync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Document Management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Microsoft SharePoint Online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Embedded / Linked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Proposals, contracts, account documents</w:t>
            </w:r>
          </w:p>
        </w:tc>
      </w:tr>
    </w:tbl>
    <w:p>
      <w:pPr>
        <w:pStyle w:val="Heading1"/>
        <w:pageBreakBefore/>
      </w:pPr>
      <w:r>
        <w:rPr>
          <w:rFonts w:ascii="Arial" w:cs="Arial" w:eastAsia="Arial" w:hAnsi="Arial"/>
          <w:b/>
          <w:bCs/>
          <w:color w:val="1F3864"/>
          <w:sz w:val="32"/>
          <w:szCs w:val="32"/>
        </w:rPr>
        <w:t xml:space="preserve">3. Technical Requirements</w:t>
      </w:r>
    </w:p>
    <w:p>
      <w:pPr>
        <w:pStyle w:val="Heading2"/>
      </w:pPr>
      <w:r>
        <w:rPr>
          <w:rFonts w:ascii="Arial" w:cs="Arial" w:eastAsia="Arial" w:hAnsi="Arial"/>
          <w:b/>
          <w:bCs/>
          <w:color w:val="2E75B6"/>
          <w:sz w:val="26"/>
          <w:szCs w:val="26"/>
        </w:rPr>
        <w:t xml:space="preserve">3.1 Sales Force Automation (SFA)</w:t>
      </w:r>
    </w:p>
    <w:p>
      <w:pPr>
        <w:spacing w:after="120" w:before="60"/>
        <w:jc w:val="left"/>
      </w:pPr>
      <w:r>
        <w:rPr>
          <w:rFonts w:ascii="Arial" w:cs="Arial" w:eastAsia="Arial" w:hAnsi="Arial"/>
          <w:b w:val="false"/>
          <w:bCs w:val="false"/>
          <w:i w:val="false"/>
          <w:iCs w:val="false"/>
          <w:sz w:val="20"/>
          <w:szCs w:val="20"/>
        </w:rPr>
        <w:t xml:space="preserve">The following requirements govern the Sales Force Automation module. Vendors must indicate compliance status (Fully Met / Partially Met / Not Met / Roadmap) for each requirement in their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600"/>
        <w:gridCol w:w="13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 ID</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Description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 (%)</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a unified account hierarchy supporting parent-child relationships with unlimited nesting levels to reflect GTI's complex corporate account structures.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REQ-SFA-002</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creation and management of sales opportunities with configurable stage definitions, probability percentages, and expected close dates.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territory management with rule-based account and lead assignment across geographic, industry, and product-line dimensions.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REQ-SFA-004</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AI/ML-powered opportunity scoring and win probability predictions updated at minimum weekly based on historical deal data.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Offer configurable sales playbooks and guided selling workflows that surface relevant content and suggested actions at each pipeline stage.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REQ-SFA-006</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collaborative account planning with shared account plans, goals, whitespace analysis, and competitive intelligence notes.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lead capture from web forms, email, business card scanning (OCR), and manual entry with automatic deduplication.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REQ-SFA-008</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automated lead routing rules based on geography, product interest, company size, and assignment round-robin.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full activity tracking: meetings, calls, emails, tasks, and notes with automatic association to accounts, contacts, and opportunities.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REQ-SFA-010</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calendar integration (Microsoft 365 and Google Workspace) with bi-directional sync of meetings and tasks.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email integration with automatic logging of sent/received emails to CRM records without manual user action.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REQ-SFA-012</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Offer a relationship intelligence engine that identifies key stakeholders, decision-makers, and relationship risks across account contacts.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product catalog management with multi-level product hierarchy, product bundling, and compatibility rules.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REQ-SFA-014</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quote generation from opportunities with configurable templates, discount approval workflows, and e-signature integration.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pipeline forecasting at individual, team, regional, and global levels with multiple forecast categories (commit, best case, pipeline).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REQ-SFA-016</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deal rooms or collaboration spaces allowing GTI sales teams and customer stakeholders to share content and track mutual action plans.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REQ-SFA-017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sales cadence/sequence functionality enabling SDRs to execute multi-step, multi-channel outreach sequences.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REQ-SFA-018</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sales rep performance dashboards showing quota attainment, activity metrics, pipeline coverage, and win/loss ratios in real time.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REQ-SFA-019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competitive tracking fields and win/loss analysis by competitor with aggregated reporting.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REQ-SFA-020</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contract lifecycle management (CLM) integration or native CLM capabilities for creation, negotiation, approval, and renewal tracking.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w:t>
            </w:r>
          </w:p>
        </w:tc>
      </w:tr>
    </w:tbl>
    <w:p>
      <w:pPr>
        <w:spacing w:after="120"/>
      </w:pPr>
      <w:r>
        <w:t xml:space="preserve"/>
      </w:r>
    </w:p>
    <w:p>
      <w:pPr>
        <w:pStyle w:val="Heading2"/>
      </w:pPr>
      <w:r>
        <w:rPr>
          <w:rFonts w:ascii="Arial" w:cs="Arial" w:eastAsia="Arial" w:hAnsi="Arial"/>
          <w:b/>
          <w:bCs/>
          <w:color w:val="2E75B6"/>
          <w:sz w:val="26"/>
          <w:szCs w:val="26"/>
        </w:rPr>
        <w:t xml:space="preserve">3.2 Marketing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600"/>
        <w:gridCol w:w="13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 ID</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Description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 (%)</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multi-channel campaign management supporting email, social, paid digital, events, and direct mail channels within a single campaign framework.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REQ-MA-002</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dynamic audience segmentation using behavioral, firmographic, technographic, and CRM attributes with real-time segment refresh.</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lead scoring models with configurable rules for demographic fit and behavioral engagement; scores must sync to CRM opportunity records.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REQ-MA-004</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a visual journey builder for designing multi-step, conditional nurture flows with wait steps, branching logic, and A/B testing.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personalized email creation with drag-and-drop template builder, dynamic content blocks, merge fields, and spam score checking.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REQ-MA-006</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bi-directional integration with Marketo Engage for lead synchronization, campaign attribution, and score passing as specified in Section 2.4.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multi-touch attribution reporting supporting first-touch, last-touch, linear, time-decay, and data-driven attribution models.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REQ-MA-008</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account-based marketing (ABM) capabilities including target account identification, intent data integration, and account engagement scoring.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event management: registration landing pages, attendee management, check-in, post-event follow-up automation, and ROI tracking.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REQ-MA-010</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content management and sales enablement features: content library, usage tracking, and content recommendation for sales reps.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social media monitoring and publishing integration for LinkedIn and Twitter/X at minimum.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REQ-MA-012</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GDPR-compliant consent management: opt-in/opt-out tracking, preference centers, audit trails, and automated suppression.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campaign performance dashboards with pipeline influenced, revenue influenced, cost per lead, and conversion rate by stage metrics.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REQ-MA-014</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website visitor identification and behavioral tracking with configurable lead capture forms and progressive profiling.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REQ-MA-015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predictive analytics for identifying accounts most likely to purchase within the next 90 days using third-party intent data signals.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w:t>
            </w:r>
          </w:p>
        </w:tc>
      </w:tr>
    </w:tbl>
    <w:p>
      <w:pPr>
        <w:spacing w:after="120"/>
      </w:pPr>
      <w:r>
        <w:t xml:space="preserve"/>
      </w:r>
    </w:p>
    <w:p>
      <w:pPr>
        <w:pStyle w:val="Heading2"/>
      </w:pPr>
      <w:r>
        <w:rPr>
          <w:rFonts w:ascii="Arial" w:cs="Arial" w:eastAsia="Arial" w:hAnsi="Arial"/>
          <w:b/>
          <w:bCs/>
          <w:color w:val="2E75B6"/>
          <w:sz w:val="26"/>
          <w:szCs w:val="26"/>
        </w:rPr>
        <w:t xml:space="preserve">3.3 Customer Service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600"/>
        <w:gridCol w:w="13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 ID</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Description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 (%)</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omnichannel case management supporting intake via email, phone (CTI integration), web portal, live chat, and WhatsApp.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REQ-CS-002</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SLA management with configurable SLA policies by case priority, customer tier, and product line; automated escalation upon SLA breach risk.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a centralized knowledge base with article versioning, categorization, search, and agent-facing content recommendations based on case context.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REQ-CS-004</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customer self-service portal with case submission, status tracking, knowledge base access, and community forums.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AI-powered case classification and routing that automatically assigns cases to appropriate queues and agents based on content analysis.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REQ-CS-006</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computer telephony integration (CTI) with screen pop functionality displaying customer record and case history upon inbound call.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case escalation workflows with multi-level escalation paths, manager notification, and executive visibility dashboards.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REQ-CS-008</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customer satisfaction (CSAT) and Net Promoter Score (NPS) surveys triggered automatically upon case closure.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entitlement management to enforce contracted support levels, product coverage, and response time commitments per customer.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REQ-CS-010</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agent productivity tools: macros, canned responses, suggested similar cases, and AI-generated response drafts.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REQ-CS-011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field service management capabilities for dispatching on-site service technicians with scheduling, parts management, and mobile work orders.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REQ-CS-012</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agent performance dashboards tracking average handle time, CSAT, first-contact resolution rate, and SLA compliance.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REQ-CS-013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integration with ServiceNow for bidirectional case synchronization for IT-related support issues as specified in Section 2.4.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REQ-CS-014</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product defect and warranty claim management workflows linked to customer orders and product serial numbers from SAP.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REQ-CS-015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real-time supervisor monitoring including live agent status, queue depth, and whisper/barge-in capabilities for call center environments.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w:t>
            </w:r>
          </w:p>
        </w:tc>
      </w:tr>
    </w:tbl>
    <w:p>
      <w:pPr>
        <w:spacing w:after="120"/>
      </w:pPr>
      <w:r>
        <w:t xml:space="preserve"/>
      </w:r>
    </w:p>
    <w:p>
      <w:pPr>
        <w:pStyle w:val="Heading2"/>
      </w:pPr>
      <w:r>
        <w:rPr>
          <w:rFonts w:ascii="Arial" w:cs="Arial" w:eastAsia="Arial" w:hAnsi="Arial"/>
          <w:b/>
          <w:bCs/>
          <w:color w:val="2E75B6"/>
          <w:sz w:val="26"/>
          <w:szCs w:val="26"/>
        </w:rPr>
        <w:t xml:space="preserve">3.4 Analytics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600"/>
        <w:gridCol w:w="13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 ID</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Description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 (%)</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REQ-AR-001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a native report builder enabling business users (non-technical) to create tabular, summary, and matrix reports without IT assistance.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REQ-AR-002</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configurable dashboards with drag-and-drop widgets, real-time data refresh, and role-based dashboard defaults.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REQ-AR-003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executive-level global pipeline dashboards aggregating data across all regions, business units, and product lines in a single view.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REQ-AR-004</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quota management and attainment tracking at individual, team, regional, and global levels with configurable quota periods.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REQ-AR-005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historical trend analysis with minimum 3-year data retention accessible in the reporting layer.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REQ-AR-006</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scheduled report delivery via email in PDF, Excel, and CSV formats.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REQ-AR-007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AI-generated narrative insights that automatically surface anomalies, trends, and recommendations in plain language.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REQ-AR-008</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data export via REST API and bulk export (CSV/JSON) for consumption by Microsoft Power BI as specified in Section 2.4.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REQ-AR-009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cohort analysis and customer lifetime value (CLV) modeling within the platform or through native integration with a BI tool.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REQ-AR-010</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funnel and conversion analytics showing lead-to-opportunity, opportunity-to-close, and marketing-to-revenue conversion rates.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bl>
    <w:p>
      <w:pPr>
        <w:spacing w:after="120"/>
      </w:pPr>
      <w:r>
        <w:t xml:space="preserve"/>
      </w:r>
    </w:p>
    <w:p>
      <w:pPr>
        <w:pStyle w:val="Heading2"/>
      </w:pPr>
      <w:r>
        <w:rPr>
          <w:rFonts w:ascii="Arial" w:cs="Arial" w:eastAsia="Arial" w:hAnsi="Arial"/>
          <w:b/>
          <w:bCs/>
          <w:color w:val="2E75B6"/>
          <w:sz w:val="26"/>
          <w:szCs w:val="26"/>
        </w:rPr>
        <w:t xml:space="preserve">3.5 Mobile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600"/>
        <w:gridCol w:w="1360"/>
      </w:tblGrid>
      <w:tr>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 ID</w:t>
            </w:r>
          </w:p>
        </w:tc>
        <w:tc>
          <w:tcPr>
            <w:tcW w:type="dxa" w:w="5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Description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 (%)</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REQ-MOB-001</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native iOS and Android mobile applications (not browser-only) meeting current Apple App Store and Google Play Store guidelines.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REQ-MOB-002</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offline functionality for core SFA features: viewing accounts, contacts, opportunities, and activities without network connectivity with automatic sync upon reconnection.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REQ-MOB-003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voice-to-text activity logging allowing sales reps to dictate call notes that are automatically transcribed and saved to the relevant CRM record.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REQ-MOB-004</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business card scanning with OCR to automatically create contact records from photographed business cards.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REQ-MOB-005</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push notifications for key events: deal stage changes, SLA breaches, task reminders, and manager approvals.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REQ-MOB-006</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mobile dashboard access to all standard CRM dashboards with touch-optimized display.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REQ-MOB-007</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GPS-based location check-in for customer site visits with automatic activity record creation.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375623"/>
                <w:sz w:val="18"/>
                <w:szCs w:val="18"/>
              </w:rPr>
              <w:t xml:space="preserve">Nice-to-Have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REQ-MOB-008</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biometric authentication (Face ID, Touch ID, fingerprint) in addition to standard SSO on all mobile devices.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REQ-MOB-009</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Enable mobile approval workflows for discounts, deal exceptions, and quote approvals with notification-driven action.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REQ-MOB-010</w:t>
            </w:r>
          </w:p>
        </w:tc>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Provide mobile app MDM (Mobile Device Management) compatibility with Microsoft Intune and VMware Workspace ONE.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Arial" w:cs="Arial" w:eastAsia="Arial" w:hAnsi="Arial"/>
                <w:b/>
                <w:bCs/>
                <w:color w:val="C00000"/>
                <w:sz w:val="18"/>
                <w:szCs w:val="18"/>
              </w:rPr>
              <w:t xml:space="preserve">Must-Have</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2.5</w:t>
            </w:r>
          </w:p>
        </w:tc>
      </w:tr>
    </w:tbl>
    <w:p>
      <w:pPr>
        <w:spacing w:after="120"/>
      </w:pPr>
      <w:r>
        <w:t xml:space="preserve"/>
      </w:r>
    </w:p>
    <w:p>
      <w:pPr>
        <w:pStyle w:val="Heading2"/>
      </w:pPr>
      <w:r>
        <w:rPr>
          <w:rFonts w:ascii="Arial" w:cs="Arial" w:eastAsia="Arial" w:hAnsi="Arial"/>
          <w:b/>
          <w:bCs/>
          <w:color w:val="2E75B6"/>
          <w:sz w:val="26"/>
          <w:szCs w:val="26"/>
        </w:rPr>
        <w:t xml:space="preserve">3.6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Availability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Uptime SLA</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Minimum 99.9% monthly uptime (excluding scheduled maintenance). Scheduled maintenance must not occur during GTI business hours (Mon–Fri 6:00 AM–10:00 PM in any active GTI time zone).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Page Load Time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95th percentile page load time must not exceed 3 seconds for standard CRM views under normal load. Search results must return in under 2 seconds.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Performance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Concurrent Users</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Must support 3,500 concurrent users without performance degradation. Load testing results from a comparable deployment must be provided in the proposal.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Scalability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 Volume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Must support storage of minimum 50 million customer interaction records, 5 million account records, and 25 million contact records with consistent query performance.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Scalability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User Growth</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Architecture must support 100% user growth (to ~8,000 users) without platform re-architecture or additional per-user fees beyond the standard license model.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Authentication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Must support SAML 2.0 and OpenID Connect for SSO with Azure Active Directory. MFA must be enforceable as a platform policy.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Encryption</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All data must be encrypted at rest (AES-256 minimum) and in transit (TLS 1.2 minimum, TLS 1.3 preferred). Customer-managed encryption keys (CMEK) must be available.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Access Control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Role-based access control (RBAC) with field-level security, record-level sharing rules, and audit logging of all data access events.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Compliance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GDPR</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Full GDPR compliance including right-to-erasure workflows, data portability export, consent management, and Data Processing Agreement (DPA) availability.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Compliance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SOC 2 Type II</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Current SOC 2 Type II report covering the Security, Availability, and Confidentiality trust service criteria must be provided with the proposal.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Compliance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ISO 27001</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Current ISO 27001:2022 certification for all relevant systems must be provided. Certificate expiry date must be no sooner than January 1, 2027.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Disaster Recovery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RTO / RPO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Recovery Time Objective (RTO) must not exceed 4 hours. Recovery Point Objective (RPO) must not exceed 1 hour. DR test results from the past 12 months must be provided.</w:t>
            </w:r>
          </w:p>
        </w:tc>
      </w:tr>
    </w:tbl>
    <w:p>
      <w:pPr>
        <w:spacing w:after="120"/>
      </w:pPr>
      <w:r>
        <w:t xml:space="preserve"/>
      </w:r>
    </w:p>
    <w:p>
      <w:pPr>
        <w:pStyle w:val="Heading2"/>
      </w:pPr>
      <w:r>
        <w:rPr>
          <w:rFonts w:ascii="Arial" w:cs="Arial" w:eastAsia="Arial" w:hAnsi="Arial"/>
          <w:b/>
          <w:bCs/>
          <w:color w:val="2E75B6"/>
          <w:sz w:val="26"/>
          <w:szCs w:val="26"/>
        </w:rPr>
        <w:t xml:space="preserve">3.7 Data Migration Requirements</w:t>
      </w:r>
    </w:p>
    <w:p>
      <w:pPr>
        <w:spacing w:after="120" w:before="60"/>
        <w:jc w:val="left"/>
      </w:pPr>
      <w:r>
        <w:rPr>
          <w:rFonts w:ascii="Arial" w:cs="Arial" w:eastAsia="Arial" w:hAnsi="Arial"/>
          <w:b w:val="false"/>
          <w:bCs w:val="false"/>
          <w:i w:val="false"/>
          <w:iCs w:val="false"/>
          <w:sz w:val="20"/>
          <w:szCs w:val="20"/>
        </w:rPr>
        <w:t xml:space="preserve">GTI requires migration of customer data from three source systems. Vendors must provide a detailed data migration methodology, tooling description, and reference to at least two comparable migrations of similar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System</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Record Volume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Quality</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Challenges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Salesforce Sales Cloud (N. America)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~2.8M records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Moderate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Heavy customization (400+ custom fields), complex sharing model, 10-year history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Microsoft Dynamics 365 (EMEA)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~1.4M records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Good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Multi-language data, multiple currencies, entity relationships differ from target model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Custom Oracle Legacy CRM (APAC)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~900K records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Poor</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 standard API; data export via custom scripts only; high duplicate rate (est. 35%)</w:t>
            </w:r>
          </w:p>
        </w:tc>
      </w:tr>
    </w:tbl>
    <w:p>
      <w:pPr>
        <w:spacing w:after="120"/>
      </w:pPr>
      <w:r>
        <w:t xml:space="preserve"/>
      </w:r>
    </w:p>
    <w:p>
      <w:pPr>
        <w:spacing w:after="120" w:before="60"/>
        <w:jc w:val="left"/>
      </w:pPr>
      <w:r>
        <w:rPr>
          <w:rFonts w:ascii="Arial" w:cs="Arial" w:eastAsia="Arial" w:hAnsi="Arial"/>
          <w:b w:val="false"/>
          <w:bCs w:val="false"/>
          <w:i w:val="false"/>
          <w:iCs w:val="false"/>
          <w:sz w:val="20"/>
          <w:szCs w:val="20"/>
        </w:rPr>
        <w:t xml:space="preserve">Migration deliverables required from the selected vendor:</w:t>
      </w:r>
    </w:p>
    <w:p>
      <w:pPr>
        <w:pStyle w:val="ListParagraph"/>
        <w:numPr>
          <w:ilvl w:val="0"/>
          <w:numId w:val="2"/>
        </w:numPr>
      </w:pPr>
      <w:r>
        <w:rPr>
          <w:rFonts w:ascii="Arial" w:cs="Arial" w:eastAsia="Arial" w:hAnsi="Arial"/>
          <w:sz w:val="20"/>
          <w:szCs w:val="20"/>
        </w:rPr>
        <w:t xml:space="preserve">REQ-MIG-001: Comprehensive data mapping document covering all source-to-target field mappings, transformation rules, and validation criteria.</w:t>
      </w:r>
    </w:p>
    <w:p>
      <w:pPr>
        <w:pStyle w:val="ListParagraph"/>
        <w:numPr>
          <w:ilvl w:val="0"/>
          <w:numId w:val="2"/>
        </w:numPr>
      </w:pPr>
      <w:r>
        <w:rPr>
          <w:rFonts w:ascii="Arial" w:cs="Arial" w:eastAsia="Arial" w:hAnsi="Arial"/>
          <w:sz w:val="20"/>
          <w:szCs w:val="20"/>
        </w:rPr>
        <w:t xml:space="preserve">REQ-MIG-002: Data cleansing and deduplication strategy with defined match/merge rules and exception handling process.</w:t>
      </w:r>
    </w:p>
    <w:p>
      <w:pPr>
        <w:pStyle w:val="ListParagraph"/>
        <w:numPr>
          <w:ilvl w:val="0"/>
          <w:numId w:val="2"/>
        </w:numPr>
      </w:pPr>
      <w:r>
        <w:rPr>
          <w:rFonts w:ascii="Arial" w:cs="Arial" w:eastAsia="Arial" w:hAnsi="Arial"/>
          <w:sz w:val="20"/>
          <w:szCs w:val="20"/>
        </w:rPr>
        <w:t xml:space="preserve">REQ-MIG-003: Minimum three (3) mock migration rehearsals prior to production cutover, with reconciliation reports after each run.</w:t>
      </w:r>
    </w:p>
    <w:p>
      <w:pPr>
        <w:pStyle w:val="ListParagraph"/>
        <w:numPr>
          <w:ilvl w:val="0"/>
          <w:numId w:val="2"/>
        </w:numPr>
      </w:pPr>
      <w:r>
        <w:rPr>
          <w:rFonts w:ascii="Arial" w:cs="Arial" w:eastAsia="Arial" w:hAnsi="Arial"/>
          <w:sz w:val="20"/>
          <w:szCs w:val="20"/>
        </w:rPr>
        <w:t xml:space="preserve">REQ-MIG-004: Data validation framework covering record count reconciliation, field-level accuracy sampling (minimum 10% sample per entity), and business-rule validation.</w:t>
      </w:r>
    </w:p>
    <w:p>
      <w:pPr>
        <w:pStyle w:val="ListParagraph"/>
        <w:numPr>
          <w:ilvl w:val="0"/>
          <w:numId w:val="2"/>
        </w:numPr>
      </w:pPr>
      <w:r>
        <w:rPr>
          <w:rFonts w:ascii="Arial" w:cs="Arial" w:eastAsia="Arial" w:hAnsi="Arial"/>
          <w:sz w:val="20"/>
          <w:szCs w:val="20"/>
        </w:rPr>
        <w:t xml:space="preserve">REQ-MIG-005: Post-migration data freeze and rollback plan in the event of critical data quality failures discovered within 30 days of go-live.</w:t>
      </w:r>
    </w:p>
    <w:p>
      <w:pPr>
        <w:spacing w:after="120"/>
      </w:pPr>
      <w:r>
        <w:t xml:space="preserve"/>
      </w:r>
    </w:p>
    <w:p>
      <w:pPr>
        <w:pStyle w:val="Heading2"/>
      </w:pPr>
      <w:r>
        <w:rPr>
          <w:rFonts w:ascii="Arial" w:cs="Arial" w:eastAsia="Arial" w:hAnsi="Arial"/>
          <w:b/>
          <w:bCs/>
          <w:color w:val="2E75B6"/>
          <w:sz w:val="26"/>
          <w:szCs w:val="26"/>
        </w:rPr>
        <w:t xml:space="preserve">3.8 API &amp; Integration Architecture Requirements</w:t>
      </w:r>
    </w:p>
    <w:p>
      <w:pPr>
        <w:pStyle w:val="ListParagraph"/>
        <w:numPr>
          <w:ilvl w:val="0"/>
          <w:numId w:val="2"/>
        </w:numPr>
      </w:pPr>
      <w:r>
        <w:rPr>
          <w:rFonts w:ascii="Arial" w:cs="Arial" w:eastAsia="Arial" w:hAnsi="Arial"/>
          <w:sz w:val="20"/>
          <w:szCs w:val="20"/>
        </w:rPr>
        <w:t xml:space="preserve">REQ-API-001: Platform must provide a documented, versioned REST API (OpenAPI 3.0 specification) for all major CRM entities.</w:t>
      </w:r>
    </w:p>
    <w:p>
      <w:pPr>
        <w:pStyle w:val="ListParagraph"/>
        <w:numPr>
          <w:ilvl w:val="0"/>
          <w:numId w:val="2"/>
        </w:numPr>
      </w:pPr>
      <w:r>
        <w:rPr>
          <w:rFonts w:ascii="Arial" w:cs="Arial" w:eastAsia="Arial" w:hAnsi="Arial"/>
          <w:sz w:val="20"/>
          <w:szCs w:val="20"/>
        </w:rPr>
        <w:t xml:space="preserve">REQ-API-002: API must support OAuth 2.0 (Client Credentials flow) for server-to-server authentication and Authorization Code flow for user-context operations.</w:t>
      </w:r>
    </w:p>
    <w:p>
      <w:pPr>
        <w:pStyle w:val="ListParagraph"/>
        <w:numPr>
          <w:ilvl w:val="0"/>
          <w:numId w:val="2"/>
        </w:numPr>
      </w:pPr>
      <w:r>
        <w:rPr>
          <w:rFonts w:ascii="Arial" w:cs="Arial" w:eastAsia="Arial" w:hAnsi="Arial"/>
          <w:sz w:val="20"/>
          <w:szCs w:val="20"/>
        </w:rPr>
        <w:t xml:space="preserve">REQ-API-003: API rate limits must accommodate GTI's integration volume: minimum 100,000 API calls per hour per connected application.</w:t>
      </w:r>
    </w:p>
    <w:p>
      <w:pPr>
        <w:pStyle w:val="ListParagraph"/>
        <w:numPr>
          <w:ilvl w:val="0"/>
          <w:numId w:val="2"/>
        </w:numPr>
      </w:pPr>
      <w:r>
        <w:rPr>
          <w:rFonts w:ascii="Arial" w:cs="Arial" w:eastAsia="Arial" w:hAnsi="Arial"/>
          <w:sz w:val="20"/>
          <w:szCs w:val="20"/>
        </w:rPr>
        <w:t xml:space="preserve">REQ-API-004: Platform must support real-time event streaming via webhooks or native message queue (Apache Kafka or AWS EventBridge preferred) for ERP and e-commerce integrations.</w:t>
      </w:r>
    </w:p>
    <w:p>
      <w:pPr>
        <w:pStyle w:val="ListParagraph"/>
        <w:numPr>
          <w:ilvl w:val="0"/>
          <w:numId w:val="2"/>
        </w:numPr>
      </w:pPr>
      <w:r>
        <w:rPr>
          <w:rFonts w:ascii="Arial" w:cs="Arial" w:eastAsia="Arial" w:hAnsi="Arial"/>
          <w:sz w:val="20"/>
          <w:szCs w:val="20"/>
        </w:rPr>
        <w:t xml:space="preserve">REQ-API-005: Vendor must provide an Integration Platform as a Service (iPaaS) connector or certified pre-built connector for SAP S/4HANA, Marketo Engage, and Azure Active Directory.</w:t>
      </w:r>
    </w:p>
    <w:p>
      <w:pPr>
        <w:pStyle w:val="ListParagraph"/>
        <w:numPr>
          <w:ilvl w:val="0"/>
          <w:numId w:val="2"/>
        </w:numPr>
      </w:pPr>
      <w:r>
        <w:rPr>
          <w:rFonts w:ascii="Arial" w:cs="Arial" w:eastAsia="Arial" w:hAnsi="Arial"/>
          <w:sz w:val="20"/>
          <w:szCs w:val="20"/>
        </w:rPr>
        <w:t xml:space="preserve">REQ-API-006: All API changes must maintain backward compatibility for a minimum of 18 months following a version deprecation notice.</w:t>
      </w:r>
    </w:p>
    <w:p>
      <w:pPr>
        <w:pStyle w:val="ListParagraph"/>
        <w:numPr>
          <w:ilvl w:val="0"/>
          <w:numId w:val="2"/>
        </w:numPr>
      </w:pPr>
      <w:r>
        <w:rPr>
          <w:rFonts w:ascii="Arial" w:cs="Arial" w:eastAsia="Arial" w:hAnsi="Arial"/>
          <w:sz w:val="20"/>
          <w:szCs w:val="20"/>
        </w:rPr>
        <w:t xml:space="preserve">REQ-API-007: Platform must provide a sandbox/development environment with parity to production API capabilities for GTI's integration development and testing activities.</w:t>
      </w:r>
    </w:p>
    <w:p>
      <w:pPr>
        <w:pStyle w:val="Heading1"/>
        <w:pageBreakBefore/>
      </w:pPr>
      <w:r>
        <w:rPr>
          <w:rFonts w:ascii="Arial" w:cs="Arial" w:eastAsia="Arial" w:hAnsi="Arial"/>
          <w:b/>
          <w:bCs/>
          <w:color w:val="1F3864"/>
          <w:sz w:val="32"/>
          <w:szCs w:val="32"/>
        </w:rPr>
        <w:t xml:space="preserve">4. Vendor Qualifications</w:t>
      </w:r>
    </w:p>
    <w:p>
      <w:pPr>
        <w:pStyle w:val="Heading2"/>
      </w:pPr>
      <w:r>
        <w:rPr>
          <w:rFonts w:ascii="Arial" w:cs="Arial" w:eastAsia="Arial" w:hAnsi="Arial"/>
          <w:b/>
          <w:bCs/>
          <w:color w:val="2E75B6"/>
          <w:sz w:val="26"/>
          <w:szCs w:val="26"/>
        </w:rPr>
        <w:t xml:space="preserve">4.1 Company Stability &amp; Financial Health</w:t>
      </w:r>
    </w:p>
    <w:p>
      <w:pPr>
        <w:spacing w:after="120" w:before="60"/>
        <w:jc w:val="left"/>
      </w:pPr>
      <w:r>
        <w:rPr>
          <w:rFonts w:ascii="Arial" w:cs="Arial" w:eastAsia="Arial" w:hAnsi="Arial"/>
          <w:b w:val="false"/>
          <w:bCs w:val="false"/>
          <w:i w:val="false"/>
          <w:iCs w:val="false"/>
          <w:sz w:val="20"/>
          <w:szCs w:val="20"/>
        </w:rPr>
        <w:t xml:space="preserve">Given the long-term, strategic nature of this engagement, GlobalTech requires confidence in the financial stability and market viability of the selected vendor. The following minimum thresholds apply:</w:t>
      </w:r>
    </w:p>
    <w:p>
      <w:pPr>
        <w:pStyle w:val="ListParagraph"/>
        <w:numPr>
          <w:ilvl w:val="0"/>
          <w:numId w:val="2"/>
        </w:numPr>
      </w:pPr>
      <w:r>
        <w:rPr>
          <w:rFonts w:ascii="Arial" w:cs="Arial" w:eastAsia="Arial" w:hAnsi="Arial"/>
          <w:sz w:val="20"/>
          <w:szCs w:val="20"/>
        </w:rPr>
        <w:t xml:space="preserve">Minimum 10 years of continuous CRM product development and market presence.</w:t>
      </w:r>
    </w:p>
    <w:p>
      <w:pPr>
        <w:pStyle w:val="ListParagraph"/>
        <w:numPr>
          <w:ilvl w:val="0"/>
          <w:numId w:val="2"/>
        </w:numPr>
      </w:pPr>
      <w:r>
        <w:rPr>
          <w:rFonts w:ascii="Arial" w:cs="Arial" w:eastAsia="Arial" w:hAnsi="Arial"/>
          <w:sz w:val="20"/>
          <w:szCs w:val="20"/>
        </w:rPr>
        <w:t xml:space="preserve">Annual recurring revenue (ARR) or CRM product revenue exceeding $500 million USD for the most recent fiscal year.</w:t>
      </w:r>
    </w:p>
    <w:p>
      <w:pPr>
        <w:pStyle w:val="ListParagraph"/>
        <w:numPr>
          <w:ilvl w:val="0"/>
          <w:numId w:val="2"/>
        </w:numPr>
      </w:pPr>
      <w:r>
        <w:rPr>
          <w:rFonts w:ascii="Arial" w:cs="Arial" w:eastAsia="Arial" w:hAnsi="Arial"/>
          <w:sz w:val="20"/>
          <w:szCs w:val="20"/>
        </w:rPr>
        <w:t xml:space="preserve">Audited financial statements for the past three fiscal years must be provided (or publicly available annual reports for publicly traded companies).</w:t>
      </w:r>
    </w:p>
    <w:p>
      <w:pPr>
        <w:pStyle w:val="ListParagraph"/>
        <w:numPr>
          <w:ilvl w:val="0"/>
          <w:numId w:val="2"/>
        </w:numPr>
      </w:pPr>
      <w:r>
        <w:rPr>
          <w:rFonts w:ascii="Arial" w:cs="Arial" w:eastAsia="Arial" w:hAnsi="Arial"/>
          <w:sz w:val="20"/>
          <w:szCs w:val="20"/>
        </w:rPr>
        <w:t xml:space="preserve">No active bankruptcy proceedings, material litigation, or regulatory actions that could impact product continuity.</w:t>
      </w:r>
    </w:p>
    <w:p>
      <w:pPr>
        <w:pStyle w:val="ListParagraph"/>
        <w:numPr>
          <w:ilvl w:val="0"/>
          <w:numId w:val="2"/>
        </w:numPr>
      </w:pPr>
      <w:r>
        <w:rPr>
          <w:rFonts w:ascii="Arial" w:cs="Arial" w:eastAsia="Arial" w:hAnsi="Arial"/>
          <w:sz w:val="20"/>
          <w:szCs w:val="20"/>
        </w:rPr>
        <w:t xml:space="preserve">For privately held vendors: minimum $100M in committed venture or private equity funding with no pending change-of-control transactions.</w:t>
      </w:r>
    </w:p>
    <w:p>
      <w:pPr>
        <w:pStyle w:val="Heading2"/>
      </w:pPr>
      <w:r>
        <w:rPr>
          <w:rFonts w:ascii="Arial" w:cs="Arial" w:eastAsia="Arial" w:hAnsi="Arial"/>
          <w:b/>
          <w:bCs/>
          <w:color w:val="2E75B6"/>
          <w:sz w:val="26"/>
          <w:szCs w:val="26"/>
        </w:rPr>
        <w:t xml:space="preserve">4.2 CRM Market Presence &amp; Experience</w:t>
      </w:r>
    </w:p>
    <w:p>
      <w:pPr>
        <w:pStyle w:val="ListParagraph"/>
        <w:numPr>
          <w:ilvl w:val="0"/>
          <w:numId w:val="2"/>
        </w:numPr>
      </w:pPr>
      <w:r>
        <w:rPr>
          <w:rFonts w:ascii="Arial" w:cs="Arial" w:eastAsia="Arial" w:hAnsi="Arial"/>
          <w:sz w:val="20"/>
          <w:szCs w:val="20"/>
        </w:rPr>
        <w:t xml:space="preserve">Verifiable enterprise CRM deployments of comparable scale: minimum 3,000 concurrent users in a manufacturing, industrial, or B2B environment.</w:t>
      </w:r>
    </w:p>
    <w:p>
      <w:pPr>
        <w:pStyle w:val="ListParagraph"/>
        <w:numPr>
          <w:ilvl w:val="0"/>
          <w:numId w:val="2"/>
        </w:numPr>
      </w:pPr>
      <w:r>
        <w:rPr>
          <w:rFonts w:ascii="Arial" w:cs="Arial" w:eastAsia="Arial" w:hAnsi="Arial"/>
          <w:sz w:val="20"/>
          <w:szCs w:val="20"/>
        </w:rPr>
        <w:t xml:space="preserve">Active customer base of minimum 500 enterprise customers (&gt;1,000 employees) on the proposed platform version.</w:t>
      </w:r>
    </w:p>
    <w:p>
      <w:pPr>
        <w:pStyle w:val="ListParagraph"/>
        <w:numPr>
          <w:ilvl w:val="0"/>
          <w:numId w:val="2"/>
        </w:numPr>
      </w:pPr>
      <w:r>
        <w:rPr>
          <w:rFonts w:ascii="Arial" w:cs="Arial" w:eastAsia="Arial" w:hAnsi="Arial"/>
          <w:sz w:val="20"/>
          <w:szCs w:val="20"/>
        </w:rPr>
        <w:t xml:space="preserve">Demonstrated global deployment experience: references in at least 3 of the 5 required language markets (English, Spanish, German, Mandarin, Japanese).</w:t>
      </w:r>
    </w:p>
    <w:p>
      <w:pPr>
        <w:pStyle w:val="ListParagraph"/>
        <w:numPr>
          <w:ilvl w:val="0"/>
          <w:numId w:val="2"/>
        </w:numPr>
      </w:pPr>
      <w:r>
        <w:rPr>
          <w:rFonts w:ascii="Arial" w:cs="Arial" w:eastAsia="Arial" w:hAnsi="Arial"/>
          <w:sz w:val="20"/>
          <w:szCs w:val="20"/>
        </w:rPr>
        <w:t xml:space="preserve">Recognized by at least one leading industry analyst firm (Gartner Magic Quadrant, Forrester Wave, or IDC MarketScape) as a Leader or Strong Performer in CRM or Sales Force Automation.</w:t>
      </w:r>
    </w:p>
    <w:p>
      <w:pPr>
        <w:pStyle w:val="Heading2"/>
      </w:pPr>
      <w:r>
        <w:rPr>
          <w:rFonts w:ascii="Arial" w:cs="Arial" w:eastAsia="Arial" w:hAnsi="Arial"/>
          <w:b/>
          <w:bCs/>
          <w:color w:val="2E75B6"/>
          <w:sz w:val="26"/>
          <w:szCs w:val="26"/>
        </w:rPr>
        <w:t xml:space="preserve">4.3 Reference Customer Requirements</w:t>
      </w:r>
    </w:p>
    <w:p>
      <w:pPr>
        <w:spacing w:after="120" w:before="60"/>
        <w:jc w:val="left"/>
      </w:pPr>
      <w:r>
        <w:rPr>
          <w:rFonts w:ascii="Arial" w:cs="Arial" w:eastAsia="Arial" w:hAnsi="Arial"/>
          <w:b w:val="false"/>
          <w:bCs w:val="false"/>
          <w:i w:val="false"/>
          <w:iCs w:val="false"/>
          <w:sz w:val="20"/>
          <w:szCs w:val="20"/>
        </w:rPr>
        <w:t xml:space="preserve">Vendors must provide three (3) qualified reference customers meeting ALL of the following criteria:</w:t>
      </w:r>
    </w:p>
    <w:p>
      <w:pPr>
        <w:pStyle w:val="ListParagraph"/>
        <w:numPr>
          <w:ilvl w:val="0"/>
          <w:numId w:val="3"/>
        </w:numPr>
      </w:pPr>
      <w:r>
        <w:rPr>
          <w:rFonts w:ascii="Arial" w:cs="Arial" w:eastAsia="Arial" w:hAnsi="Arial"/>
          <w:sz w:val="20"/>
          <w:szCs w:val="20"/>
        </w:rPr>
        <w:t xml:space="preserve">Manufacturing, industrial, or technology sector (preference for companies with $1B+ annual revenue)</w:t>
      </w:r>
    </w:p>
    <w:p>
      <w:pPr>
        <w:pStyle w:val="ListParagraph"/>
        <w:numPr>
          <w:ilvl w:val="0"/>
          <w:numId w:val="3"/>
        </w:numPr>
      </w:pPr>
      <w:r>
        <w:rPr>
          <w:rFonts w:ascii="Arial" w:cs="Arial" w:eastAsia="Arial" w:hAnsi="Arial"/>
          <w:sz w:val="20"/>
          <w:szCs w:val="20"/>
        </w:rPr>
        <w:t xml:space="preserve">Minimum 2,000 CRM users on the same platform version proposed for GTI</w:t>
      </w:r>
    </w:p>
    <w:p>
      <w:pPr>
        <w:pStyle w:val="ListParagraph"/>
        <w:numPr>
          <w:ilvl w:val="0"/>
          <w:numId w:val="3"/>
        </w:numPr>
      </w:pPr>
      <w:r>
        <w:rPr>
          <w:rFonts w:ascii="Arial" w:cs="Arial" w:eastAsia="Arial" w:hAnsi="Arial"/>
          <w:sz w:val="20"/>
          <w:szCs w:val="20"/>
        </w:rPr>
        <w:t xml:space="preserve">Multi-region deployment covering at least 10 countries</w:t>
      </w:r>
    </w:p>
    <w:p>
      <w:pPr>
        <w:pStyle w:val="ListParagraph"/>
        <w:numPr>
          <w:ilvl w:val="0"/>
          <w:numId w:val="3"/>
        </w:numPr>
      </w:pPr>
      <w:r>
        <w:rPr>
          <w:rFonts w:ascii="Arial" w:cs="Arial" w:eastAsia="Arial" w:hAnsi="Arial"/>
          <w:sz w:val="20"/>
          <w:szCs w:val="20"/>
        </w:rPr>
        <w:t xml:space="preserve">Deployment completed and live for minimum 18 months</w:t>
      </w:r>
    </w:p>
    <w:p>
      <w:pPr>
        <w:pStyle w:val="ListParagraph"/>
        <w:numPr>
          <w:ilvl w:val="0"/>
          <w:numId w:val="3"/>
        </w:numPr>
      </w:pPr>
      <w:r>
        <w:rPr>
          <w:rFonts w:ascii="Arial" w:cs="Arial" w:eastAsia="Arial" w:hAnsi="Arial"/>
          <w:sz w:val="20"/>
          <w:szCs w:val="20"/>
        </w:rPr>
        <w:t xml:space="preserve">Willing to participate in a 60-minute reference call with GTI's evaluation committee</w:t>
      </w:r>
    </w:p>
    <w:p>
      <w:pPr>
        <w:spacing w:after="120"/>
      </w:pPr>
      <w:r>
        <w:t xml:space="preserve"/>
      </w:r>
    </w:p>
    <w:p>
      <w:pPr>
        <w:spacing w:after="120" w:before="60"/>
        <w:jc w:val="left"/>
      </w:pPr>
      <w:r>
        <w:rPr>
          <w:rFonts w:ascii="Arial" w:cs="Arial" w:eastAsia="Arial" w:hAnsi="Arial"/>
          <w:b w:val="false"/>
          <w:bCs w:val="false"/>
          <w:i w:val="false"/>
          <w:iCs w:val="false"/>
          <w:sz w:val="20"/>
          <w:szCs w:val="20"/>
        </w:rPr>
        <w:t xml:space="preserve">Reference customer information must be provided using Appendix C (Reference Customer Form). GTI reserves the right to contact any reference at its discretion.</w:t>
      </w:r>
    </w:p>
    <w:p>
      <w:pPr>
        <w:pStyle w:val="Heading2"/>
      </w:pPr>
      <w:r>
        <w:rPr>
          <w:rFonts w:ascii="Arial" w:cs="Arial" w:eastAsia="Arial" w:hAnsi="Arial"/>
          <w:b/>
          <w:bCs/>
          <w:color w:val="2E75B6"/>
          <w:sz w:val="26"/>
          <w:szCs w:val="26"/>
        </w:rPr>
        <w:t xml:space="preserve">4.4 Implementation Partner Ecosystem</w:t>
      </w:r>
    </w:p>
    <w:p>
      <w:pPr>
        <w:pStyle w:val="ListParagraph"/>
        <w:numPr>
          <w:ilvl w:val="0"/>
          <w:numId w:val="2"/>
        </w:numPr>
      </w:pPr>
      <w:r>
        <w:rPr>
          <w:rFonts w:ascii="Arial" w:cs="Arial" w:eastAsia="Arial" w:hAnsi="Arial"/>
          <w:sz w:val="20"/>
          <w:szCs w:val="20"/>
        </w:rPr>
        <w:t xml:space="preserve">Vendor must maintain a certified implementation partner network with minimum 5 global system integrators (GSIs) holding active, current platform certifications.</w:t>
      </w:r>
    </w:p>
    <w:p>
      <w:pPr>
        <w:pStyle w:val="ListParagraph"/>
        <w:numPr>
          <w:ilvl w:val="0"/>
          <w:numId w:val="2"/>
        </w:numPr>
      </w:pPr>
      <w:r>
        <w:rPr>
          <w:rFonts w:ascii="Arial" w:cs="Arial" w:eastAsia="Arial" w:hAnsi="Arial"/>
          <w:sz w:val="20"/>
          <w:szCs w:val="20"/>
        </w:rPr>
        <w:t xml:space="preserve">At least two (2) GSI partners must have demonstrated, referenceable experience in North America, EMEA, and APAC simultaneously.</w:t>
      </w:r>
    </w:p>
    <w:p>
      <w:pPr>
        <w:pStyle w:val="ListParagraph"/>
        <w:numPr>
          <w:ilvl w:val="0"/>
          <w:numId w:val="2"/>
        </w:numPr>
      </w:pPr>
      <w:r>
        <w:rPr>
          <w:rFonts w:ascii="Arial" w:cs="Arial" w:eastAsia="Arial" w:hAnsi="Arial"/>
          <w:sz w:val="20"/>
          <w:szCs w:val="20"/>
        </w:rPr>
        <w:t xml:space="preserve">Vendor must provide a partner competency framework detailing certification levels, required training, and quality assurance mechanisms.</w:t>
      </w:r>
    </w:p>
    <w:p>
      <w:pPr>
        <w:pStyle w:val="ListParagraph"/>
        <w:numPr>
          <w:ilvl w:val="0"/>
          <w:numId w:val="2"/>
        </w:numPr>
      </w:pPr>
      <w:r>
        <w:rPr>
          <w:rFonts w:ascii="Arial" w:cs="Arial" w:eastAsia="Arial" w:hAnsi="Arial"/>
          <w:sz w:val="20"/>
          <w:szCs w:val="20"/>
        </w:rPr>
        <w:t xml:space="preserve">GTI may contract directly with a third-party implementation partner; vendor must confirm willingness to operate in a tri-party model (GTI + Software Vendor + SI).</w:t>
      </w:r>
    </w:p>
    <w:p>
      <w:pPr>
        <w:pStyle w:val="Heading2"/>
      </w:pPr>
      <w:r>
        <w:rPr>
          <w:rFonts w:ascii="Arial" w:cs="Arial" w:eastAsia="Arial" w:hAnsi="Arial"/>
          <w:b/>
          <w:bCs/>
          <w:color w:val="2E75B6"/>
          <w:sz w:val="26"/>
          <w:szCs w:val="26"/>
        </w:rPr>
        <w:t xml:space="preserve">4.5 Required Certifications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Certification / Standard</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 Level</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Documentation Required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SOC 2 Type II</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C00000"/>
                <w:sz w:val="18"/>
                <w:szCs w:val="18"/>
              </w:rPr>
              <w:t xml:space="preserve">Mandatory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Full report issued within the past 12 months; bridge letter if period gap exists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ISO 27001:2022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C00000"/>
                <w:sz w:val="18"/>
                <w:szCs w:val="18"/>
              </w:rPr>
              <w:t xml:space="preserve">Mandatory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Valid certificate with scope statement; expiry no sooner than Jan 1, 2027</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GDPR Data Processing Agreement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C00000"/>
                <w:sz w:val="18"/>
                <w:szCs w:val="18"/>
              </w:rPr>
              <w:t xml:space="preserve">Mandatory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Signed DPA template provided with proposal; EU Standard Contractual Clauses included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ISO 27017 (Cloud Security)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375623"/>
                <w:sz w:val="18"/>
                <w:szCs w:val="18"/>
              </w:rPr>
              <w:t xml:space="preserve">Preferred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Certificate or attestation letter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FedRAMP (if applicable)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Informational</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Indicate authorization status; not required but positively evaluated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Accessibility: WCAG 2.1 AA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C00000"/>
                <w:sz w:val="18"/>
                <w:szCs w:val="18"/>
              </w:rPr>
              <w:t xml:space="preserve">Mandatory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Accessibility Conformance Report (VPAT 2.4 or later) required</w:t>
            </w:r>
          </w:p>
        </w:tc>
      </w:tr>
    </w:tbl>
    <w:p>
      <w:pPr>
        <w:pStyle w:val="Heading1"/>
        <w:pageBreakBefore/>
      </w:pPr>
      <w:r>
        <w:rPr>
          <w:rFonts w:ascii="Arial" w:cs="Arial" w:eastAsia="Arial" w:hAnsi="Arial"/>
          <w:b/>
          <w:bCs/>
          <w:color w:val="1F3864"/>
          <w:sz w:val="32"/>
          <w:szCs w:val="32"/>
        </w:rPr>
        <w:t xml:space="preserve">5. Implementation Approach</w:t>
      </w:r>
    </w:p>
    <w:p>
      <w:pPr>
        <w:pStyle w:val="Heading2"/>
      </w:pPr>
      <w:r>
        <w:rPr>
          <w:rFonts w:ascii="Arial" w:cs="Arial" w:eastAsia="Arial" w:hAnsi="Arial"/>
          <w:b/>
          <w:bCs/>
          <w:color w:val="2E75B6"/>
          <w:sz w:val="26"/>
          <w:szCs w:val="26"/>
        </w:rPr>
        <w:t xml:space="preserve">5.1 Methodology Preferences</w:t>
      </w:r>
    </w:p>
    <w:p>
      <w:pPr>
        <w:spacing w:after="120" w:before="60"/>
        <w:jc w:val="left"/>
      </w:pPr>
      <w:r>
        <w:rPr>
          <w:rFonts w:ascii="Arial" w:cs="Arial" w:eastAsia="Arial" w:hAnsi="Arial"/>
          <w:b w:val="false"/>
          <w:bCs w:val="false"/>
          <w:i w:val="false"/>
          <w:iCs w:val="false"/>
          <w:sz w:val="20"/>
          <w:szCs w:val="20"/>
        </w:rPr>
        <w:t xml:space="preserve">GTI has a mature project management office and preference for structured, milestone-driven implementations. Vendors should propose an implementation methodology addressing the following:</w:t>
      </w:r>
    </w:p>
    <w:p>
      <w:pPr>
        <w:pStyle w:val="ListParagraph"/>
        <w:numPr>
          <w:ilvl w:val="0"/>
          <w:numId w:val="2"/>
        </w:numPr>
      </w:pPr>
      <w:r>
        <w:rPr>
          <w:rFonts w:ascii="Arial" w:cs="Arial" w:eastAsia="Arial" w:hAnsi="Arial"/>
          <w:sz w:val="20"/>
          <w:szCs w:val="20"/>
        </w:rPr>
        <w:t xml:space="preserve">GTI strongly prefers an agile-at-scale implementation approach using 2-week sprint cycles within a structured phase framework (not pure waterfall). Vendors should describe their methodology and how they have applied it to similarly complex CRM deployments.</w:t>
      </w:r>
    </w:p>
    <w:p>
      <w:pPr>
        <w:pStyle w:val="ListParagraph"/>
        <w:numPr>
          <w:ilvl w:val="0"/>
          <w:numId w:val="2"/>
        </w:numPr>
      </w:pPr>
      <w:r>
        <w:rPr>
          <w:rFonts w:ascii="Arial" w:cs="Arial" w:eastAsia="Arial" w:hAnsi="Arial"/>
          <w:sz w:val="20"/>
          <w:szCs w:val="20"/>
        </w:rPr>
        <w:t xml:space="preserve">A dedicated GTI Steering Committee (CEO, CFO, CRO, CIO, VP IT Procurement) will review and approve each major milestone. Vendors must budget time and resources for executive-level reporting.</w:t>
      </w:r>
    </w:p>
    <w:p>
      <w:pPr>
        <w:pStyle w:val="ListParagraph"/>
        <w:numPr>
          <w:ilvl w:val="0"/>
          <w:numId w:val="2"/>
        </w:numPr>
      </w:pPr>
      <w:r>
        <w:rPr>
          <w:rFonts w:ascii="Arial" w:cs="Arial" w:eastAsia="Arial" w:hAnsi="Arial"/>
          <w:sz w:val="20"/>
          <w:szCs w:val="20"/>
        </w:rPr>
        <w:t xml:space="preserve">Phased geographic rollout is preferred (N. America → EMEA → APAC) to manage change risk. Vendors may propose alternative sequencing with justification.</w:t>
      </w:r>
    </w:p>
    <w:p>
      <w:pPr>
        <w:pStyle w:val="ListParagraph"/>
        <w:numPr>
          <w:ilvl w:val="0"/>
          <w:numId w:val="2"/>
        </w:numPr>
      </w:pPr>
      <w:r>
        <w:rPr>
          <w:rFonts w:ascii="Arial" w:cs="Arial" w:eastAsia="Arial" w:hAnsi="Arial"/>
          <w:sz w:val="20"/>
          <w:szCs w:val="20"/>
        </w:rPr>
        <w:t xml:space="preserve">Vendors must provide a staffing plan identifying all proposed roles, minimum qualifications, named key resources (Project Manager, Solution Architect, Lead Developer), and resource allocation percentages throughout the project.</w:t>
      </w:r>
    </w:p>
    <w:p>
      <w:pPr>
        <w:pStyle w:val="Heading2"/>
      </w:pPr>
      <w:r>
        <w:rPr>
          <w:rFonts w:ascii="Arial" w:cs="Arial" w:eastAsia="Arial" w:hAnsi="Arial"/>
          <w:b/>
          <w:bCs/>
          <w:color w:val="2E75B6"/>
          <w:sz w:val="26"/>
          <w:szCs w:val="26"/>
        </w:rPr>
        <w:t xml:space="preserve">5.2 Change Management &amp; Training</w:t>
      </w:r>
    </w:p>
    <w:p>
      <w:pPr>
        <w:spacing w:after="120" w:before="60"/>
        <w:jc w:val="left"/>
      </w:pPr>
      <w:r>
        <w:rPr>
          <w:rFonts w:ascii="Arial" w:cs="Arial" w:eastAsia="Arial" w:hAnsi="Arial"/>
          <w:b w:val="false"/>
          <w:bCs w:val="false"/>
          <w:i w:val="false"/>
          <w:iCs w:val="false"/>
          <w:sz w:val="20"/>
          <w:szCs w:val="20"/>
        </w:rPr>
        <w:t xml:space="preserve">Effective change management is considered a critical success factor by GTI's executive team. Requirements include:</w:t>
      </w:r>
    </w:p>
    <w:p>
      <w:pPr>
        <w:pStyle w:val="ListParagraph"/>
        <w:numPr>
          <w:ilvl w:val="0"/>
          <w:numId w:val="2"/>
        </w:numPr>
      </w:pPr>
      <w:r>
        <w:rPr>
          <w:rFonts w:ascii="Arial" w:cs="Arial" w:eastAsia="Arial" w:hAnsi="Arial"/>
          <w:sz w:val="20"/>
          <w:szCs w:val="20"/>
        </w:rPr>
        <w:t xml:space="preserve">Organizational change management plan addressing stakeholder analysis, communications strategy, resistance management, and adoption measurement.</w:t>
      </w:r>
    </w:p>
    <w:p>
      <w:pPr>
        <w:pStyle w:val="ListParagraph"/>
        <w:numPr>
          <w:ilvl w:val="0"/>
          <w:numId w:val="2"/>
        </w:numPr>
      </w:pPr>
      <w:r>
        <w:rPr>
          <w:rFonts w:ascii="Arial" w:cs="Arial" w:eastAsia="Arial" w:hAnsi="Arial"/>
          <w:sz w:val="20"/>
          <w:szCs w:val="20"/>
        </w:rPr>
        <w:t xml:space="preserve">Role-based training curriculum for each user group defined in Section 2.2. Training must be available in all five required languages.</w:t>
      </w:r>
    </w:p>
    <w:p>
      <w:pPr>
        <w:pStyle w:val="ListParagraph"/>
        <w:numPr>
          <w:ilvl w:val="0"/>
          <w:numId w:val="2"/>
        </w:numPr>
      </w:pPr>
      <w:r>
        <w:rPr>
          <w:rFonts w:ascii="Arial" w:cs="Arial" w:eastAsia="Arial" w:hAnsi="Arial"/>
          <w:sz w:val="20"/>
          <w:szCs w:val="20"/>
        </w:rPr>
        <w:t xml:space="preserve">Training delivery must support multiple modalities: instructor-led (in-person and virtual), on-demand eLearning, and in-application guided tours/tooltips.</w:t>
      </w:r>
    </w:p>
    <w:p>
      <w:pPr>
        <w:pStyle w:val="ListParagraph"/>
        <w:numPr>
          <w:ilvl w:val="0"/>
          <w:numId w:val="2"/>
        </w:numPr>
      </w:pPr>
      <w:r>
        <w:rPr>
          <w:rFonts w:ascii="Arial" w:cs="Arial" w:eastAsia="Arial" w:hAnsi="Arial"/>
          <w:sz w:val="20"/>
          <w:szCs w:val="20"/>
        </w:rPr>
        <w:t xml:space="preserve">GTI requires a 'Train the Trainer' program to build internal capability for ongoing onboarding of new employees post-implementation.</w:t>
      </w:r>
    </w:p>
    <w:p>
      <w:pPr>
        <w:pStyle w:val="ListParagraph"/>
        <w:numPr>
          <w:ilvl w:val="0"/>
          <w:numId w:val="2"/>
        </w:numPr>
      </w:pPr>
      <w:r>
        <w:rPr>
          <w:rFonts w:ascii="Arial" w:cs="Arial" w:eastAsia="Arial" w:hAnsi="Arial"/>
          <w:sz w:val="20"/>
          <w:szCs w:val="20"/>
        </w:rPr>
        <w:t xml:space="preserve">Adoption metrics must be built into the project plan with defined thresholds and a remediation approach if adoption targets are not met within 90 days of each go-live.</w:t>
      </w:r>
    </w:p>
    <w:p>
      <w:pPr>
        <w:pStyle w:val="Heading2"/>
      </w:pPr>
      <w:r>
        <w:rPr>
          <w:rFonts w:ascii="Arial" w:cs="Arial" w:eastAsia="Arial" w:hAnsi="Arial"/>
          <w:b/>
          <w:bCs/>
          <w:color w:val="2E75B6"/>
          <w:sz w:val="26"/>
          <w:szCs w:val="26"/>
        </w:rPr>
        <w:t xml:space="preserve">5.3 Testing Approach</w:t>
      </w:r>
    </w:p>
    <w:p>
      <w:pPr>
        <w:pStyle w:val="ListParagraph"/>
        <w:numPr>
          <w:ilvl w:val="0"/>
          <w:numId w:val="2"/>
        </w:numPr>
      </w:pPr>
      <w:r>
        <w:rPr>
          <w:rFonts w:ascii="Arial" w:cs="Arial" w:eastAsia="Arial" w:hAnsi="Arial"/>
          <w:sz w:val="20"/>
          <w:szCs w:val="20"/>
        </w:rPr>
        <w:t xml:space="preserve">Vendors must include a comprehensive testing strategy covering: unit testing, system integration testing (SIT), user acceptance testing (UAT), performance/load testing, security penetration testing, and regression testing.</w:t>
      </w:r>
    </w:p>
    <w:p>
      <w:pPr>
        <w:pStyle w:val="ListParagraph"/>
        <w:numPr>
          <w:ilvl w:val="0"/>
          <w:numId w:val="2"/>
        </w:numPr>
      </w:pPr>
      <w:r>
        <w:rPr>
          <w:rFonts w:ascii="Arial" w:cs="Arial" w:eastAsia="Arial" w:hAnsi="Arial"/>
          <w:sz w:val="20"/>
          <w:szCs w:val="20"/>
        </w:rPr>
        <w:t xml:space="preserve">UAT must be led by GTI business stakeholders with vendor support. Minimum 4-week UAT window per phase is required.</w:t>
      </w:r>
    </w:p>
    <w:p>
      <w:pPr>
        <w:pStyle w:val="ListParagraph"/>
        <w:numPr>
          <w:ilvl w:val="0"/>
          <w:numId w:val="2"/>
        </w:numPr>
      </w:pPr>
      <w:r>
        <w:rPr>
          <w:rFonts w:ascii="Arial" w:cs="Arial" w:eastAsia="Arial" w:hAnsi="Arial"/>
          <w:sz w:val="20"/>
          <w:szCs w:val="20"/>
        </w:rPr>
        <w:t xml:space="preserve">Performance testing must simulate peak load (3,500 concurrent users) and demonstrate compliance with the performance requirements in Section 3.6.</w:t>
      </w:r>
    </w:p>
    <w:p>
      <w:pPr>
        <w:pStyle w:val="ListParagraph"/>
        <w:numPr>
          <w:ilvl w:val="0"/>
          <w:numId w:val="2"/>
        </w:numPr>
      </w:pPr>
      <w:r>
        <w:rPr>
          <w:rFonts w:ascii="Arial" w:cs="Arial" w:eastAsia="Arial" w:hAnsi="Arial"/>
          <w:sz w:val="20"/>
          <w:szCs w:val="20"/>
        </w:rPr>
        <w:t xml:space="preserve">Independent security penetration testing by a qualified third party must be completed prior to each regional go-live. GTI IT Security team has right of review over pentest methodology and results.</w:t>
      </w:r>
    </w:p>
    <w:p>
      <w:pPr>
        <w:pStyle w:val="Heading2"/>
      </w:pPr>
      <w:r>
        <w:rPr>
          <w:rFonts w:ascii="Arial" w:cs="Arial" w:eastAsia="Arial" w:hAnsi="Arial"/>
          <w:b/>
          <w:bCs/>
          <w:color w:val="2E75B6"/>
          <w:sz w:val="26"/>
          <w:szCs w:val="26"/>
        </w:rPr>
        <w:t xml:space="preserve">5.4 Go-Live Strategy</w:t>
      </w:r>
    </w:p>
    <w:p>
      <w:pPr>
        <w:spacing w:after="120" w:before="60"/>
        <w:jc w:val="left"/>
      </w:pPr>
      <w:r>
        <w:rPr>
          <w:rFonts w:ascii="Arial" w:cs="Arial" w:eastAsia="Arial" w:hAnsi="Arial"/>
          <w:b w:val="false"/>
          <w:bCs w:val="false"/>
          <w:i w:val="false"/>
          <w:iCs w:val="false"/>
          <w:sz w:val="20"/>
          <w:szCs w:val="20"/>
        </w:rPr>
        <w:t xml:space="preserve">For each regional go-live, vendors must provide:</w:t>
      </w:r>
    </w:p>
    <w:p>
      <w:pPr>
        <w:pStyle w:val="ListParagraph"/>
        <w:numPr>
          <w:ilvl w:val="0"/>
          <w:numId w:val="2"/>
        </w:numPr>
      </w:pPr>
      <w:r>
        <w:rPr>
          <w:rFonts w:ascii="Arial" w:cs="Arial" w:eastAsia="Arial" w:hAnsi="Arial"/>
          <w:sz w:val="20"/>
          <w:szCs w:val="20"/>
        </w:rPr>
        <w:t xml:space="preserve">Detailed cutover plan with task-level checklist, responsible parties, timing, and go/no-go decision criteria.</w:t>
      </w:r>
    </w:p>
    <w:p>
      <w:pPr>
        <w:pStyle w:val="ListParagraph"/>
        <w:numPr>
          <w:ilvl w:val="0"/>
          <w:numId w:val="2"/>
        </w:numPr>
      </w:pPr>
      <w:r>
        <w:rPr>
          <w:rFonts w:ascii="Arial" w:cs="Arial" w:eastAsia="Arial" w:hAnsi="Arial"/>
          <w:sz w:val="20"/>
          <w:szCs w:val="20"/>
        </w:rPr>
        <w:t xml:space="preserve">Hypercare support plan for the 30 days following each go-live, including dedicated support contacts, daily status calls, and accelerated issue resolution SLAs.</w:t>
      </w:r>
    </w:p>
    <w:p>
      <w:pPr>
        <w:pStyle w:val="ListParagraph"/>
        <w:numPr>
          <w:ilvl w:val="0"/>
          <w:numId w:val="2"/>
        </w:numPr>
      </w:pPr>
      <w:r>
        <w:rPr>
          <w:rFonts w:ascii="Arial" w:cs="Arial" w:eastAsia="Arial" w:hAnsi="Arial"/>
          <w:sz w:val="20"/>
          <w:szCs w:val="20"/>
        </w:rPr>
        <w:t xml:space="preserve">Rollback plan with defined triggers, estimated rollback time, and data preservation procedures in the event of a critical failure within the first 72 hours post-cutover.</w:t>
      </w:r>
    </w:p>
    <w:p>
      <w:pPr>
        <w:pStyle w:val="Heading1"/>
        <w:pageBreakBefore/>
      </w:pPr>
      <w:r>
        <w:rPr>
          <w:rFonts w:ascii="Arial" w:cs="Arial" w:eastAsia="Arial" w:hAnsi="Arial"/>
          <w:b/>
          <w:bCs/>
          <w:color w:val="1F3864"/>
          <w:sz w:val="32"/>
          <w:szCs w:val="32"/>
        </w:rPr>
        <w:t xml:space="preserve">6. Support &amp; Maintenance</w:t>
      </w:r>
    </w:p>
    <w:p>
      <w:pPr>
        <w:pStyle w:val="Heading2"/>
      </w:pPr>
      <w:r>
        <w:rPr>
          <w:rFonts w:ascii="Arial" w:cs="Arial" w:eastAsia="Arial" w:hAnsi="Arial"/>
          <w:b/>
          <w:bCs/>
          <w:color w:val="2E75B6"/>
          <w:sz w:val="26"/>
          <w:szCs w:val="26"/>
        </w:rPr>
        <w:t xml:space="preserve">6.1 SLA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200"/>
        <w:gridCol w:w="1560"/>
      </w:tblGrid>
      <w:tr>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Initial Response Time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 Time Target</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Escalation</w:t>
            </w:r>
          </w:p>
        </w:tc>
      </w:tr>
      <w:tr>
        <w:tc>
          <w:tcPr>
            <w:tcW w:type="dxa" w:w="1600"/>
            <w:tcBorders>
              <w:top w:val="single" w:color="CCCCCC" w:sz="1"/>
              <w:left w:val="single" w:color="CCCCCC" w:sz="1"/>
              <w:bottom w:val="single" w:color="CCCCCC" w:sz="1"/>
              <w:right w:val="single" w:color="CCCCCC" w:sz="1"/>
            </w:tcBorders>
            <w:shd w:fill="FFCCCC" w:val="clear"/>
            <w:tcMar>
              <w:top w:type="dxa" w:w="60"/>
              <w:left w:type="dxa" w:w="120"/>
              <w:bottom w:type="dxa" w:w="60"/>
              <w:right w:type="dxa" w:w="120"/>
            </w:tcMar>
          </w:tcPr>
          <w:p>
            <w:r>
              <w:rPr>
                <w:rFonts w:ascii="Arial" w:cs="Arial" w:eastAsia="Arial" w:hAnsi="Arial"/>
                <w:b/>
                <w:bCs/>
                <w:color w:val="C00000"/>
                <w:sz w:val="18"/>
                <w:szCs w:val="18"/>
              </w:rPr>
              <w:t xml:space="preserve">P1 – Critical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Production down / data loss risk</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15 minutes (24/7)</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4 hours (24/7)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VP Support</w:t>
            </w:r>
          </w:p>
        </w:tc>
      </w:tr>
      <w:tr>
        <w:tc>
          <w:tcPr>
            <w:tcW w:type="dxa" w:w="1600"/>
            <w:tcBorders>
              <w:top w:val="single" w:color="CCCCCC" w:sz="1"/>
              <w:left w:val="single" w:color="CCCCCC" w:sz="1"/>
              <w:bottom w:val="single" w:color="CCCCCC" w:sz="1"/>
              <w:right w:val="single" w:color="CCCCCC" w:sz="1"/>
            </w:tcBorders>
            <w:shd w:fill="FFE4CC" w:val="clear"/>
            <w:tcMar>
              <w:top w:type="dxa" w:w="60"/>
              <w:left w:type="dxa" w:w="120"/>
              <w:bottom w:type="dxa" w:w="60"/>
              <w:right w:type="dxa" w:w="120"/>
            </w:tcMar>
          </w:tcPr>
          <w:p>
            <w:r>
              <w:rPr>
                <w:rFonts w:ascii="Arial" w:cs="Arial" w:eastAsia="Arial" w:hAnsi="Arial"/>
                <w:b/>
                <w:bCs/>
                <w:color w:val="C55A00"/>
                <w:sz w:val="18"/>
                <w:szCs w:val="18"/>
              </w:rPr>
              <w:t xml:space="preserve">P2 – High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Major feature unavailable, no workaround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 hour (24/7)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8 business hours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Director</w:t>
            </w:r>
          </w:p>
        </w:tc>
      </w:tr>
      <w:tr>
        <w:tc>
          <w:tcPr>
            <w:tcW w:type="dxa" w:w="1600"/>
            <w:tcBorders>
              <w:top w:val="single" w:color="CCCCCC" w:sz="1"/>
              <w:left w:val="single" w:color="CCCCCC" w:sz="1"/>
              <w:bottom w:val="single" w:color="CCCCCC" w:sz="1"/>
              <w:right w:val="single" w:color="CCCCCC" w:sz="1"/>
            </w:tcBorders>
            <w:shd w:fill="FFFACC" w:val="clear"/>
            <w:tcMar>
              <w:top w:type="dxa" w:w="60"/>
              <w:left w:type="dxa" w:w="120"/>
              <w:bottom w:type="dxa" w:w="60"/>
              <w:right w:type="dxa" w:w="120"/>
            </w:tcMar>
          </w:tcPr>
          <w:p>
            <w:r>
              <w:rPr>
                <w:rFonts w:ascii="Arial" w:cs="Arial" w:eastAsia="Arial" w:hAnsi="Arial"/>
                <w:b/>
                <w:bCs/>
                <w:color w:val="7F6000"/>
                <w:sz w:val="18"/>
                <w:szCs w:val="18"/>
              </w:rPr>
              <w:t xml:space="preserve">P3 – Medium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Feature degraded, workaround available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4 business hours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3 business days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Manager</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8"/>
                <w:szCs w:val="18"/>
              </w:rPr>
              <w:t xml:space="preserve">P4 – Low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Minor issue / general question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8 business hours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10 business days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Standard Queue</w:t>
            </w:r>
          </w:p>
        </w:tc>
      </w:tr>
    </w:tbl>
    <w:p>
      <w:pPr>
        <w:spacing w:after="120"/>
      </w:pPr>
      <w:r>
        <w:t xml:space="preserve"/>
      </w:r>
    </w:p>
    <w:p>
      <w:pPr>
        <w:pStyle w:val="Heading2"/>
      </w:pPr>
      <w:r>
        <w:rPr>
          <w:rFonts w:ascii="Arial" w:cs="Arial" w:eastAsia="Arial" w:hAnsi="Arial"/>
          <w:b/>
          <w:bCs/>
          <w:color w:val="2E75B6"/>
          <w:sz w:val="26"/>
          <w:szCs w:val="26"/>
        </w:rPr>
        <w:t xml:space="preserve">6.2 Support Tier Structure</w:t>
      </w:r>
    </w:p>
    <w:p>
      <w:pPr>
        <w:spacing w:after="120" w:before="60"/>
        <w:jc w:val="left"/>
      </w:pPr>
      <w:r>
        <w:rPr>
          <w:rFonts w:ascii="Arial" w:cs="Arial" w:eastAsia="Arial" w:hAnsi="Arial"/>
          <w:b w:val="false"/>
          <w:bCs w:val="false"/>
          <w:i w:val="false"/>
          <w:iCs w:val="false"/>
          <w:sz w:val="20"/>
          <w:szCs w:val="20"/>
        </w:rPr>
        <w:t xml:space="preserve">GTI requires a three-tier support model:</w:t>
      </w:r>
    </w:p>
    <w:p>
      <w:pPr>
        <w:pStyle w:val="ListParagraph"/>
        <w:numPr>
          <w:ilvl w:val="0"/>
          <w:numId w:val="2"/>
        </w:numPr>
      </w:pPr>
      <w:r>
        <w:rPr>
          <w:rFonts w:ascii="Arial" w:cs="Arial" w:eastAsia="Arial" w:hAnsi="Arial"/>
          <w:sz w:val="20"/>
          <w:szCs w:val="20"/>
        </w:rPr>
        <w:t xml:space="preserve">Level 1 (L1) – GTI Internal Help Desk: GTI will operate a first-line support function trained on the CRM platform. Vendor must provide materials, training, and knowledge base access to enable L1 resolution of common user issues without vendor escalation.</w:t>
      </w:r>
    </w:p>
    <w:p>
      <w:pPr>
        <w:pStyle w:val="ListParagraph"/>
        <w:numPr>
          <w:ilvl w:val="0"/>
          <w:numId w:val="2"/>
        </w:numPr>
      </w:pPr>
      <w:r>
        <w:rPr>
          <w:rFonts w:ascii="Arial" w:cs="Arial" w:eastAsia="Arial" w:hAnsi="Arial"/>
          <w:sz w:val="20"/>
          <w:szCs w:val="20"/>
        </w:rPr>
        <w:t xml:space="preserve">Level 2 (L2) – Vendor Standard Support: Vendor's support team handles platform bugs, configuration questions, and integration issues escalated from GTI L1.</w:t>
      </w:r>
    </w:p>
    <w:p>
      <w:pPr>
        <w:pStyle w:val="ListParagraph"/>
        <w:numPr>
          <w:ilvl w:val="0"/>
          <w:numId w:val="2"/>
        </w:numPr>
      </w:pPr>
      <w:r>
        <w:rPr>
          <w:rFonts w:ascii="Arial" w:cs="Arial" w:eastAsia="Arial" w:hAnsi="Arial"/>
          <w:sz w:val="20"/>
          <w:szCs w:val="20"/>
        </w:rPr>
        <w:t xml:space="preserve">Level 3 (L3) – Vendor Engineering Escalation: Product engineering team handles platform defects requiring code-level investigation and hotfix deployment.</w:t>
      </w:r>
    </w:p>
    <w:p>
      <w:pPr>
        <w:spacing w:after="120"/>
      </w:pPr>
      <w:r>
        <w:t xml:space="preserve"/>
      </w:r>
    </w:p>
    <w:p>
      <w:pPr>
        <w:spacing w:after="120" w:before="60"/>
        <w:jc w:val="left"/>
      </w:pPr>
      <w:r>
        <w:rPr>
          <w:rFonts w:ascii="Arial" w:cs="Arial" w:eastAsia="Arial" w:hAnsi="Arial"/>
          <w:b w:val="false"/>
          <w:bCs w:val="false"/>
          <w:i w:val="false"/>
          <w:iCs w:val="false"/>
          <w:sz w:val="20"/>
          <w:szCs w:val="20"/>
        </w:rPr>
        <w:t xml:space="preserve">GTI requires a named Customer Success Manager (CSM) assigned to the account as part of the enterprise support tier. The CSM must conduct minimum monthly business reviews and quarterly executive business reviews with GTI stakeholders.</w:t>
      </w:r>
    </w:p>
    <w:p>
      <w:pPr>
        <w:pStyle w:val="Heading2"/>
      </w:pPr>
      <w:r>
        <w:rPr>
          <w:rFonts w:ascii="Arial" w:cs="Arial" w:eastAsia="Arial" w:hAnsi="Arial"/>
          <w:b/>
          <w:bCs/>
          <w:color w:val="2E75B6"/>
          <w:sz w:val="26"/>
          <w:szCs w:val="26"/>
        </w:rPr>
        <w:t xml:space="preserve">6.3 Maintenance &amp; Enhancement</w:t>
      </w:r>
    </w:p>
    <w:p>
      <w:pPr>
        <w:pStyle w:val="ListParagraph"/>
        <w:numPr>
          <w:ilvl w:val="0"/>
          <w:numId w:val="2"/>
        </w:numPr>
      </w:pPr>
      <w:r>
        <w:rPr>
          <w:rFonts w:ascii="Arial" w:cs="Arial" w:eastAsia="Arial" w:hAnsi="Arial"/>
          <w:sz w:val="20"/>
          <w:szCs w:val="20"/>
        </w:rPr>
        <w:t xml:space="preserve">Vendor must provide a public product roadmap with minimum 12-month visibility, updated quarterly.</w:t>
      </w:r>
    </w:p>
    <w:p>
      <w:pPr>
        <w:pStyle w:val="ListParagraph"/>
        <w:numPr>
          <w:ilvl w:val="0"/>
          <w:numId w:val="2"/>
        </w:numPr>
      </w:pPr>
      <w:r>
        <w:rPr>
          <w:rFonts w:ascii="Arial" w:cs="Arial" w:eastAsia="Arial" w:hAnsi="Arial"/>
          <w:sz w:val="20"/>
          <w:szCs w:val="20"/>
        </w:rPr>
        <w:t xml:space="preserve">GTI must have a designated channel to submit product enhancement requests and track their consideration in the product roadmap process.</w:t>
      </w:r>
    </w:p>
    <w:p>
      <w:pPr>
        <w:pStyle w:val="ListParagraph"/>
        <w:numPr>
          <w:ilvl w:val="0"/>
          <w:numId w:val="2"/>
        </w:numPr>
      </w:pPr>
      <w:r>
        <w:rPr>
          <w:rFonts w:ascii="Arial" w:cs="Arial" w:eastAsia="Arial" w:hAnsi="Arial"/>
          <w:sz w:val="20"/>
          <w:szCs w:val="20"/>
        </w:rPr>
        <w:t xml:space="preserve">Vendor must provide minimum 90 days advance notice for any breaking API changes or major platform upgrades that require GTI action.</w:t>
      </w:r>
    </w:p>
    <w:p>
      <w:pPr>
        <w:pStyle w:val="ListParagraph"/>
        <w:numPr>
          <w:ilvl w:val="0"/>
          <w:numId w:val="2"/>
        </w:numPr>
      </w:pPr>
      <w:r>
        <w:rPr>
          <w:rFonts w:ascii="Arial" w:cs="Arial" w:eastAsia="Arial" w:hAnsi="Arial"/>
          <w:sz w:val="20"/>
          <w:szCs w:val="20"/>
        </w:rPr>
        <w:t xml:space="preserve">Major version upgrades must be offered in a sandbox environment minimum 60 days before production deployment.</w:t>
      </w:r>
    </w:p>
    <w:p>
      <w:pPr>
        <w:pStyle w:val="Heading1"/>
        <w:pageBreakBefore/>
      </w:pPr>
      <w:r>
        <w:rPr>
          <w:rFonts w:ascii="Arial" w:cs="Arial" w:eastAsia="Arial" w:hAnsi="Arial"/>
          <w:b/>
          <w:bCs/>
          <w:color w:val="1F3864"/>
          <w:sz w:val="32"/>
          <w:szCs w:val="32"/>
        </w:rPr>
        <w:t xml:space="preserve">7. Pricing Structure</w:t>
      </w:r>
    </w:p>
    <w:p>
      <w:pPr>
        <w:pStyle w:val="Heading2"/>
      </w:pPr>
      <w:r>
        <w:rPr>
          <w:rFonts w:ascii="Arial" w:cs="Arial" w:eastAsia="Arial" w:hAnsi="Arial"/>
          <w:b/>
          <w:bCs/>
          <w:color w:val="2E75B6"/>
          <w:sz w:val="26"/>
          <w:szCs w:val="26"/>
        </w:rPr>
        <w:t xml:space="preserve">7.1 Licensing Pricing Request</w:t>
      </w:r>
    </w:p>
    <w:p>
      <w:pPr>
        <w:spacing w:after="120" w:before="60"/>
        <w:jc w:val="left"/>
      </w:pPr>
      <w:r>
        <w:rPr>
          <w:rFonts w:ascii="Arial" w:cs="Arial" w:eastAsia="Arial" w:hAnsi="Arial"/>
          <w:b w:val="false"/>
          <w:bCs w:val="false"/>
          <w:i w:val="false"/>
          <w:iCs w:val="false"/>
          <w:sz w:val="20"/>
          <w:szCs w:val="20"/>
        </w:rPr>
        <w:t xml:space="preserve">Vendors must provide per-unit pricing for each license tier. GTI's initial license volumes are indicated below; pricing should also be provided for a 50% volume increase scenario to demonstrate scaling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1800"/>
        <w:gridCol w:w="1560"/>
      </w:tblGrid>
      <w:t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License 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Initial Qty</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 Price (Annual)</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(Year 1)</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150% Qty Price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Sales Professional (Full SFA)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2,900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Sales Starter (Inside Sales / SDR)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Marketing Professional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Service Agent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Platform / Admin (Read/Write All)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 ANNUAL LICENSING</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4,360</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t xml:space="preserve"/>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___________</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t xml:space="preserve"/>
            </w:r>
          </w:p>
        </w:tc>
      </w:tr>
    </w:tbl>
    <w:p>
      <w:pPr>
        <w:spacing w:after="120"/>
      </w:pPr>
      <w:r>
        <w:t xml:space="preserve"/>
      </w:r>
    </w:p>
    <w:p>
      <w:pPr>
        <w:pStyle w:val="Heading2"/>
      </w:pPr>
      <w:r>
        <w:rPr>
          <w:rFonts w:ascii="Arial" w:cs="Arial" w:eastAsia="Arial" w:hAnsi="Arial"/>
          <w:b/>
          <w:bCs/>
          <w:color w:val="2E75B6"/>
          <w:sz w:val="26"/>
          <w:szCs w:val="26"/>
        </w:rPr>
        <w:t xml:space="preserve">7.2 Implementation Services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00"/>
        <w:gridCol w:w="2560"/>
      </w:tblGrid>
      <w:tr>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Service Category</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Hours</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Blended Rate/Hr</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Estimated Total</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Project Management &amp; Governance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1,200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Solution Architecture &amp; Design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Configuration &amp; Development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3,500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Data Migration (all 3 sources)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Integration Development (all 8 systems)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2,800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Testing (SIT, UAT, Performance, Security)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1,600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Training &amp; Change Management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1,200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Hypercare (30 days per phase, 3 phases)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 ___________</w:t>
            </w:r>
          </w:p>
        </w:tc>
      </w:tr>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 IMPLEMENTATION ESTIMATE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~13,900</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t xml:space="preserve"/>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___________</w:t>
            </w:r>
          </w:p>
        </w:tc>
      </w:tr>
    </w:tbl>
    <w:p>
      <w:pPr>
        <w:spacing w:after="120"/>
      </w:pPr>
      <w:r>
        <w:t xml:space="preserve"/>
      </w:r>
    </w:p>
    <w:p>
      <w:pPr>
        <w:pStyle w:val="Heading2"/>
      </w:pPr>
      <w:r>
        <w:rPr>
          <w:rFonts w:ascii="Arial" w:cs="Arial" w:eastAsia="Arial" w:hAnsi="Arial"/>
          <w:b/>
          <w:bCs/>
          <w:color w:val="2E75B6"/>
          <w:sz w:val="26"/>
          <w:szCs w:val="26"/>
        </w:rPr>
        <w:t xml:space="preserve">7.3 Five-Year Total Cost of Ownership (TCO)</w:t>
      </w:r>
    </w:p>
    <w:p>
      <w:pPr>
        <w:spacing w:after="120" w:before="60"/>
        <w:jc w:val="left"/>
      </w:pPr>
      <w:r>
        <w:rPr>
          <w:rFonts w:ascii="Arial" w:cs="Arial" w:eastAsia="Arial" w:hAnsi="Arial"/>
          <w:b w:val="false"/>
          <w:bCs w:val="false"/>
          <w:i w:val="false"/>
          <w:iCs w:val="false"/>
          <w:sz w:val="20"/>
          <w:szCs w:val="20"/>
        </w:rPr>
        <w:t xml:space="preserve">Vendors must complete the 5-year TCO worksheet below. All figures must be in USD. Assumptions used must be clearly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5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 Category</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1</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2</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3</w:t>
            </w:r>
          </w:p>
        </w:tc>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4</w:t>
            </w:r>
          </w:p>
        </w:tc>
        <w:tc>
          <w:tcPr>
            <w:tcW w:type="dxa" w:w="1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5</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Software Licensing (SaaS)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Implementation Services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N/A</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Annual Support &amp; Maintenance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Platform Upgrades / Add-ons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Training (Ongoing)</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ANNUAL TOTAL</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r>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5-YEAR TOTAL TCO</w:t>
            </w:r>
          </w:p>
        </w:tc>
        <w:tc>
          <w:tcPr>
            <w:tcW w:type="dxa" w:w="6760"/>
            <w:gridSpan w:val="5"/>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___________________________</w:t>
            </w:r>
          </w:p>
        </w:tc>
      </w:tr>
    </w:tbl>
    <w:p>
      <w:pPr>
        <w:pStyle w:val="Heading1"/>
        <w:pageBreakBefore/>
      </w:pPr>
      <w:r>
        <w:rPr>
          <w:rFonts w:ascii="Arial" w:cs="Arial" w:eastAsia="Arial" w:hAnsi="Arial"/>
          <w:b/>
          <w:bCs/>
          <w:color w:val="1F3864"/>
          <w:sz w:val="32"/>
          <w:szCs w:val="32"/>
        </w:rPr>
        <w:t xml:space="preserve">8. Proposal Submission Requirements</w:t>
      </w:r>
    </w:p>
    <w:p>
      <w:pPr>
        <w:pStyle w:val="Heading2"/>
      </w:pPr>
      <w:r>
        <w:rPr>
          <w:rFonts w:ascii="Arial" w:cs="Arial" w:eastAsia="Arial" w:hAnsi="Arial"/>
          <w:b/>
          <w:bCs/>
          <w:color w:val="2E75B6"/>
          <w:sz w:val="26"/>
          <w:szCs w:val="26"/>
        </w:rPr>
        <w:t xml:space="preserve">8.1 Required Proposal Sections</w:t>
      </w:r>
    </w:p>
    <w:p>
      <w:pPr>
        <w:spacing w:after="120" w:before="60"/>
        <w:jc w:val="left"/>
      </w:pPr>
      <w:r>
        <w:rPr>
          <w:rFonts w:ascii="Arial" w:cs="Arial" w:eastAsia="Arial" w:hAnsi="Arial"/>
          <w:b w:val="false"/>
          <w:bCs w:val="false"/>
          <w:i w:val="false"/>
          <w:iCs w:val="false"/>
          <w:sz w:val="20"/>
          <w:szCs w:val="20"/>
        </w:rPr>
        <w:t xml:space="preserve">All vendor proposals must include the following sections in the order listed. Proposals that do not conform to this structure may be deemed non-responsive.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 Title</w:t>
            </w:r>
          </w:p>
        </w:tc>
        <w:tc>
          <w:tcPr>
            <w:tcW w:type="dxa" w:w="5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Content Requirements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Executive Summary</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2-page maximum; high-level value proposition, key differentiators, and confidence statement on GTI's requirements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Company Overview &amp; Qualifications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Financial health, market presence, certifications, reference customers (use Appendix C form)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Proposed Solution Architecture</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Platform description, hosting architecture, data residency, and capability coverage map against all RFP modules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Requirements Response Matrix</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Line-by-line response (Fully Met / Partially Met / Not Met / Roadmap) for all requirements in Section 3</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Implementation Approach</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Proposed methodology, project plan, staffing plan, named key resources, and phase timeline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Data Migration Plan</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Source system assessment, migration approach, tooling, rehearsal schedule, and validation methodology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7</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Integration Architecture</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Integration design for all 8 systems in Section 2.4; API documentation references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Change Management &amp; Training Plan</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OCM strategy, training curriculum, delivery modalities, and adoption measurement approach</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9</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Support Model</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Support tier structure, SLA commitments, CSM assignment, escalation procedures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Pricing &amp; TCO</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Completed pricing tables from Section 7; payment milestone schedule; assumptions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11</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Appendices</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SOW draft (App. A), Pricing Worksheet (App. B), Reference Forms (App. C), Certifications (App. D)</w:t>
            </w:r>
          </w:p>
        </w:tc>
      </w:tr>
    </w:tbl>
    <w:p>
      <w:pPr>
        <w:spacing w:after="120"/>
      </w:pPr>
      <w:r>
        <w:t xml:space="preserve"/>
      </w:r>
    </w:p>
    <w:p>
      <w:pPr>
        <w:pStyle w:val="Heading2"/>
      </w:pPr>
      <w:r>
        <w:rPr>
          <w:rFonts w:ascii="Arial" w:cs="Arial" w:eastAsia="Arial" w:hAnsi="Arial"/>
          <w:b/>
          <w:bCs/>
          <w:color w:val="2E75B6"/>
          <w:sz w:val="26"/>
          <w:szCs w:val="26"/>
        </w:rPr>
        <w:t xml:space="preserve">8.2 Evaluation Criteria &amp; Weighted Scoring</w:t>
      </w:r>
    </w:p>
    <w:p>
      <w:pPr>
        <w:spacing w:after="120" w:before="60"/>
        <w:jc w:val="left"/>
      </w:pPr>
      <w:r>
        <w:rPr>
          <w:rFonts w:ascii="Arial" w:cs="Arial" w:eastAsia="Arial" w:hAnsi="Arial"/>
          <w:b w:val="false"/>
          <w:bCs w:val="false"/>
          <w:i w:val="false"/>
          <w:iCs w:val="false"/>
          <w:sz w:val="20"/>
          <w:szCs w:val="20"/>
        </w:rPr>
        <w:t xml:space="preserve">GTI will evaluate all responsive proposals using the following weighted scoring framework. Each criterion will be scored 1–10 by the evaluation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600"/>
        <w:gridCol w:w="4160"/>
      </w:tblGrid>
      <w:t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Evaluation Category</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Sub-Criteria</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Technical Capability &amp; Fit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2E75B6"/>
                <w:sz w:val="18"/>
                <w:szCs w:val="18"/>
              </w:rPr>
              <w:t xml:space="preserve">40%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Requirements coverage score, platform maturity, AI/ML capabilities, mobile, security, scalability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Total Cost of Ownership (5-Year)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E75B6"/>
                <w:sz w:val="18"/>
                <w:szCs w:val="18"/>
              </w:rPr>
              <w:t xml:space="preserve">30%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License pricing competitiveness, implementation cost, support cost, pricing flexibility/discounts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Implementation Approach &amp; Team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center"/>
            </w:pPr>
            <w:r>
              <w:rPr>
                <w:rFonts w:ascii="Arial" w:cs="Arial" w:eastAsia="Arial" w:hAnsi="Arial"/>
                <w:b/>
                <w:bCs/>
                <w:color w:val="2E75B6"/>
                <w:sz w:val="18"/>
                <w:szCs w:val="18"/>
              </w:rPr>
              <w:t xml:space="preserve">20%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Methodology quality, team experience, project plan realism, change management approach, references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Vendor Qualifications &amp; Stability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bCs/>
                <w:color w:val="2E75B6"/>
                <w:sz w:val="18"/>
                <w:szCs w:val="18"/>
              </w:rPr>
              <w:t xml:space="preserve">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Financial health, market presence, customer references, partner ecosystem, certifications</w:t>
            </w:r>
          </w:p>
        </w:tc>
      </w:tr>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t xml:space="preserve"/>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 WEIGHT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100%</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t xml:space="preserve"/>
            </w:r>
          </w:p>
        </w:tc>
      </w:tr>
    </w:tbl>
    <w:p>
      <w:pPr>
        <w:spacing w:after="120"/>
      </w:pPr>
      <w:r>
        <w:t xml:space="preserve"/>
      </w:r>
    </w:p>
    <w:p>
      <w:pPr>
        <w:pStyle w:val="Heading2"/>
      </w:pPr>
      <w:r>
        <w:rPr>
          <w:rFonts w:ascii="Arial" w:cs="Arial" w:eastAsia="Arial" w:hAnsi="Arial"/>
          <w:b/>
          <w:bCs/>
          <w:color w:val="2E75B6"/>
          <w:sz w:val="26"/>
          <w:szCs w:val="26"/>
        </w:rPr>
        <w:t xml:space="preserve">8.3 Submission Instructions</w:t>
      </w:r>
    </w:p>
    <w:p>
      <w:pPr>
        <w:pStyle w:val="ListParagraph"/>
        <w:numPr>
          <w:ilvl w:val="0"/>
          <w:numId w:val="2"/>
        </w:numPr>
      </w:pPr>
      <w:r>
        <w:rPr>
          <w:rFonts w:ascii="Arial" w:cs="Arial" w:eastAsia="Arial" w:hAnsi="Arial"/>
          <w:sz w:val="20"/>
          <w:szCs w:val="20"/>
        </w:rPr>
        <w:t xml:space="preserve">Format: Proposals must be submitted in both PDF (primary) and Microsoft Word (.docx) format.</w:t>
      </w:r>
    </w:p>
    <w:p>
      <w:pPr>
        <w:pStyle w:val="ListParagraph"/>
        <w:numPr>
          <w:ilvl w:val="0"/>
          <w:numId w:val="2"/>
        </w:numPr>
      </w:pPr>
      <w:r>
        <w:rPr>
          <w:rFonts w:ascii="Arial" w:cs="Arial" w:eastAsia="Arial" w:hAnsi="Arial"/>
          <w:sz w:val="20"/>
          <w:szCs w:val="20"/>
        </w:rPr>
        <w:t xml:space="preserve">Page Limit: Main proposal body (Sections 1–10) must not exceed 100 pages. Appendices are not counted toward the page limit.</w:t>
      </w:r>
    </w:p>
    <w:p>
      <w:pPr>
        <w:pStyle w:val="ListParagraph"/>
        <w:numPr>
          <w:ilvl w:val="0"/>
          <w:numId w:val="2"/>
        </w:numPr>
      </w:pPr>
      <w:r>
        <w:rPr>
          <w:rFonts w:ascii="Arial" w:cs="Arial" w:eastAsia="Arial" w:hAnsi="Arial"/>
          <w:sz w:val="20"/>
          <w:szCs w:val="20"/>
        </w:rPr>
        <w:t xml:space="preserve">File Naming: Files must be named: GTI-CRM-RFP-2026-001_[VendorName]_Proposal.pdf and GTI-CRM-RFP-2026-001_[VendorName]_Proposal.docx</w:t>
      </w:r>
    </w:p>
    <w:p>
      <w:pPr>
        <w:pStyle w:val="ListParagraph"/>
        <w:numPr>
          <w:ilvl w:val="0"/>
          <w:numId w:val="2"/>
        </w:numPr>
      </w:pPr>
      <w:r>
        <w:rPr>
          <w:rFonts w:ascii="Arial" w:cs="Arial" w:eastAsia="Arial" w:hAnsi="Arial"/>
          <w:sz w:val="20"/>
          <w:szCs w:val="20"/>
        </w:rPr>
        <w:t xml:space="preserve">Submission Method: Email to crm-rfp@globaltech-industries.com with subject line: 'RFP SUBMISSION – GTI-CRM-2026-001 – [Vendor Name]'. Confirmation of receipt will be sent within 2 business hours.</w:t>
      </w:r>
    </w:p>
    <w:p>
      <w:pPr>
        <w:pStyle w:val="ListParagraph"/>
        <w:numPr>
          <w:ilvl w:val="0"/>
          <w:numId w:val="2"/>
        </w:numPr>
      </w:pPr>
      <w:r>
        <w:rPr>
          <w:rFonts w:ascii="Arial" w:cs="Arial" w:eastAsia="Arial" w:hAnsi="Arial"/>
          <w:sz w:val="20"/>
          <w:szCs w:val="20"/>
        </w:rPr>
        <w:t xml:space="preserve">Deadline: April 18, 2026 at 5:00 PM Central Time. Late submissions will not be accepted under any circumstances.</w:t>
      </w:r>
    </w:p>
    <w:p>
      <w:pPr>
        <w:pStyle w:val="ListParagraph"/>
        <w:numPr>
          <w:ilvl w:val="0"/>
          <w:numId w:val="2"/>
        </w:numPr>
      </w:pPr>
      <w:r>
        <w:rPr>
          <w:rFonts w:ascii="Arial" w:cs="Arial" w:eastAsia="Arial" w:hAnsi="Arial"/>
          <w:sz w:val="20"/>
          <w:szCs w:val="20"/>
        </w:rPr>
        <w:t xml:space="preserve">Questions: All questions must be submitted in writing to crm-rfp@globaltech-industries.com by March 28, 2026 at 5:00 PM CT. Answers will be distributed to all registered vendors by April 4, 2026.</w:t>
      </w:r>
    </w:p>
    <w:p>
      <w:pPr>
        <w:pStyle w:val="ListParagraph"/>
        <w:numPr>
          <w:ilvl w:val="0"/>
          <w:numId w:val="2"/>
        </w:numPr>
      </w:pPr>
      <w:r>
        <w:rPr>
          <w:rFonts w:ascii="Arial" w:cs="Arial" w:eastAsia="Arial" w:hAnsi="Arial"/>
          <w:sz w:val="20"/>
          <w:szCs w:val="20"/>
        </w:rPr>
        <w:t xml:space="preserve">Vendor Registration: To receive the Q&amp;A response document and any RFP amendments, vendors must register their intent to respond by March 21, 2026 by emailing crm-rfp@globaltech-industries.com.</w:t>
      </w:r>
    </w:p>
    <w:p>
      <w:pPr>
        <w:pStyle w:val="Heading1"/>
        <w:pageBreakBefore/>
      </w:pPr>
      <w:r>
        <w:rPr>
          <w:rFonts w:ascii="Arial" w:cs="Arial" w:eastAsia="Arial" w:hAnsi="Arial"/>
          <w:b/>
          <w:bCs/>
          <w:color w:val="1F3864"/>
          <w:sz w:val="32"/>
          <w:szCs w:val="32"/>
        </w:rPr>
        <w:t xml:space="preserve">9. Evaluation Process &amp; Timeline</w:t>
      </w:r>
    </w:p>
    <w:p>
      <w:pPr>
        <w:pStyle w:val="Heading2"/>
      </w:pPr>
      <w:r>
        <w:rPr>
          <w:rFonts w:ascii="Arial" w:cs="Arial" w:eastAsia="Arial" w:hAnsi="Arial"/>
          <w:b/>
          <w:bCs/>
          <w:color w:val="2E75B6"/>
          <w:sz w:val="26"/>
          <w:szCs w:val="26"/>
        </w:rPr>
        <w:t xml:space="preserve">9.1 Evaluation Committee</w:t>
      </w:r>
    </w:p>
    <w:p>
      <w:pPr>
        <w:spacing w:after="120" w:before="60"/>
        <w:jc w:val="left"/>
      </w:pPr>
      <w:r>
        <w:rPr>
          <w:rFonts w:ascii="Arial" w:cs="Arial" w:eastAsia="Arial" w:hAnsi="Arial"/>
          <w:b w:val="false"/>
          <w:bCs w:val="false"/>
          <w:i w:val="false"/>
          <w:iCs w:val="false"/>
          <w:sz w:val="20"/>
          <w:szCs w:val="20"/>
        </w:rPr>
        <w:t xml:space="preserve">GTI's evaluation committee consists of the following stakeholders who will score all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Title</w:t>
            </w:r>
          </w:p>
        </w:tc>
        <w:tc>
          <w:tcPr>
            <w:tcW w:type="dxa" w:w="3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Evaluation Focus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Diana Hartwell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VP, IT Procurement (Chair)</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Overall coordination, vendor qualifications, terms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Marcus Okonkwo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Chief Revenue Officer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Business requirements, sales SFA, forecasting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Dr. Priya Sharma</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VP, Marketing Technology</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Marketing automation, ABM, attribution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James Callahan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Director, Customer Operations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Customer service module, SLA requirements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Annika Brandt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VP, Revenue Operations (EMEA)</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EMEA requirements, multi-language, data residency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Kenji Watanabe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IT Director, APAC</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APAC requirements, migration from legacy system</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Rachel Torres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CISO</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Security, compliance, data privacy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bCs/>
                <w:color w:val="000000"/>
                <w:sz w:val="18"/>
                <w:szCs w:val="18"/>
              </w:rPr>
              <w:t xml:space="preserve">Thomas Bergmann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CFO Office – Finance Partner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Pricing, TCO, contract terms</w:t>
            </w:r>
          </w:p>
        </w:tc>
      </w:tr>
    </w:tbl>
    <w:p>
      <w:pPr>
        <w:spacing w:after="120"/>
      </w:pPr>
      <w:r>
        <w:t xml:space="preserve"/>
      </w:r>
    </w:p>
    <w:p>
      <w:pPr>
        <w:pStyle w:val="Heading2"/>
      </w:pPr>
      <w:r>
        <w:rPr>
          <w:rFonts w:ascii="Arial" w:cs="Arial" w:eastAsia="Arial" w:hAnsi="Arial"/>
          <w:b/>
          <w:bCs/>
          <w:color w:val="2E75B6"/>
          <w:sz w:val="26"/>
          <w:szCs w:val="26"/>
        </w:rPr>
        <w:t xml:space="preserve">9.2 Evaluation Process</w:t>
      </w:r>
    </w:p>
    <w:p>
      <w:pPr>
        <w:spacing w:after="120" w:before="60"/>
        <w:jc w:val="left"/>
      </w:pPr>
      <w:r>
        <w:rPr>
          <w:rFonts w:ascii="Arial" w:cs="Arial" w:eastAsia="Arial" w:hAnsi="Arial"/>
          <w:b w:val="false"/>
          <w:bCs w:val="false"/>
          <w:i w:val="false"/>
          <w:iCs w:val="false"/>
          <w:sz w:val="20"/>
          <w:szCs w:val="20"/>
        </w:rPr>
        <w:t xml:space="preserve">The evaluation will proceed in the following stages:</w:t>
      </w:r>
    </w:p>
    <w:p>
      <w:pPr>
        <w:pStyle w:val="ListParagraph"/>
        <w:numPr>
          <w:ilvl w:val="0"/>
          <w:numId w:val="2"/>
        </w:numPr>
      </w:pPr>
      <w:r>
        <w:rPr>
          <w:rFonts w:ascii="Arial" w:cs="Arial" w:eastAsia="Arial" w:hAnsi="Arial"/>
          <w:sz w:val="20"/>
          <w:szCs w:val="20"/>
        </w:rPr>
        <w:t xml:space="preserve">Stage 1 – Completeness Review (April 18–25, 2026): GTI will assess all submitted proposals for completeness and minimum qualification compliance. Non-responsive proposals will be eliminated.</w:t>
      </w:r>
    </w:p>
    <w:p>
      <w:pPr>
        <w:pStyle w:val="ListParagraph"/>
        <w:numPr>
          <w:ilvl w:val="0"/>
          <w:numId w:val="2"/>
        </w:numPr>
      </w:pPr>
      <w:r>
        <w:rPr>
          <w:rFonts w:ascii="Arial" w:cs="Arial" w:eastAsia="Arial" w:hAnsi="Arial"/>
          <w:sz w:val="20"/>
          <w:szCs w:val="20"/>
        </w:rPr>
        <w:t xml:space="preserve">Stage 2 – Technical &amp; Functional Scoring (April 25 – May 2, 2026): Each committee member independently scores proposals using the weighted criteria in Section 8.2. Requirement response matrices are evaluated in detail.</w:t>
      </w:r>
    </w:p>
    <w:p>
      <w:pPr>
        <w:pStyle w:val="ListParagraph"/>
        <w:numPr>
          <w:ilvl w:val="0"/>
          <w:numId w:val="2"/>
        </w:numPr>
      </w:pPr>
      <w:r>
        <w:rPr>
          <w:rFonts w:ascii="Arial" w:cs="Arial" w:eastAsia="Arial" w:hAnsi="Arial"/>
          <w:sz w:val="20"/>
          <w:szCs w:val="20"/>
        </w:rPr>
        <w:t xml:space="preserve">Stage 3 – Committee Calibration &amp; Shortlisting (May 5–9, 2026): Committee convenes to reconcile scores, finalize shortlist of top 3 vendors, and notify all vendors of outcomes.</w:t>
      </w:r>
    </w:p>
    <w:p>
      <w:pPr>
        <w:pStyle w:val="ListParagraph"/>
        <w:numPr>
          <w:ilvl w:val="0"/>
          <w:numId w:val="2"/>
        </w:numPr>
      </w:pPr>
      <w:r>
        <w:rPr>
          <w:rFonts w:ascii="Arial" w:cs="Arial" w:eastAsia="Arial" w:hAnsi="Arial"/>
          <w:sz w:val="20"/>
          <w:szCs w:val="20"/>
        </w:rPr>
        <w:t xml:space="preserve">Stage 4 – Vendor Demos &amp; Presentations (May 19–30, 2026): Each shortlisted vendor will participate in a 2-day on-site engagement at GTI's Chicago headquarters. Day 1: scripted platform demonstration. Day 2: implementation approach deep-dive and Q&amp;A.</w:t>
      </w:r>
    </w:p>
    <w:p>
      <w:pPr>
        <w:pStyle w:val="ListParagraph"/>
        <w:numPr>
          <w:ilvl w:val="0"/>
          <w:numId w:val="2"/>
        </w:numPr>
      </w:pPr>
      <w:r>
        <w:rPr>
          <w:rFonts w:ascii="Arial" w:cs="Arial" w:eastAsia="Arial" w:hAnsi="Arial"/>
          <w:sz w:val="20"/>
          <w:szCs w:val="20"/>
        </w:rPr>
        <w:t xml:space="preserve">Stage 5 – Reference Checks (May 19–30, 2026, concurrent): GTI will conduct reference calls with all provided customer references for shortlisted vendors.</w:t>
      </w:r>
    </w:p>
    <w:p>
      <w:pPr>
        <w:pStyle w:val="ListParagraph"/>
        <w:numPr>
          <w:ilvl w:val="0"/>
          <w:numId w:val="2"/>
        </w:numPr>
      </w:pPr>
      <w:r>
        <w:rPr>
          <w:rFonts w:ascii="Arial" w:cs="Arial" w:eastAsia="Arial" w:hAnsi="Arial"/>
          <w:sz w:val="20"/>
          <w:szCs w:val="20"/>
        </w:rPr>
        <w:t xml:space="preserve">Stage 6 – Best-and-Final Offer (June 1–6, 2026): Shortlisted vendors may be requested to submit a best-and-final offer (BAFO) following demos.</w:t>
      </w:r>
    </w:p>
    <w:p>
      <w:pPr>
        <w:pStyle w:val="ListParagraph"/>
        <w:numPr>
          <w:ilvl w:val="0"/>
          <w:numId w:val="2"/>
        </w:numPr>
      </w:pPr>
      <w:r>
        <w:rPr>
          <w:rFonts w:ascii="Arial" w:cs="Arial" w:eastAsia="Arial" w:hAnsi="Arial"/>
          <w:sz w:val="20"/>
          <w:szCs w:val="20"/>
        </w:rPr>
        <w:t xml:space="preserve">Stage 7 – Final Selection &amp; Announcement (June 13, 2026): Evaluation committee finalizes selection recommendation for executive approval. All shortlisted vendors notified.</w:t>
      </w:r>
    </w:p>
    <w:p>
      <w:pPr>
        <w:pStyle w:val="ListParagraph"/>
        <w:numPr>
          <w:ilvl w:val="0"/>
          <w:numId w:val="2"/>
        </w:numPr>
      </w:pPr>
      <w:r>
        <w:rPr>
          <w:rFonts w:ascii="Arial" w:cs="Arial" w:eastAsia="Arial" w:hAnsi="Arial"/>
          <w:sz w:val="20"/>
          <w:szCs w:val="20"/>
        </w:rPr>
        <w:t xml:space="preserve">Stage 8 – Contract Negotiation &amp; Execution (June–July 2026): GTI's legal and procurement teams engage with selected vendor. Target contract execution by July 31, 2026.</w:t>
      </w:r>
    </w:p>
    <w:p>
      <w:pPr>
        <w:pStyle w:val="Heading2"/>
      </w:pPr>
      <w:r>
        <w:rPr>
          <w:rFonts w:ascii="Arial" w:cs="Arial" w:eastAsia="Arial" w:hAnsi="Arial"/>
          <w:b/>
          <w:bCs/>
          <w:color w:val="2E75B6"/>
          <w:sz w:val="26"/>
          <w:szCs w:val="26"/>
        </w:rPr>
        <w:t xml:space="preserve">9.3 Demo Script Requirements</w:t>
      </w:r>
    </w:p>
    <w:p>
      <w:pPr>
        <w:spacing w:after="120" w:before="60"/>
        <w:jc w:val="left"/>
      </w:pPr>
      <w:r>
        <w:rPr>
          <w:rFonts w:ascii="Arial" w:cs="Arial" w:eastAsia="Arial" w:hAnsi="Arial"/>
          <w:b w:val="false"/>
          <w:bCs w:val="false"/>
          <w:i w:val="false"/>
          <w:iCs w:val="false"/>
          <w:sz w:val="20"/>
          <w:szCs w:val="20"/>
        </w:rPr>
        <w:t xml:space="preserve">Shortlisted vendors must demonstrate the following scenarios using their own sandbox environment populated with realistic manufacturing company data. GTI will not provide demo scripts but reserves the right to ask specific questions during demonstrations.</w:t>
      </w:r>
    </w:p>
    <w:p>
      <w:pPr>
        <w:pStyle w:val="ListParagraph"/>
        <w:numPr>
          <w:ilvl w:val="0"/>
          <w:numId w:val="2"/>
        </w:numPr>
      </w:pPr>
      <w:r>
        <w:rPr>
          <w:rFonts w:ascii="Arial" w:cs="Arial" w:eastAsia="Arial" w:hAnsi="Arial"/>
          <w:sz w:val="20"/>
          <w:szCs w:val="20"/>
        </w:rPr>
        <w:t xml:space="preserve">Scenario A: A global account executive in Chicago adds a new $2.5M opportunity for a German automotive manufacturer, assigns it to the correct territory, and collaborates with a colleague in Frankfurt via the mobile app.</w:t>
      </w:r>
    </w:p>
    <w:p>
      <w:pPr>
        <w:pStyle w:val="ListParagraph"/>
        <w:numPr>
          <w:ilvl w:val="0"/>
          <w:numId w:val="2"/>
        </w:numPr>
      </w:pPr>
      <w:r>
        <w:rPr>
          <w:rFonts w:ascii="Arial" w:cs="Arial" w:eastAsia="Arial" w:hAnsi="Arial"/>
          <w:sz w:val="20"/>
          <w:szCs w:val="20"/>
        </w:rPr>
        <w:t xml:space="preserve">Scenario B: A marketing manager in EMEA creates an account-based campaign targeting 50 named accounts, syncs the campaign to Marketo, and views multi-touch attribution reporting.</w:t>
      </w:r>
    </w:p>
    <w:p>
      <w:pPr>
        <w:pStyle w:val="ListParagraph"/>
        <w:numPr>
          <w:ilvl w:val="0"/>
          <w:numId w:val="2"/>
        </w:numPr>
      </w:pPr>
      <w:r>
        <w:rPr>
          <w:rFonts w:ascii="Arial" w:cs="Arial" w:eastAsia="Arial" w:hAnsi="Arial"/>
          <w:sz w:val="20"/>
          <w:szCs w:val="20"/>
        </w:rPr>
        <w:t xml:space="preserve">Scenario C: A customer service agent in APAC receives an escalated case via email, resolves it using the knowledge base (in Mandarin), and logs resolution activities; supervisor monitors live queue.</w:t>
      </w:r>
    </w:p>
    <w:p>
      <w:pPr>
        <w:pStyle w:val="ListParagraph"/>
        <w:numPr>
          <w:ilvl w:val="0"/>
          <w:numId w:val="2"/>
        </w:numPr>
      </w:pPr>
      <w:r>
        <w:rPr>
          <w:rFonts w:ascii="Arial" w:cs="Arial" w:eastAsia="Arial" w:hAnsi="Arial"/>
          <w:sz w:val="20"/>
          <w:szCs w:val="20"/>
        </w:rPr>
        <w:t xml:space="preserve">Scenario D: The CRO opens the global executive dashboard and drills down from global pipeline to APAC forecast by product line for Q3 2027.</w:t>
      </w:r>
    </w:p>
    <w:p>
      <w:pPr>
        <w:pStyle w:val="Heading1"/>
        <w:pageBreakBefore/>
      </w:pPr>
      <w:r>
        <w:rPr>
          <w:rFonts w:ascii="Arial" w:cs="Arial" w:eastAsia="Arial" w:hAnsi="Arial"/>
          <w:b/>
          <w:bCs/>
          <w:color w:val="1F3864"/>
          <w:sz w:val="32"/>
          <w:szCs w:val="32"/>
        </w:rPr>
        <w:t xml:space="preserve">10. Terms &amp; Conditions</w:t>
      </w:r>
    </w:p>
    <w:p>
      <w:pPr>
        <w:pStyle w:val="Heading2"/>
      </w:pPr>
      <w:r>
        <w:rPr>
          <w:rFonts w:ascii="Arial" w:cs="Arial" w:eastAsia="Arial" w:hAnsi="Arial"/>
          <w:b/>
          <w:bCs/>
          <w:color w:val="2E75B6"/>
          <w:sz w:val="26"/>
          <w:szCs w:val="26"/>
        </w:rPr>
        <w:t xml:space="preserve">10.1 Confidentiality</w:t>
      </w:r>
    </w:p>
    <w:p>
      <w:pPr>
        <w:spacing w:after="120" w:before="60"/>
        <w:jc w:val="left"/>
      </w:pPr>
      <w:r>
        <w:rPr>
          <w:rFonts w:ascii="Arial" w:cs="Arial" w:eastAsia="Arial" w:hAnsi="Arial"/>
          <w:b w:val="false"/>
          <w:bCs w:val="false"/>
          <w:i w:val="false"/>
          <w:iCs w:val="false"/>
          <w:sz w:val="20"/>
          <w:szCs w:val="20"/>
        </w:rPr>
        <w:t xml:space="preserve">This RFP document and all information contained herein is proprietary and confidential to GlobalTech Industries, Inc. By receiving this RFP, the vendor agrees to:</w:t>
      </w:r>
    </w:p>
    <w:p>
      <w:pPr>
        <w:pStyle w:val="ListParagraph"/>
        <w:numPr>
          <w:ilvl w:val="0"/>
          <w:numId w:val="2"/>
        </w:numPr>
      </w:pPr>
      <w:r>
        <w:rPr>
          <w:rFonts w:ascii="Arial" w:cs="Arial" w:eastAsia="Arial" w:hAnsi="Arial"/>
          <w:sz w:val="20"/>
          <w:szCs w:val="20"/>
        </w:rPr>
        <w:t xml:space="preserve">Use the information solely for the purpose of preparing a response to this RFP.</w:t>
      </w:r>
    </w:p>
    <w:p>
      <w:pPr>
        <w:pStyle w:val="ListParagraph"/>
        <w:numPr>
          <w:ilvl w:val="0"/>
          <w:numId w:val="2"/>
        </w:numPr>
      </w:pPr>
      <w:r>
        <w:rPr>
          <w:rFonts w:ascii="Arial" w:cs="Arial" w:eastAsia="Arial" w:hAnsi="Arial"/>
          <w:sz w:val="20"/>
          <w:szCs w:val="20"/>
        </w:rPr>
        <w:t xml:space="preserve">Not disclose the existence of this RFP, its contents, or any GTI information obtained during the procurement process to any third party without GTI's prior written consent.</w:t>
      </w:r>
    </w:p>
    <w:p>
      <w:pPr>
        <w:pStyle w:val="ListParagraph"/>
        <w:numPr>
          <w:ilvl w:val="0"/>
          <w:numId w:val="2"/>
        </w:numPr>
      </w:pPr>
      <w:r>
        <w:rPr>
          <w:rFonts w:ascii="Arial" w:cs="Arial" w:eastAsia="Arial" w:hAnsi="Arial"/>
          <w:sz w:val="20"/>
          <w:szCs w:val="20"/>
        </w:rPr>
        <w:t xml:space="preserve">Return or destroy all GTI confidential information upon request or at the conclusion of the procurement process if the vendor is not selected.</w:t>
      </w:r>
    </w:p>
    <w:p>
      <w:pPr>
        <w:pStyle w:val="ListParagraph"/>
        <w:numPr>
          <w:ilvl w:val="0"/>
          <w:numId w:val="2"/>
        </w:numPr>
      </w:pPr>
      <w:r>
        <w:rPr>
          <w:rFonts w:ascii="Arial" w:cs="Arial" w:eastAsia="Arial" w:hAnsi="Arial"/>
          <w:sz w:val="20"/>
          <w:szCs w:val="20"/>
        </w:rPr>
        <w:t xml:space="preserve">A formal Non-Disclosure Agreement (NDA) will be required prior to vendor shortlist engagement. GTI's standard bilateral NDA template will be provided to shortlisted vendors.</w:t>
      </w:r>
    </w:p>
    <w:p>
      <w:pPr>
        <w:pStyle w:val="Heading2"/>
      </w:pPr>
      <w:r>
        <w:rPr>
          <w:rFonts w:ascii="Arial" w:cs="Arial" w:eastAsia="Arial" w:hAnsi="Arial"/>
          <w:b/>
          <w:bCs/>
          <w:color w:val="2E75B6"/>
          <w:sz w:val="26"/>
          <w:szCs w:val="26"/>
        </w:rPr>
        <w:t xml:space="preserve">10.2 Proposal Validity</w:t>
      </w:r>
    </w:p>
    <w:p>
      <w:pPr>
        <w:spacing w:after="120" w:before="60"/>
        <w:jc w:val="left"/>
      </w:pPr>
      <w:r>
        <w:rPr>
          <w:rFonts w:ascii="Arial" w:cs="Arial" w:eastAsia="Arial" w:hAnsi="Arial"/>
          <w:b w:val="false"/>
          <w:bCs w:val="false"/>
          <w:i w:val="false"/>
          <w:iCs w:val="false"/>
          <w:sz w:val="20"/>
          <w:szCs w:val="20"/>
        </w:rPr>
        <w:t xml:space="preserve">All proposals submitted in response to this RFP must remain valid and binding for a period of not less than 180 days from the proposal submission deadline (April 18, 2026). Vendors wishing to extend, modify, or withdraw their proposal during this period must notify GTI in writing.</w:t>
      </w:r>
    </w:p>
    <w:p>
      <w:pPr>
        <w:pStyle w:val="Heading2"/>
      </w:pPr>
      <w:r>
        <w:rPr>
          <w:rFonts w:ascii="Arial" w:cs="Arial" w:eastAsia="Arial" w:hAnsi="Arial"/>
          <w:b/>
          <w:bCs/>
          <w:color w:val="2E75B6"/>
          <w:sz w:val="26"/>
          <w:szCs w:val="26"/>
        </w:rPr>
        <w:t xml:space="preserve">10.3 GTI's Reserved Rights</w:t>
      </w:r>
    </w:p>
    <w:p>
      <w:pPr>
        <w:spacing w:after="120" w:before="60"/>
        <w:jc w:val="left"/>
      </w:pPr>
      <w:r>
        <w:rPr>
          <w:rFonts w:ascii="Arial" w:cs="Arial" w:eastAsia="Arial" w:hAnsi="Arial"/>
          <w:b w:val="false"/>
          <w:bCs w:val="false"/>
          <w:i w:val="false"/>
          <w:iCs w:val="false"/>
          <w:sz w:val="20"/>
          <w:szCs w:val="20"/>
        </w:rPr>
        <w:t xml:space="preserve">GlobalTech Industries reserves the following rights without liability or obligation to any vendor:</w:t>
      </w:r>
    </w:p>
    <w:p>
      <w:pPr>
        <w:pStyle w:val="ListParagraph"/>
        <w:numPr>
          <w:ilvl w:val="0"/>
          <w:numId w:val="2"/>
        </w:numPr>
      </w:pPr>
      <w:r>
        <w:rPr>
          <w:rFonts w:ascii="Arial" w:cs="Arial" w:eastAsia="Arial" w:hAnsi="Arial"/>
          <w:sz w:val="20"/>
          <w:szCs w:val="20"/>
        </w:rPr>
        <w:t xml:space="preserve">To reject any or all proposals received in response to this RFP.</w:t>
      </w:r>
    </w:p>
    <w:p>
      <w:pPr>
        <w:pStyle w:val="ListParagraph"/>
        <w:numPr>
          <w:ilvl w:val="0"/>
          <w:numId w:val="2"/>
        </w:numPr>
      </w:pPr>
      <w:r>
        <w:rPr>
          <w:rFonts w:ascii="Arial" w:cs="Arial" w:eastAsia="Arial" w:hAnsi="Arial"/>
          <w:sz w:val="20"/>
          <w:szCs w:val="20"/>
        </w:rPr>
        <w:t xml:space="preserve">To cancel, modify, or reissue this RFP at any time prior to contract execution.</w:t>
      </w:r>
    </w:p>
    <w:p>
      <w:pPr>
        <w:pStyle w:val="ListParagraph"/>
        <w:numPr>
          <w:ilvl w:val="0"/>
          <w:numId w:val="2"/>
        </w:numPr>
      </w:pPr>
      <w:r>
        <w:rPr>
          <w:rFonts w:ascii="Arial" w:cs="Arial" w:eastAsia="Arial" w:hAnsi="Arial"/>
          <w:sz w:val="20"/>
          <w:szCs w:val="20"/>
        </w:rPr>
        <w:t xml:space="preserve">To waive or permit correction of any informality or irregularity in proposals received.</w:t>
      </w:r>
    </w:p>
    <w:p>
      <w:pPr>
        <w:pStyle w:val="ListParagraph"/>
        <w:numPr>
          <w:ilvl w:val="0"/>
          <w:numId w:val="2"/>
        </w:numPr>
      </w:pPr>
      <w:r>
        <w:rPr>
          <w:rFonts w:ascii="Arial" w:cs="Arial" w:eastAsia="Arial" w:hAnsi="Arial"/>
          <w:sz w:val="20"/>
          <w:szCs w:val="20"/>
        </w:rPr>
        <w:t xml:space="preserve">To negotiate with one or more vendors simultaneously or sequentially.</w:t>
      </w:r>
    </w:p>
    <w:p>
      <w:pPr>
        <w:pStyle w:val="ListParagraph"/>
        <w:numPr>
          <w:ilvl w:val="0"/>
          <w:numId w:val="2"/>
        </w:numPr>
      </w:pPr>
      <w:r>
        <w:rPr>
          <w:rFonts w:ascii="Arial" w:cs="Arial" w:eastAsia="Arial" w:hAnsi="Arial"/>
          <w:sz w:val="20"/>
          <w:szCs w:val="20"/>
        </w:rPr>
        <w:t xml:space="preserve">To request additional information, clarification, or presentations from any vendor at any stage of the process.</w:t>
      </w:r>
    </w:p>
    <w:p>
      <w:pPr>
        <w:pStyle w:val="ListParagraph"/>
        <w:numPr>
          <w:ilvl w:val="0"/>
          <w:numId w:val="2"/>
        </w:numPr>
      </w:pPr>
      <w:r>
        <w:rPr>
          <w:rFonts w:ascii="Arial" w:cs="Arial" w:eastAsia="Arial" w:hAnsi="Arial"/>
          <w:sz w:val="20"/>
          <w:szCs w:val="20"/>
        </w:rPr>
        <w:t xml:space="preserve">To select a proposal other than the lowest-cost proposal if deemed to be in GTI's best interest.</w:t>
      </w:r>
    </w:p>
    <w:p>
      <w:pPr>
        <w:pStyle w:val="ListParagraph"/>
        <w:numPr>
          <w:ilvl w:val="0"/>
          <w:numId w:val="2"/>
        </w:numPr>
      </w:pPr>
      <w:r>
        <w:rPr>
          <w:rFonts w:ascii="Arial" w:cs="Arial" w:eastAsia="Arial" w:hAnsi="Arial"/>
          <w:sz w:val="20"/>
          <w:szCs w:val="20"/>
        </w:rPr>
        <w:t xml:space="preserve">To award the contract to more than one vendor if GTI determines a split award is in its best interest.</w:t>
      </w:r>
    </w:p>
    <w:p>
      <w:pPr>
        <w:pStyle w:val="Heading2"/>
      </w:pPr>
      <w:r>
        <w:rPr>
          <w:rFonts w:ascii="Arial" w:cs="Arial" w:eastAsia="Arial" w:hAnsi="Arial"/>
          <w:b/>
          <w:bCs/>
          <w:color w:val="2E75B6"/>
          <w:sz w:val="26"/>
          <w:szCs w:val="26"/>
        </w:rPr>
        <w:t xml:space="preserve">10.4 Ownership of Proposal Materials</w:t>
      </w:r>
    </w:p>
    <w:p>
      <w:pPr>
        <w:spacing w:after="120" w:before="60"/>
        <w:jc w:val="left"/>
      </w:pPr>
      <w:r>
        <w:rPr>
          <w:rFonts w:ascii="Arial" w:cs="Arial" w:eastAsia="Arial" w:hAnsi="Arial"/>
          <w:b w:val="false"/>
          <w:bCs w:val="false"/>
          <w:i w:val="false"/>
          <w:iCs w:val="false"/>
          <w:sz w:val="20"/>
          <w:szCs w:val="20"/>
        </w:rPr>
        <w:t xml:space="preserve">All materials submitted by vendors in response to this RFP become the property of GlobalTech Industries. GTI agrees to maintain the confidentiality of proprietary vendor information clearly marked as such in the proposal. Vendors may not use GTI's name, logo, or this RFP process for marketing or promotional purposes without GTI's prior written consent.</w:t>
      </w:r>
    </w:p>
    <w:p>
      <w:pPr>
        <w:pStyle w:val="Heading2"/>
      </w:pPr>
      <w:r>
        <w:rPr>
          <w:rFonts w:ascii="Arial" w:cs="Arial" w:eastAsia="Arial" w:hAnsi="Arial"/>
          <w:b/>
          <w:bCs/>
          <w:color w:val="2E75B6"/>
          <w:sz w:val="26"/>
          <w:szCs w:val="26"/>
        </w:rPr>
        <w:t xml:space="preserve">10.5 No Commitment to Procure</w:t>
      </w:r>
    </w:p>
    <w:p>
      <w:pPr>
        <w:spacing w:after="120" w:before="60"/>
        <w:jc w:val="left"/>
      </w:pPr>
      <w:r>
        <w:rPr>
          <w:rFonts w:ascii="Arial" w:cs="Arial" w:eastAsia="Arial" w:hAnsi="Arial"/>
          <w:b w:val="false"/>
          <w:bCs w:val="false"/>
          <w:i w:val="false"/>
          <w:iCs w:val="false"/>
          <w:sz w:val="20"/>
          <w:szCs w:val="20"/>
        </w:rPr>
        <w:t xml:space="preserve">This RFP does not obligate GTI to proceed with the procurement, to select any vendor, or to award a contract. GTI assumes no responsibility for costs incurred by vendors in connection with preparing or submitting proposals.</w:t>
      </w:r>
    </w:p>
    <w:p>
      <w:pPr>
        <w:pStyle w:val="Heading2"/>
      </w:pPr>
      <w:r>
        <w:rPr>
          <w:rFonts w:ascii="Arial" w:cs="Arial" w:eastAsia="Arial" w:hAnsi="Arial"/>
          <w:b/>
          <w:bCs/>
          <w:color w:val="2E75B6"/>
          <w:sz w:val="26"/>
          <w:szCs w:val="26"/>
        </w:rPr>
        <w:t xml:space="preserve">10.6 Contract Terms</w:t>
      </w:r>
    </w:p>
    <w:p>
      <w:pPr>
        <w:spacing w:after="120" w:before="60"/>
        <w:jc w:val="left"/>
      </w:pPr>
      <w:r>
        <w:rPr>
          <w:rFonts w:ascii="Arial" w:cs="Arial" w:eastAsia="Arial" w:hAnsi="Arial"/>
          <w:b w:val="false"/>
          <w:bCs w:val="false"/>
          <w:i w:val="false"/>
          <w:iCs w:val="false"/>
          <w:sz w:val="20"/>
          <w:szCs w:val="20"/>
        </w:rPr>
        <w:t xml:space="preserve">The selected vendor will be required to execute GTI's Master Software Agreement (MSA), Statement of Work (SOW), and Data Processing Agreement (DPA). GTI's standard contract forms will govern; vendors may propose modifications during contract negotiation, but GTI's terms shall be the starting point. Key commercial terms GTI requires include:</w:t>
      </w:r>
    </w:p>
    <w:p>
      <w:pPr>
        <w:pStyle w:val="ListParagraph"/>
        <w:numPr>
          <w:ilvl w:val="0"/>
          <w:numId w:val="2"/>
        </w:numPr>
      </w:pPr>
      <w:r>
        <w:rPr>
          <w:rFonts w:ascii="Arial" w:cs="Arial" w:eastAsia="Arial" w:hAnsi="Arial"/>
          <w:sz w:val="20"/>
          <w:szCs w:val="20"/>
        </w:rPr>
        <w:t xml:space="preserve">Intellectual property ownership of all custom configurations and integrations developed for GTI.</w:t>
      </w:r>
    </w:p>
    <w:p>
      <w:pPr>
        <w:pStyle w:val="ListParagraph"/>
        <w:numPr>
          <w:ilvl w:val="0"/>
          <w:numId w:val="2"/>
        </w:numPr>
      </w:pPr>
      <w:r>
        <w:rPr>
          <w:rFonts w:ascii="Arial" w:cs="Arial" w:eastAsia="Arial" w:hAnsi="Arial"/>
          <w:sz w:val="20"/>
          <w:szCs w:val="20"/>
        </w:rPr>
        <w:t xml:space="preserve">Source code escrow arrangement for any custom-developed components.</w:t>
      </w:r>
    </w:p>
    <w:p>
      <w:pPr>
        <w:pStyle w:val="ListParagraph"/>
        <w:numPr>
          <w:ilvl w:val="0"/>
          <w:numId w:val="2"/>
        </w:numPr>
      </w:pPr>
      <w:r>
        <w:rPr>
          <w:rFonts w:ascii="Arial" w:cs="Arial" w:eastAsia="Arial" w:hAnsi="Arial"/>
          <w:sz w:val="20"/>
          <w:szCs w:val="20"/>
        </w:rPr>
        <w:t xml:space="preserve">Price lock guarantee for minimum 3 years on licensed user pricing from contract execution.</w:t>
      </w:r>
    </w:p>
    <w:p>
      <w:pPr>
        <w:pStyle w:val="ListParagraph"/>
        <w:numPr>
          <w:ilvl w:val="0"/>
          <w:numId w:val="2"/>
        </w:numPr>
      </w:pPr>
      <w:r>
        <w:rPr>
          <w:rFonts w:ascii="Arial" w:cs="Arial" w:eastAsia="Arial" w:hAnsi="Arial"/>
          <w:sz w:val="20"/>
          <w:szCs w:val="20"/>
        </w:rPr>
        <w:t xml:space="preserve">Right to audit vendor's security controls and data handling practices with minimum 30 days notice.</w:t>
      </w:r>
    </w:p>
    <w:p>
      <w:pPr>
        <w:pStyle w:val="ListParagraph"/>
        <w:numPr>
          <w:ilvl w:val="0"/>
          <w:numId w:val="2"/>
        </w:numPr>
      </w:pPr>
      <w:r>
        <w:rPr>
          <w:rFonts w:ascii="Arial" w:cs="Arial" w:eastAsia="Arial" w:hAnsi="Arial"/>
          <w:sz w:val="20"/>
          <w:szCs w:val="20"/>
        </w:rPr>
        <w:t xml:space="preserve">Service credit mechanism tied to SLA performance as specified in Section 6.1.</w:t>
      </w:r>
    </w:p>
    <w:p>
      <w:pPr>
        <w:pStyle w:val="ListParagraph"/>
        <w:numPr>
          <w:ilvl w:val="0"/>
          <w:numId w:val="2"/>
        </w:numPr>
      </w:pPr>
      <w:r>
        <w:rPr>
          <w:rFonts w:ascii="Arial" w:cs="Arial" w:eastAsia="Arial" w:hAnsi="Arial"/>
          <w:sz w:val="20"/>
          <w:szCs w:val="20"/>
        </w:rPr>
        <w:t xml:space="preserve">Termination for convenience with 90-day notice; data return in standard format within 30 days of termination.</w:t>
      </w:r>
    </w:p>
    <w:p>
      <w:pPr>
        <w:spacing w:after="120"/>
      </w:pPr>
      <w:r>
        <w:t xml:space="preserve"/>
      </w:r>
    </w:p>
    <w:p>
      <w:pPr>
        <w:spacing w:after="120"/>
      </w:pPr>
      <w:r>
        <w:t xml:space="preserve"/>
      </w:r>
    </w:p>
    <w:p>
      <w:pPr>
        <w:pBdr>
          <w:bottom w:val="single" w:color="2E75B6" w:sz="6" w:space="1"/>
        </w:pBdr>
        <w:spacing w:after="120"/>
      </w:pPr>
      <w:r>
        <w:t xml:space="preserve"/>
      </w:r>
    </w:p>
    <w:p>
      <w:pPr>
        <w:spacing w:after="120" w:before="60"/>
        <w:jc w:val="center"/>
      </w:pPr>
      <w:r>
        <w:rPr>
          <w:rFonts w:ascii="Arial" w:cs="Arial" w:eastAsia="Arial" w:hAnsi="Arial"/>
          <w:b/>
          <w:bCs/>
          <w:i w:val="false"/>
          <w:iCs w:val="false"/>
          <w:sz w:val="20"/>
          <w:szCs w:val="20"/>
        </w:rPr>
        <w:t xml:space="preserve">END OF REQUEST FOR PROPOSAL DOCUMENT</w:t>
      </w:r>
    </w:p>
    <w:p>
      <w:pPr>
        <w:spacing w:after="120" w:before="60"/>
        <w:jc w:val="center"/>
      </w:pPr>
      <w:r>
        <w:rPr>
          <w:rFonts w:ascii="Arial" w:cs="Arial" w:eastAsia="Arial" w:hAnsi="Arial"/>
          <w:b w:val="false"/>
          <w:bCs w:val="false"/>
          <w:i/>
          <w:iCs/>
          <w:sz w:val="20"/>
          <w:szCs w:val="20"/>
        </w:rPr>
        <w:t xml:space="preserve">GTI-CRM-2026-001 | Issued: March 3, 2026 | GlobalTech Industries, Inc.</w:t>
      </w:r>
    </w:p>
    <w:p>
      <w:pPr>
        <w:spacing w:after="120" w:before="60"/>
        <w:jc w:val="center"/>
      </w:pPr>
      <w:r>
        <w:rPr>
          <w:rFonts w:ascii="Arial" w:cs="Arial" w:eastAsia="Arial" w:hAnsi="Arial"/>
          <w:b w:val="false"/>
          <w:bCs w:val="false"/>
          <w:i/>
          <w:iCs/>
          <w:sz w:val="20"/>
          <w:szCs w:val="20"/>
        </w:rPr>
        <w:t xml:space="preserve">Questions: crm-rfp@globaltech-industries.com | Registered Vendors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666666"/>
        <w:sz w:val="16"/>
        <w:szCs w:val="16"/>
      </w:rPr>
      <w:t xml:space="preserve">© 2026 GlobalTech Industries, Inc. All rights reserved.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66666"/>
        <w:sz w:val="16"/>
        <w:szCs w:val="16"/>
      </w:rPr>
      <w:t xml:space="preserve">GlobalTech Industries, Inc.  |  CRM RFP – GTI-CRM-2026-001</w:t>
    </w:r>
    <w:r>
      <w:rPr>
        <w:rFonts w:ascii="Arial" w:cs="Arial" w:eastAsia="Arial" w:hAnsi="Arial"/>
        <w:b/>
        <w:bCs/>
        <w:color w:val="CC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2026-02-26T09:11:30.376Z</dcterms:created>
  <dcterms:modified xsi:type="dcterms:W3CDTF">2026-02-26T09:11:30.376Z</dcterms:modified>
</cp:coreProperties>
</file>

<file path=docProps/custom.xml><?xml version="1.0" encoding="utf-8"?>
<Properties xmlns="http://schemas.openxmlformats.org/officeDocument/2006/custom-properties" xmlns:vt="http://schemas.openxmlformats.org/officeDocument/2006/docPropsVTypes"/>
</file>