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showcase-vector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bookmarkStart w:id="42" w:name="showcase_top"/>
      <w:pPr>
        <w:pStyle w:val="1099"/>
      </w:pPr>
      <w:r>
        <w:t>Word Preview Showcase</w:t>
      </w:r>
      <w:bookmarkEnd w:id="42"/>
    </w:p>
    <w:p>
      <w:pPr>
        <w:pStyle w:val="1100"/>
      </w:pPr>
      <w:r>
        <w:t>A deterministic document-model corpus for typography, layout, drawings, charts, fields, notes and controls.</w:t>
      </w:r>
    </w:p>
    <w:p>
      <w:pPr>
        <w:jc w:val="right"/>
      </w:pPr>
      <w:r>
        <w:drawing>
          <wp:inline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lyra-5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304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Families</w:t>
            </w:r>
          </w:p>
        </w:tc>
        <w:tc>
          <w:tcPr>
            <w:tcW w:type="dxa" w:w="3408"/>
            <w:vAlign w:val="center"/>
            <w:shd w:fill="12304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Acceptance</w:t>
            </w:r>
          </w:p>
        </w:tc>
        <w:tc>
          <w:tcPr>
            <w:tcW w:type="dxa" w:w="3408"/>
            <w:vAlign w:val="center"/>
            <w:shd w:fill="12304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Build</w:t>
            </w:r>
          </w:p>
        </w:tc>
      </w:tr>
      <w:tr>
        <w:tc>
          <w:tcPr>
            <w:tcW w:type="dxa" w:w="3408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DOCX · DOC · ODT · RTF</w:t>
            </w:r>
          </w:p>
        </w:tc>
        <w:tc>
          <w:tcPr>
            <w:tcW w:type="dxa" w:w="3408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package + editor model</w:t>
            </w:r>
          </w:p>
        </w:tc>
        <w:tc>
          <w:tcPr>
            <w:tcW w:type="dxa" w:w="3408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2026-07-22</w:t>
            </w:r>
          </w:p>
        </w:tc>
      </w:tr>
    </w:tbl>
    <w:p>
      <w:pPr>
        <w:pStyle w:val="Marker"/>
      </w:pPr>
      <w:r>
        <w:t>W01 COVER · title/subtitle/header/footer/table styles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Typography · Tables &amp; media · Chart &amp; semantics · Sections</w:t>
      </w:r>
      <w:r>
        <w:fldChar w:fldCharType="end"/>
      </w:r>
    </w:p>
    <w:p>
      <w:r>
        <w:br w:type="page"/>
      </w:r>
    </w:p>
    <w:p>
      <w:pPr>
        <w:pStyle w:val="ShowcaseHeading1"/>
      </w:pPr>
      <w:r>
        <w:t>Typography and paragraph semantics</w:t>
      </w:r>
    </w:p>
    <w:p>
      <w:r>
        <w:rPr>
          <w:b/>
        </w:rPr>
        <w:t>W02 bold</w:t>
      </w:r>
      <w:r>
        <w:rPr>
          <w:i/>
        </w:rPr>
        <w:t xml:space="preserve"> · italic</w:t>
      </w:r>
      <w:r>
        <w:rPr>
          <w:u w:val="single"/>
        </w:rPr>
        <w:t xml:space="preserve"> · underline</w:t>
      </w:r>
      <w:r>
        <w:rPr>
          <w:strike/>
        </w:rPr>
        <w:t xml:space="preserve"> · strike</w:t>
      </w:r>
      <w:r>
        <w:rPr>
          <w:color w:val="E76F51"/>
        </w:rPr>
        <w:t xml:space="preserve"> · coral color</w:t>
      </w:r>
      <w:r>
        <w:rPr>
          <w:highlight w:val="yellow"/>
        </w:rPr>
        <w:t xml:space="preserve"> · highlighted</w:t>
      </w:r>
    </w:p>
    <w:p>
      <w:pPr>
        <w:jc w:val="center"/>
      </w:pPr>
      <w:r>
        <w:t xml:space="preserve">W03 H₂O · x² · Ω ∑ ✓ · </w:t>
      </w:r>
      <w:r>
        <w:rPr>
          <w:rFonts w:ascii="PingFang SC" w:hAnsi="PingFang SC" w:eastAsia="PingFang SC"/>
        </w:rPr>
        <w:t>简体中文 · 日本語</w:t>
      </w:r>
      <w:r>
        <w:rPr>
          <w:rFonts w:ascii="Arial" w:hAnsi="Arial"/>
        </w:rPr>
        <w:t xml:space="preserve"> · العربية · עברית</w:t>
      </w:r>
    </w:p>
    <w:p>
      <w:pPr>
        <w:spacing w:before="160"/>
        <w:ind w:firstLine="432"/>
        <w:jc w:val="both"/>
        <w:shd w:fill="EAF3F8"/>
        <w:pBdr>
          <w:bottom w:val="single" w:sz="12" w:space="4" w:color="2F75B5"/>
        </w:pBdr>
      </w:pPr>
      <w:r>
        <w:t>W04 paragraph border, shading, alignment, first-line indent and spacing are retained.</w:t>
      </w:r>
    </w:p>
    <w:p>
      <w:pPr>
        <w:pStyle w:val="ShowcaseHeading2"/>
      </w:pPr>
      <w:r>
        <w:t>Lists</w:t>
      </w:r>
    </w:p>
    <w:p>
      <w:pPr>
        <w:numPr>
          <w:ilvl w:val="0"/>
          <w:numId w:val="3"/>
        </w:numPr>
      </w:pPr>
      <w:r>
        <w:t>W05 first bullet</w:t>
      </w:r>
    </w:p>
    <w:p>
      <w:pPr>
        <w:numPr>
          <w:ilvl w:val="0"/>
          <w:numId w:val="3"/>
        </w:numPr>
      </w:pPr>
      <w:r>
        <w:t>W05 second bullet</w:t>
      </w:r>
    </w:p>
    <w:p>
      <w:pPr>
        <w:numPr>
          <w:ilvl w:val="0"/>
          <w:numId w:val="3"/>
        </w:numPr>
      </w:pPr>
      <w:r>
        <w:t>W05 third bullet</w:t>
      </w:r>
    </w:p>
    <w:p>
      <w:pPr>
        <w:numPr>
          <w:ilvl w:val="0"/>
          <w:numId w:val="2"/>
        </w:numPr>
      </w:pPr>
      <w:r>
        <w:t>W05 numbered step</w:t>
      </w:r>
    </w:p>
    <w:p>
      <w:pPr>
        <w:numPr>
          <w:ilvl w:val="0"/>
          <w:numId w:val="2"/>
        </w:numPr>
      </w:pPr>
      <w:r>
        <w:t>W05 numbered verification</w:t>
      </w:r>
    </w:p>
    <w:p>
      <w:pPr>
        <w:numPr>
          <w:ilvl w:val="0"/>
          <w:numId w:val="2"/>
        </w:numPr>
      </w:pPr>
      <w:r>
        <w:t>W05 numbered result</w:t>
      </w:r>
    </w:p>
    <w:p>
      <w:pPr>
        <w:numPr>
          <w:ilvl w:val="1"/>
          <w:numId w:val="2"/>
        </w:numPr>
        <w:ind w:left="720"/>
      </w:pPr>
      <w:r>
        <w:t>W05 nested level</w:t>
      </w:r>
    </w:p>
    <w:p>
      <w:commentRangeStart w:id="0"/>
      <w:r>
        <w:t>W15 comment anchor: semantic range survives conversion.</w:t>
      </w:r>
      <w:commentRangeEnd w:id="0"/>
      <w:r>
        <w:rPr>
          <w:rStyle w:val="CommentReference"/>
        </w:rPr>
        <w:commentReference w:id="0"/>
      </w:r>
    </w:p>
    <w:p>
      <w:hyperlink r:id="rId15">
        <w:r>
          <w:rPr>
            <w:color w:val="0563C1"/>
            <w:u w:val="single"/>
          </w:rPr>
          <w:t>W13 authoritative DocumentServer</w:t>
        </w:r>
      </w:hyperlink>
      <w:r>
        <w:t xml:space="preserve"> · </w:t>
      </w:r>
      <w:hyperlink w:anchor="showcase_top">
        <w:r>
          <w:rPr>
            <w:color w:val="0563C1"/>
            <w:u w:val="single"/>
          </w:rPr>
          <w:t>return to cover</w:t>
        </w:r>
      </w:hyperlink>
    </w:p>
    <w:p>
      <w:r>
        <w:br w:type="page"/>
      </w:r>
    </w:p>
    <w:p>
      <w:pPr>
        <w:pStyle w:val="ShowcaseHeading1"/>
      </w:pPr>
      <w:r>
        <w:t>Tables, images and drawings</w:t>
      </w:r>
    </w:p>
    <w:tbl>
      <w:tblPr>
        <w:tblStyle w:val="12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304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Marker</w:t>
            </w:r>
          </w:p>
        </w:tc>
        <w:tc>
          <w:tcPr>
            <w:tcW w:type="dxa" w:w="2556"/>
            <w:vAlign w:val="center"/>
            <w:shd w:fill="12304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Element</w:t>
            </w:r>
          </w:p>
        </w:tc>
        <w:tc>
          <w:tcPr>
            <w:tcW w:type="dxa" w:w="2556"/>
            <w:vAlign w:val="center"/>
            <w:shd w:fill="12304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Expected model</w:t>
            </w:r>
          </w:p>
        </w:tc>
        <w:tc>
          <w:tcPr>
            <w:tcW w:type="dxa" w:w="2556"/>
            <w:vAlign w:val="center"/>
            <w:shd w:fill="12304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A6A6"/>
              </w:rPr>
              <w:t>W06</w:t>
            </w:r>
          </w:p>
        </w:tc>
        <w:tc>
          <w:tcPr>
            <w:tcW w:type="dxa" w:w="2556"/>
            <w:vAlign w:val="center"/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Merged cell</w:t>
            </w:r>
          </w:p>
        </w:tc>
        <w:tc>
          <w:tcPr>
            <w:tcW w:type="dxa" w:w="2556"/>
            <w:vAlign w:val="center"/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gridSpan + fill</w:t>
            </w:r>
          </w:p>
        </w:tc>
        <w:tc>
          <w:tcPr>
            <w:tcW w:type="dxa" w:w="2556"/>
            <w:vAlign w:val="center"/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READY</w:t>
            </w:r>
          </w:p>
        </w:tc>
      </w:tr>
      <w:tr>
        <w:tc>
          <w:tcPr>
            <w:tcW w:type="dxa" w:w="2556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A6A6"/>
              </w:rPr>
              <w:t>W07</w:t>
            </w:r>
          </w:p>
        </w:tc>
        <w:tc>
          <w:tcPr>
            <w:tcW w:type="dxa" w:w="2556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Raster image</w:t>
            </w:r>
          </w:p>
        </w:tc>
        <w:tc>
          <w:tcPr>
            <w:tcW w:type="dxa" w:w="2556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decoded &gt; 0×0</w:t>
            </w:r>
          </w:p>
        </w:tc>
        <w:tc>
          <w:tcPr>
            <w:tcW w:type="dxa" w:w="2556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READY</w:t>
            </w:r>
          </w:p>
        </w:tc>
      </w:tr>
      <w:tr>
        <w:tc>
          <w:tcPr>
            <w:tcW w:type="dxa" w:w="2556"/>
            <w:vAlign w:val="center"/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A6A6"/>
              </w:rPr>
              <w:t>W08</w:t>
            </w:r>
          </w:p>
        </w:tc>
        <w:tc>
          <w:tcPr>
            <w:tcW w:type="dxa" w:w="2556"/>
            <w:vAlign w:val="center"/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SVG image</w:t>
            </w:r>
          </w:p>
        </w:tc>
        <w:tc>
          <w:tcPr>
            <w:tcW w:type="dxa" w:w="2556"/>
            <w:vAlign w:val="center"/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image/svg+xml</w:t>
            </w:r>
          </w:p>
        </w:tc>
        <w:tc>
          <w:tcPr>
            <w:tcW w:type="dxa" w:w="2556"/>
            <w:vAlign w:val="center"/>
            <w:shd w:fill="F7FAFC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READY</w:t>
            </w:r>
          </w:p>
        </w:tc>
      </w:tr>
      <w:tr>
        <w:tc>
          <w:tcPr>
            <w:tcW w:type="dxa" w:w="2556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0A6A6"/>
              </w:rPr>
              <w:t>W10</w:t>
            </w:r>
          </w:p>
        </w:tc>
        <w:tc>
          <w:tcPr>
            <w:tcW w:type="dxa" w:w="5112"/>
            <w:vAlign w:val="center"/>
            <w:gridSpan w:val="2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04A"/>
              </w:rPr>
              <w:t>W06 merged across two columns</w:t>
            </w:r>
          </w:p>
        </w:tc>
        <w:tc>
          <w:tcPr>
            <w:tcW w:type="dxa" w:w="2556"/>
            <w:vAlign w:val="center"/>
            <w:shd w:fill="EAF3F8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12304A"/>
              </w:rPr>
              <w:t>READY</w:t>
            </w:r>
          </w:p>
        </w:tc>
      </w:tr>
    </w:tbl>
    <w:p>
      <w:r>
        <w:drawing>
          <wp:inline xmlns:pic="http://schemas.openxmlformats.org/drawingml/2006/picture">
            <wp:extent cx="1143000" cy="1143000"/>
            <wp:docPr id="2" name="W07 raster image" descr="W07 raster image with alternative 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lyra-5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W07 inline raster image · alt text · non-zero dimensions</w:t>
      </w:r>
    </w:p>
    <w:p>
      <w:r>
        <w:t xml:space="preserve">W09 floating image with square wrapping. </w:t>
      </w:r>
      <w:r>
        <w:drawing>
          <wp:anchor xmlns:pic="http://schemas.openxmlformats.org/drawingml/2006/picture" simplePos="0" relativeHeight="251659264" behindDoc="0" locked="0" layoutInCell="1" allowOverlap="1" distT="45720" distB="45720" distL="91440" distR="9144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" cy="594360"/>
            <wp:wrapSquare wrapText="bothSides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lyra-5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 xmlns:pic="http://schemas.openxmlformats.org/drawingml/2006/picture">
        <w:drawing>
          <wp:inline distT="0" distB="0" distL="0" distR="0">
            <wp:extent cx="5486400" cy="1543050"/>
            <wp:docPr id="808" name="W08 SVG" descr="W08 vector preview"/>
            <a:graphic>
              <a:graphicData uri="http://schemas.openxmlformats.org/drawingml/2006/picture">
                <pic:pic>
                  <pic:nvPicPr>
                    <pic:cNvPr id="808" name="showcase-vector.svg" descr="W08 vector preview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roundrect style="width:300pt;height:72pt" arcsize="12%" fillcolor="#EAF3F8" strokecolor="#2F75B5">
            <v:textbox inset="10pt,8pt,10pt,8pt">
              <w:txbxContent>
                <w:p>
                  <w:r>
                    <w:rPr>
                      <w:b/>
                      <w:color w:val="12304A"/>
                    </w:rPr>
                    <w:t>W10 TEXT BOX · selectable DrawingML/VML fallback</w:t>
                  </w:r>
                </w:p>
              </w:txbxContent>
            </v:textbox>
          </v:roundrect>
        </w:pict>
      </w:r>
    </w:p>
    <w:p>
      <w:pPr>
        <w:pStyle w:val="Marker"/>
      </w:pPr>
      <w:r>
        <w:t>W09 floating/wrapped image acceptance is asserted from anchor metadata in converted variants.</w:t>
      </w:r>
    </w:p>
    <w:p>
      <w:r>
        <w:br w:type="page"/>
      </w:r>
    </w:p>
    <w:p>
      <w:pPr>
        <w:pStyle w:val="ShowcaseHeading1"/>
      </w:pPr>
      <w:r>
        <w:t>Native chart and semantic objects</w:t>
      </w:r>
    </w:p>
    <w:p>
      <w:pPr>
        <w:pStyle w:val="Marker"/>
      </w:pPr>
      <w:r>
        <w:t>W11 Native five-series chart · colored gradients must not collapse to black.</w:t>
      </w:r>
    </w:p>
    <w:p>
      <w:pPr>
        <w:pBdr/>
        <w:spacing/>
        <w:ind/>
        <w:rPr>
          <w:lang w:val="en-US"/>
        </w:rPr>
      </w:pPr>
      <w:r>
        <w:rPr>
          <w:lang w:val="en-US"/>
        </w:rPr>
        <w:drawing>
          <wp:inline distT="0" distB="0" distL="0" distR="0">
            <wp:extent cx="6152511" cy="2649216"/>
            <wp:effectExtent l="0" t="0" r="0" b="0"/>
            <wp:docPr id="3" name="Chart 3"/>
            <wp:cNvGraphicFramePr/>
            <a:graphic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  <w:r>
        <w:rPr>
          <w:lang w:val="en-US"/>
        </w:rPr>
      </w:r>
    </w:p>
    <w:p>
      <w:bookmarkStart w:id="43" w:name="_RefFigure1"/>
      <w:pPr>
        <w:jc w:val="center"/>
      </w:pPr>
      <w:r>
        <w:rPr>
          <w:i/>
        </w:rPr>
        <w:t xml:space="preserve">Figure </w:t>
      </w:r>
      <w:r>
        <w:rPr>
          <w:i/>
        </w:rPr>
        <w:fldChar w:fldCharType="begin"/>
      </w:r>
      <w:r>
        <w:rPr>
          <w:i/>
        </w:rPr>
        <w:instrText xml:space="preserve">SEQ Figure \* ARABIC</w:instrText>
      </w:r>
      <w:r>
        <w:rPr>
          <w:i/>
        </w:rPr>
        <w:fldChar w:fldCharType="separate"/>
      </w:r>
      <w:r>
        <w:rPr>
          <w:i/>
        </w:rPr>
        <w:t>1</w:t>
      </w:r>
      <w:r>
        <w:rPr>
          <w:i/>
        </w:rPr>
        <w:fldChar w:fldCharType="end"/>
      </w:r>
      <w:r>
        <w:rPr>
          <w:i/>
        </w:rPr>
        <w:t xml:space="preserve"> — W11 conversion fidelity chart</w:t>
      </w:r>
      <w:bookmarkEnd w:id="43"/>
    </w:p>
    <w:p>
      <w:pPr>
        <w:pStyle w:val="ShowcaseHeading2"/>
      </w:pPr>
      <w:r>
        <w:t>Equation, fields and controls</w:t>
      </w:r>
    </w:p>
    <w:p>
      <w:r>
        <w:t xml:space="preserve">W12 native equation: </w:t>
      </w:r>
      <m:oMathPara>
        <m:oMath>
          <m:r>
            <m:t>E</m:t>
          </m:r>
          <m:r>
            <m:t>=</m:t>
          </m:r>
          <m:sSup>
            <m:e>
              <m:r>
                <m:t>mc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W17/W19 fields: </w:t>
      </w:r>
      <w:r>
        <w:fldChar w:fldCharType="begin"/>
      </w:r>
      <w:r>
        <w:instrText xml:space="preserve">DATE \@ "yyyy-MM-dd"</w:instrText>
      </w:r>
      <w:r>
        <w:fldChar w:fldCharType="separate"/>
      </w:r>
      <w:r>
        <w:t>2026-07-22</w:t>
      </w:r>
      <w:r>
        <w:fldChar w:fldCharType="end"/>
      </w:r>
      <w:r>
        <w:t xml:space="preserve"> · cross-reference Figure </w:t>
      </w:r>
      <w:r>
        <w:fldChar w:fldCharType="begin"/>
      </w:r>
      <w:r>
        <w:instrText xml:space="preserve">REF _RefFigure1 \h</w:instrText>
      </w:r>
      <w:r>
        <w:fldChar w:fldCharType="separate"/>
      </w:r>
      <w:r>
        <w:t>1</w:t>
      </w:r>
      <w:r>
        <w:fldChar w:fldCharType="end"/>
      </w:r>
    </w:p>
    <w:p>
      <w:r>
        <w:t>W16 note references: footnote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sdt>
      <w:sdtPr>
        <w:alias w:val="W14 Rich text"/>
        <w:tag w:val="W14-rich"/>
        <w:id w:val="1401"/>
      </w:sdtPr>
      <w:sdtContent>
        <w:p>
          <w:r>
            <w:rPr>
              <w:b/>
              <w:color w:val="2F75B5"/>
            </w:rPr>
            <w:t>W14 rich-text content control</w:t>
          </w:r>
        </w:p>
      </w:sdtContent>
    </w:sdt>
    <w:sdt>
      <w:sdtPr>
        <w:alias w:val="W14 Checkbox"/>
        <w:tag w:val="W14-checkbox"/>
        <w:id w:val="1402"/>
        <w14:checkbox>
          <w14:checked w14:val="1"/>
          <w14:checkedState w14:val="2612" w14:font="MS Gothic"/>
          <w14:uncheckedState w14:val="2610" w14:font="MS Gothic"/>
        </w14:checkbox>
      </w:sdtPr>
      <w:sdtContent>
        <w:p>
          <w:r>
            <w:t>☒ W14 checked content control</w:t>
          </w:r>
        </w:p>
      </w:sdtContent>
    </w:sdt>
    <w:p>
      <w:pPr>
        <w:sectPr>
          <w:headerReference w:type="default" r:id="rId9"/>
          <w:footerReference w:type="default" r:id="rId10"/>
          <w:footnotePr/>
          <w:endnotePr/>
          <w:type w:val="nextPage"/>
          <w:pgSz w:h="15840" w:orient="portrait" w:w="12240"/>
          <w:pgMar w:top="936" w:right="1008" w:bottom="936" w:left="1008" w:header="720" w:footer="493" w:gutter="0"/>
          <w:cols w:num="1" w:sep="0" w:space="708" w:equalWidth="1"/>
        </w:sectPr>
      </w:pPr>
    </w:p>
    <w:p>
      <w:pPr>
        <w:pStyle w:val="ShowcaseHeading1"/>
      </w:pPr>
      <w:r>
        <w:t>Sections, columns and page geometry</w:t>
      </w:r>
    </w:p>
    <w:p>
      <w:r>
        <w:t>W18 landscape section · explicit section break · page-number/header/footer continuity.</w:t>
      </w:r>
    </w:p>
    <w:p>
      <w:r>
        <w:t>W18 column paragraph 1. This deterministic text validates column flow, paragraph spacing and section geometry.</w:t>
      </w:r>
    </w:p>
    <w:p>
      <w:r>
        <w:t>W18 column paragraph 2. This deterministic text validates column flow, paragraph spacing and section geometry.</w:t>
      </w:r>
    </w:p>
    <w:p>
      <w:r>
        <w:t>W18 column paragraph 3. This deterministic text validates column flow, paragraph spacing and section geometry.</w:t>
      </w:r>
    </w:p>
    <w:p>
      <w:r>
        <w:t>W18 column paragraph 4. This deterministic text validates column flow, paragraph spacing and section geometry.</w:t>
      </w:r>
    </w:p>
    <w:p>
      <w:r>
        <w:t>W18 column paragraph 5. This deterministic text validates column flow, paragraph spacing and section geometry.</w:t>
      </w:r>
    </w:p>
    <w:p>
      <w:r>
        <w:t>W18 column paragraph 6. This deterministic text validates column flow, paragraph spacing and section geometry.</w:t>
      </w:r>
    </w:p>
    <w:p>
      <w:r>
        <w:t>W18 column paragraph 7. This deterministic text validates column flow, paragraph spacing and section geometry.</w:t>
      </w:r>
    </w:p>
    <w:p>
      <w:r>
        <w:t>W18 column paragraph 8. This deterministic text validates column flow, paragraph spacing and section geometry.</w:t>
      </w:r>
    </w:p>
    <w:p>
      <w:r>
        <w:t>W18 column paragraph 9. This deterministic text validates column flow, paragraph spacing and section geometry.</w:t>
      </w:r>
    </w:p>
    <w:p>
      <w:r>
        <w:t>W18 column paragraph 10. This deterministic text validates column flow, paragraph spacing and section geometry.</w:t>
      </w:r>
    </w:p>
    <w:p>
      <w:r>
        <w:t>W18 column paragraph 11. This deterministic text validates column flow, paragraph spacing and section geometry.</w:t>
      </w:r>
    </w:p>
    <w:p>
      <w:r>
        <w:t>W18 column paragraph 12. This deterministic text validates column flow, paragraph spacing and section geometry.</w:t>
      </w:r>
    </w:p>
    <w:p>
      <w:r>
        <w:t>W18 column paragraph 13. This deterministic text validates column flow, paragraph spacing and section geometry.</w:t>
      </w:r>
    </w:p>
    <w:p>
      <w:r>
        <w:t>W18 column paragraph 14. This deterministic text validates column flow, paragraph spacing and section geometry.</w:t>
      </w:r>
    </w:p>
    <w:p>
      <w:r>
        <w:t>W18 column paragraph 15. This deterministic text validates column flow, paragraph spacing and section geometry.</w:t>
      </w:r>
    </w:p>
    <w:p>
      <w:r>
        <w:t>W18 column paragraph 16. This deterministic text validates column flow, paragraph spacing and section geometry.</w:t>
      </w:r>
    </w:p>
    <w:p>
      <w:r>
        <w:t>W18 column paragraph 17. This deterministic text validates column flow, paragraph spacing and section geometry.</w:t>
      </w:r>
    </w:p>
    <w:p>
      <w:r>
        <w:t>W18 column paragraph 18. This deterministic text validates column flow, paragraph spacing and section geometry.</w:t>
      </w:r>
    </w:p>
    <w:p>
      <w:pPr>
        <w:pStyle w:val="Marker"/>
      </w:pPr>
      <w:r>
        <w:t>W20 legacy DOC OLE chart is covered by the focused Example Title.doc regression.</w:t>
      </w:r>
    </w:p>
    <w:p>
      <w:pPr>
        <w:pStyle w:val="Marker"/>
      </w:pPr>
      <w:r>
        <w:t>W21 diagram coverage uses grouped shape/model fixtures in the presentation showcase.</w:t>
      </w:r>
    </w:p>
    <w:sectPr>
      <w:footnotePr/>
      <w:endnotePr/>
      <w:pgSz w:h="12240" w:orient="landscape" w:w="15840"/>
      <w:pgMar w:top="792" w:right="1008" w:bottom="792" w:left="1008" w:header="720" w:footer="493" w:gutter="0"/>
      <w:cols w:num="2" w:sep="0" w:space="708" w:equalWidth="1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Nexolyra QA" w:initials="NQ" w:date="2026-07-22T09:15:36Z">
    <w:p>
      <w:pPr>
        <w:pStyle w:val="CommentText"/>
      </w:pPr>
      <w:r>
        <w:rPr>
          <w:rStyle w:val="CommentReference"/>
        </w:rPr>
        <w:annotationRef/>
      </w:r>
      <w:r>
        <w:t>W15 comment body retained by the editor model.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>W16 endnote: semantic note resource retained.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</w:pPr>
    <w:r>
      <w:t xml:space="preserve">Nexolyra deterministic fixture ·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>W16 footnote: browser conversion must preserve note text.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Marker"/>
    </w:pPr>
    <w:r>
      <w:t>ONLYOFFICE · WORD PREVIEW SHOWCASE · W01–W21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"/>
      <w:numFmt w:val="bullet"/>
      <w:pPr>
        <w:pBdr/>
        <w:spacing/>
        <w:ind w:hanging="356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56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56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56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56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56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56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56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56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56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56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76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56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56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76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56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56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76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38" w:left="2525"/>
      </w:pPr>
      <w:rPr>
        <w:rFonts w:hint="default" w:ascii="Symbol" w:hAnsi="Symbol" w:eastAsia="Symbol" w:cs="Symbol"/>
        <w:color w:val="000000"/>
        <w:sz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38" w:left="32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38" w:left="39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38" w:left="46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38" w:left="54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38" w:left="61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38" w:left="68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38" w:left="75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38" w:left="82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ü"/>
      <w:numFmt w:val="bullet"/>
      <w:pPr>
        <w:pBdr/>
        <w:spacing/>
        <w:ind w:hanging="338" w:left="72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38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38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38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38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38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38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38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38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-US" w:eastAsia="en-US" w:bidi="ar-SA"/>
      </w:rPr>
    </w:rPrDefault>
    <w:pPrDefault>
      <w:pPr>
        <w:pBdr/>
        <w:shd w:val="clear" w:color="auto" w:fill="auto"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">
    <w:name w:val="Heading 2 Char"/>
    <w:basedOn w:val="1095"/>
    <w:link w:val="10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95"/>
    <w:link w:val="10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95"/>
    <w:link w:val="10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">
    <w:name w:val="Heading 6 Char"/>
    <w:basedOn w:val="1095"/>
    <w:link w:val="10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95"/>
    <w:link w:val="10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95"/>
    <w:link w:val="10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95"/>
    <w:link w:val="10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095"/>
    <w:link w:val="10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095"/>
    <w:link w:val="11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1095"/>
    <w:link w:val="10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1095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0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1094"/>
    <w:next w:val="10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9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0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94"/>
    <w:next w:val="1094"/>
    <w:uiPriority w:val="39"/>
    <w:unhideWhenUsed/>
    <w:pPr>
      <w:pBdr/>
      <w:spacing w:after="100"/>
      <w:ind/>
    </w:pPr>
  </w:style>
  <w:style w:type="paragraph" w:styleId="190">
    <w:name w:val="toc 2"/>
    <w:basedOn w:val="1094"/>
    <w:next w:val="1094"/>
    <w:uiPriority w:val="39"/>
    <w:unhideWhenUsed/>
    <w:pPr>
      <w:pBdr/>
      <w:spacing w:after="100"/>
      <w:ind w:left="220"/>
    </w:pPr>
  </w:style>
  <w:style w:type="paragraph" w:styleId="191">
    <w:name w:val="toc 3"/>
    <w:basedOn w:val="1094"/>
    <w:next w:val="1094"/>
    <w:uiPriority w:val="39"/>
    <w:unhideWhenUsed/>
    <w:pPr>
      <w:pBdr/>
      <w:spacing w:after="100"/>
      <w:ind w:left="440"/>
    </w:pPr>
  </w:style>
  <w:style w:type="paragraph" w:styleId="192">
    <w:name w:val="toc 4"/>
    <w:basedOn w:val="1094"/>
    <w:next w:val="1094"/>
    <w:uiPriority w:val="39"/>
    <w:unhideWhenUsed/>
    <w:pPr>
      <w:pBdr/>
      <w:spacing w:after="100"/>
      <w:ind w:left="660"/>
    </w:pPr>
  </w:style>
  <w:style w:type="paragraph" w:styleId="193">
    <w:name w:val="toc 5"/>
    <w:basedOn w:val="1094"/>
    <w:next w:val="1094"/>
    <w:uiPriority w:val="39"/>
    <w:unhideWhenUsed/>
    <w:pPr>
      <w:pBdr/>
      <w:spacing w:after="100"/>
      <w:ind w:left="880"/>
    </w:pPr>
  </w:style>
  <w:style w:type="paragraph" w:styleId="194">
    <w:name w:val="toc 6"/>
    <w:basedOn w:val="1094"/>
    <w:next w:val="1094"/>
    <w:uiPriority w:val="39"/>
    <w:unhideWhenUsed/>
    <w:pPr>
      <w:pBdr/>
      <w:spacing w:after="100"/>
      <w:ind w:left="1100"/>
    </w:pPr>
  </w:style>
  <w:style w:type="paragraph" w:styleId="195">
    <w:name w:val="toc 7"/>
    <w:basedOn w:val="1094"/>
    <w:next w:val="1094"/>
    <w:uiPriority w:val="39"/>
    <w:unhideWhenUsed/>
    <w:pPr>
      <w:pBdr/>
      <w:spacing w:after="100"/>
      <w:ind w:left="1320"/>
    </w:pPr>
  </w:style>
  <w:style w:type="paragraph" w:styleId="196">
    <w:name w:val="toc 8"/>
    <w:basedOn w:val="1094"/>
    <w:next w:val="1094"/>
    <w:uiPriority w:val="39"/>
    <w:unhideWhenUsed/>
    <w:pPr>
      <w:pBdr/>
      <w:spacing w:after="100"/>
      <w:ind w:left="1540"/>
    </w:pPr>
  </w:style>
  <w:style w:type="paragraph" w:styleId="197">
    <w:name w:val="toc 9"/>
    <w:basedOn w:val="1094"/>
    <w:next w:val="10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094"/>
    <w:next w:val="1094"/>
    <w:uiPriority w:val="99"/>
    <w:unhideWhenUsed/>
    <w:pPr>
      <w:pBdr/>
      <w:spacing w:after="0" w:afterAutospacing="0"/>
      <w:ind/>
    </w:pPr>
  </w:style>
  <w:style w:type="paragraph" w:styleId="1081">
    <w:name w:val="Heading 1"/>
    <w:basedOn w:val="1094"/>
    <w:next w:val="1094"/>
    <w:uiPriority w:val="9"/>
    <w:qFormat/>
    <w:pPr>
      <w:keepNext w:val="true"/>
      <w:keepLines w:val="true"/>
      <w:pBdr/>
      <w:spacing w:after="0" w:before="480" w:line="276" w:lineRule="auto"/>
      <w:ind/>
    </w:pPr>
    <w:rPr>
      <w:rFonts w:hint="cs" w:ascii="Arial" w:hAnsi="Arial" w:eastAsia="Times New Roman" w:cs="Arial"/>
      <w:b/>
      <w:bCs/>
      <w:color w:val="000000"/>
      <w:sz w:val="48"/>
      <w:szCs w:val="48"/>
    </w:rPr>
  </w:style>
  <w:style w:type="paragraph" w:styleId="1082">
    <w:name w:val="Heading 2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color w:val="000000"/>
      <w:sz w:val="40"/>
    </w:rPr>
  </w:style>
  <w:style w:type="paragraph" w:styleId="1083">
    <w:name w:val="Heading 3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i/>
      <w:color w:val="000000"/>
      <w:sz w:val="36"/>
    </w:rPr>
  </w:style>
  <w:style w:type="paragraph" w:styleId="1084">
    <w:name w:val="Heading 4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color w:val="232323"/>
      <w:sz w:val="32"/>
    </w:rPr>
  </w:style>
  <w:style w:type="paragraph" w:styleId="1085">
    <w:name w:val="Heading 5"/>
    <w:basedOn w:val="1094"/>
    <w:next w:val="1094"/>
    <w:uiPriority w:val="9"/>
    <w:semiHidden/>
    <w:unhideWhenUsed/>
    <w:qFormat/>
    <w:pPr>
      <w:keepNext w:val="true"/>
      <w:keepLines w:val="true"/>
      <w:pBdr/>
      <w:spacing w:after="0" w:before="40"/>
      <w:ind/>
    </w:pPr>
    <w:rPr>
      <w:rFonts w:hint="cs"/>
      <w:color w:val="2e74b5" w:themeColor="accent1" w:themeShade="BF"/>
    </w:rPr>
  </w:style>
  <w:style w:type="paragraph" w:styleId="1086">
    <w:name w:val="Heading 6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i/>
      <w:color w:val="232323"/>
      <w:sz w:val="28"/>
    </w:rPr>
  </w:style>
  <w:style w:type="paragraph" w:styleId="1087">
    <w:name w:val="Heading 7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b/>
      <w:color w:val="606060"/>
      <w:sz w:val="24"/>
    </w:rPr>
  </w:style>
  <w:style w:type="paragraph" w:styleId="1088">
    <w:name w:val="Heading 8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color w:val="444444"/>
      <w:sz w:val="24"/>
    </w:rPr>
  </w:style>
  <w:style w:type="paragraph" w:styleId="1089">
    <w:name w:val="Heading 9"/>
    <w:basedOn w:val="1094"/>
    <w:next w:val="1094"/>
    <w:uiPriority w:val="9"/>
    <w:unhideWhenUsed/>
    <w:qFormat/>
    <w:pPr>
      <w:keepNext w:val="true"/>
      <w:keepLines w:val="true"/>
      <w:pBdr/>
      <w:spacing w:after="0" w:before="200"/>
      <w:ind/>
    </w:pPr>
    <w:rPr>
      <w:i/>
      <w:color w:val="444444"/>
      <w:sz w:val="23"/>
    </w:rPr>
  </w:style>
  <w:style w:type="paragraph" w:styleId="1090">
    <w:name w:val="Quote"/>
    <w:basedOn w:val="1094"/>
    <w:next w:val="1094"/>
    <w:uiPriority w:val="29"/>
    <w:qFormat/>
    <w:pPr>
      <w:pBdr>
        <w:left w:val="single" w:color="a6a6a6" w:sz="12" w:space="11"/>
        <w:bottom w:val="single" w:color="a6a6a6" w:sz="12" w:space="3"/>
      </w:pBdr>
      <w:spacing/>
      <w:ind w:left="3402"/>
    </w:pPr>
    <w:rPr>
      <w:i/>
      <w:color w:val="373737"/>
      <w:sz w:val="18"/>
    </w:rPr>
  </w:style>
  <w:style w:type="table" w:styleId="1091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4" w:default="1">
    <w:name w:val="Normal"/>
    <w:qFormat/>
    <w:pPr>
      <w:pBdr/>
      <w:spacing w:after="120"/>
      <w:ind/>
    </w:pPr>
    <w:rPr>
      <w:rFonts w:ascii="Aptos" w:hAnsi="Aptos"/>
      <w:color w:val="12304A"/>
      <w:sz w:val="21"/>
    </w:rPr>
  </w:style>
  <w:style w:type="character" w:styleId="1095" w:default="1">
    <w:name w:val="Default Paragraph Font"/>
    <w:uiPriority w:val="1"/>
    <w:semiHidden/>
    <w:unhideWhenUsed/>
    <w:pPr>
      <w:pBdr/>
      <w:spacing/>
      <w:ind/>
    </w:pPr>
  </w:style>
  <w:style w:type="table" w:styleId="1096" w:default="1">
    <w:name w:val="Normal Table"/>
    <w:uiPriority w:val="99"/>
    <w:semiHidden/>
    <w:unhideWhenUsed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7" w:default="1">
    <w:name w:val="No List"/>
    <w:uiPriority w:val="99"/>
    <w:semiHidden/>
    <w:unhideWhenUsed/>
    <w:pPr>
      <w:pBdr/>
      <w:spacing/>
      <w:ind/>
    </w:pPr>
  </w:style>
  <w:style w:type="paragraph" w:styleId="1098">
    <w:name w:val="No Spacing"/>
    <w:uiPriority w:val="1"/>
    <w:qFormat/>
    <w:pPr>
      <w:pBdr/>
      <w:spacing w:after="0" w:line="240" w:lineRule="auto"/>
      <w:ind/>
    </w:pPr>
    <w:rPr>
      <w:color w:val="000000"/>
    </w:rPr>
  </w:style>
  <w:style w:type="paragraph" w:styleId="1099">
    <w:name w:val="Title"/>
    <w:basedOn w:val="1094"/>
    <w:next w:val="1094"/>
    <w:uiPriority w:val="10"/>
    <w:qFormat/>
    <w:pPr>
      <w:pBdr>
        <w:bottom w:val="single" w:color="000000" w:sz="24" w:space="0"/>
      </w:pBdr>
      <w:spacing w:after="80" w:before="300" w:line="240" w:lineRule="auto"/>
      <w:ind/>
    </w:pPr>
    <w:rPr>
      <w:rFonts w:ascii="Aptos Display" w:hAnsi="Aptos Display"/>
      <w:b/>
      <w:color w:val="12304A"/>
      <w:sz w:val="56"/>
    </w:rPr>
  </w:style>
  <w:style w:type="paragraph" w:styleId="1100">
    <w:name w:val="Subtitle"/>
    <w:basedOn w:val="1094"/>
    <w:next w:val="1094"/>
    <w:uiPriority w:val="11"/>
    <w:qFormat/>
    <w:pPr>
      <w:pBdr/>
      <w:spacing w:line="240" w:lineRule="auto"/>
      <w:ind/>
    </w:pPr>
    <w:rPr>
      <w:rFonts w:ascii="Aptos Display" w:hAnsi="Aptos Display"/>
      <w:i/>
      <w:color w:val="607785"/>
      <w:sz w:val="24"/>
    </w:rPr>
  </w:style>
  <w:style w:type="paragraph" w:styleId="1101">
    <w:name w:val="Intense Quote"/>
    <w:basedOn w:val="1094"/>
    <w:next w:val="1094"/>
    <w:uiPriority w:val="30"/>
    <w:qFormat/>
    <w:pPr>
      <w:pBdr>
        <w:top w:val="single" w:color="808080" w:sz="4" w:space="3"/>
        <w:left w:val="single" w:color="808080" w:sz="4" w:space="11"/>
        <w:bottom w:val="single" w:color="808080" w:sz="4" w:space="3"/>
        <w:right w:val="single" w:color="808080" w:sz="4" w:space="11"/>
      </w:pBdr>
      <w:shd w:val="clear" w:color="auto" w:fill="d9d9d9"/>
      <w:spacing/>
      <w:ind w:right="567" w:left="567"/>
    </w:pPr>
    <w:rPr>
      <w:i/>
      <w:color w:val="606060"/>
      <w:sz w:val="19"/>
    </w:rPr>
  </w:style>
  <w:style w:type="table" w:styleId="1102">
    <w:name w:val="Lin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n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5b3d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n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n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n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n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n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de9e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de9e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Border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Border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365f91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365f91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365f91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365f9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Border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943634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943634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943634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94363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Border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76923c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76923c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76923c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76923c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Border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5f497a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5f497a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5f497a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5f497a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Border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31849b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31849b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31849b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31849b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Border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e36c0a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e36c0a" w:sz="18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e36c0a" w:sz="18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e36c0a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Bordered &amp; Lined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a6a6a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Bordered &amp; Lined - Accent 1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17365d" w:sz="4" w:space="0"/>
        <w:left w:val="single" w:color="17365d" w:sz="4" w:space="0"/>
        <w:bottom w:val="single" w:color="17365d" w:sz="4" w:space="0"/>
        <w:right w:val="single" w:color="17365d" w:sz="4" w:space="0"/>
        <w:insideH w:val="single" w:color="17365d" w:sz="4" w:space="0"/>
        <w:insideV w:val="single" w:color="17365d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be5f1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8db3e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Bordered &amp; Lined - Accent 2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943634" w:sz="4" w:space="0"/>
        <w:left w:val="single" w:color="943634" w:sz="4" w:space="0"/>
        <w:bottom w:val="single" w:color="943634" w:sz="4" w:space="0"/>
        <w:right w:val="single" w:color="943634" w:sz="4" w:space="0"/>
        <w:insideH w:val="single" w:color="943634" w:sz="4" w:space="0"/>
        <w:insideV w:val="single" w:color="94363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Bordered &amp; Lined - Accent 3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c2d69b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&amp; Lined - Accent 4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5f497a" w:sz="4" w:space="0"/>
        <w:left w:val="single" w:color="5f497a" w:sz="4" w:space="0"/>
        <w:bottom w:val="single" w:color="5f497a" w:sz="4" w:space="0"/>
        <w:right w:val="single" w:color="5f497a" w:sz="4" w:space="0"/>
        <w:insideH w:val="single" w:color="5f497a" w:sz="4" w:space="0"/>
        <w:insideV w:val="single" w:color="5f497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&amp; Lined - Accent 5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2cddc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&amp; Lined - Accent 6"/>
    <w:basedOn w:val="1096"/>
    <w:uiPriority w:val="99"/>
    <w:pPr>
      <w:pBdr/>
      <w:spacing w:after="0" w:line="240" w:lineRule="auto"/>
      <w:ind/>
    </w:pPr>
    <w:tblPr>
      <w:tblStyleRowBandSize w:val="1"/>
      <w:tblStyleColBandSize w:val="1"/>
      <w:tblCellMar>
        <w:left w:w="0" w:type="dxa"/>
        <w:right w:w="0" w:type="dxa"/>
      </w:tblCellMar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abf8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enStyleDefTableGrid"/>
    <w:basedOn w:val="109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4">
    <w:name w:val="Header"/>
    <w:basedOn w:val="10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25">
    <w:name w:val="Header Char"/>
    <w:basedOn w:val="1095"/>
    <w:uiPriority w:val="99"/>
    <w:pPr>
      <w:pBdr/>
      <w:spacing/>
      <w:ind/>
    </w:pPr>
  </w:style>
  <w:style w:type="paragraph" w:styleId="1126">
    <w:name w:val="Footer"/>
    <w:basedOn w:val="10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27">
    <w:name w:val="Footer Char"/>
    <w:basedOn w:val="1095"/>
    <w:uiPriority w:val="99"/>
    <w:pPr>
      <w:pBdr/>
      <w:spacing/>
      <w:ind/>
    </w:pPr>
  </w:style>
  <w:style w:type="character" w:styleId="1128">
    <w:name w:val="Heading 1 Char"/>
    <w:basedOn w:val="1095"/>
    <w:uiPriority w:val="9"/>
    <w:pPr>
      <w:pBdr/>
      <w:spacing/>
      <w:ind/>
    </w:pPr>
    <w:rPr>
      <w:rFonts w:hint="cs" w:ascii="Arial" w:hAnsi="Arial" w:eastAsia="Times New Roman" w:cs="Arial"/>
      <w:b/>
      <w:bCs/>
      <w:color w:val="000000"/>
      <w:sz w:val="48"/>
      <w:szCs w:val="48"/>
    </w:rPr>
  </w:style>
  <w:style w:type="character" w:styleId="1129">
    <w:name w:val="Heading 5 Char"/>
    <w:basedOn w:val="1095"/>
    <w:uiPriority w:val="9"/>
    <w:semiHidden/>
    <w:pPr>
      <w:pBdr/>
      <w:spacing/>
      <w:ind/>
    </w:pPr>
    <w:rPr>
      <w:rFonts w:hint="cs" w:ascii="Calibri" w:hAnsi="Calibri" w:eastAsia="Calibri" w:cs="Calibri"/>
      <w:color w:val="2e74b5" w:themeColor="accent1" w:themeShade="BF"/>
    </w:rPr>
  </w:style>
  <w:style w:type="paragraph" w:styleId="1130">
    <w:name w:val="List Paragraph"/>
    <w:basedOn w:val="1094"/>
    <w:uiPriority w:val="34"/>
    <w:qFormat/>
    <w:pPr>
      <w:pBdr/>
      <w:spacing/>
      <w:ind w:left="720"/>
      <w:contextualSpacing w:val="true"/>
    </w:pPr>
  </w:style>
  <w:style w:type="character" w:styleId="1131">
    <w:name w:val="Hyperlink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1132">
    <w:name w:val="Balloon Text"/>
    <w:basedOn w:val="1094"/>
    <w:uiPriority w:val="99"/>
    <w:semiHidden/>
    <w:unhideWhenUsed/>
    <w:pPr>
      <w:pBdr/>
      <w:spacing w:after="0" w:line="240" w:lineRule="auto"/>
      <w:ind/>
    </w:pPr>
    <w:rPr>
      <w:rFonts w:hint="cs" w:ascii="Tahoma" w:hAnsi="Tahoma" w:cs="Tahoma"/>
      <w:sz w:val="16"/>
      <w:szCs w:val="16"/>
    </w:rPr>
  </w:style>
  <w:style w:type="character" w:styleId="1133">
    <w:name w:val="Текст выноски Знак"/>
    <w:basedOn w:val="1095"/>
    <w:uiPriority w:val="99"/>
    <w:semiHidden/>
    <w:pPr>
      <w:pBdr/>
      <w:spacing/>
      <w:ind/>
    </w:pPr>
    <w:rPr>
      <w:rFonts w:hint="cs" w:ascii="Tahoma" w:hAnsi="Tahoma" w:cs="Tahoma"/>
      <w:sz w:val="16"/>
      <w:szCs w:val="16"/>
    </w:rPr>
  </w:style>
  <w:style w:type="paragraph" w:customStyle="1" w:styleId="ShowcaseHeading1">
    <w:name w:val="Showcase Heading 1"/>
    <w:rPr>
      <w:rFonts w:ascii="Aptos Display" w:hAnsi="Aptos Display"/>
      <w:b/>
      <w:color w:val="2F75B5"/>
      <w:sz w:val="40"/>
    </w:rPr>
  </w:style>
  <w:style w:type="paragraph" w:customStyle="1" w:styleId="ShowcaseHeading2">
    <w:name w:val="Showcase Heading 2"/>
    <w:rPr>
      <w:rFonts w:ascii="Aptos Display" w:hAnsi="Aptos Display"/>
      <w:b/>
      <w:color w:val="00A6A6"/>
      <w:sz w:val="28"/>
    </w:rPr>
  </w:style>
  <w:style w:type="paragraph" w:customStyle="1" w:styleId="Marker">
    <w:name w:val="Marker"/>
    <w:rPr>
      <w:rFonts w:ascii="Aptos" w:hAnsi="Aptos"/>
      <w:color w:val="E76F51"/>
      <w:sz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www.youtube.com/watch?v=0S0Op2MbLvw" TargetMode="External"/><Relationship Id="rId12" Type="http://schemas.openxmlformats.org/officeDocument/2006/relationships/chart" Target="charts/chart1.xml"/><Relationship Id="rId13" Type="http://schemas.openxmlformats.org/officeDocument/2006/relationships/image" Target="media/image1.png"/><Relationship Id="rId14" Type="http://schemas.openxmlformats.org/officeDocument/2006/relationships/comments" Target="comments.xml"/><Relationship Id="rId15" Type="http://schemas.openxmlformats.org/officeDocument/2006/relationships/hyperlink" Target="https://github.com/ONLYOFFICE/DocumentServer" TargetMode="External"/><Relationship Id="rId16" Type="http://schemas.openxmlformats.org/officeDocument/2006/relationships/image" Target="media/showcase-vector.sv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server@teamlab.com" TargetMode="Externa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spcFirstLastPara="1" vertOverflow="ellipsis" vert="horz" wrap="square" anchor="ctr" anchorCtr="1"/>
          <a:lstStyle/>
          <a:p>
            <a:pPr>
              <a:defRPr sz="1600" b="1" i="0" u="none" strike="noStrike">
                <a:solidFill>
                  <a:schemeClr val="accent5">
                    <a:lumMod val="75000"/>
                  </a:schemeClr>
                </a:solidFill>
                <a:latin typeface="+mn-lt"/>
                <a:ea typeface="+mn-ea"/>
              </a:defRPr>
            </a:pPr>
            <a:r>
              <a:rPr/>
              <a:t>Sample Chart</a:t>
            </a:r>
            <a:endParaRPr/>
          </a:p>
        </c:rich>
      </c:tx>
      <c:layout>
        <c:manualLayout>
          <c:xMode val="edge"/>
          <c:yMode val="edge"/>
          <c:x val="0.360312"/>
          <c:y val="0.028450"/>
        </c:manualLayout>
      </c:layout>
      <c:overlay val="0"/>
      <c:spPr bwMode="auto">
        <a:prstGeom prst="rect">
          <a:avLst/>
        </a:prstGeom>
        <a:noFill/>
        <a:ln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Serie 1</c:v>
          </c:tx>
          <c:spPr bwMode="auto">
            <a:prstGeom prst="rect">
              <a:avLst/>
            </a:prstGeom>
            <a:gradFill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Sheet1!B2:B5</c:f>
              <c:numCache>
                <c:formatCode>General</c:formatCode>
                <c:ptCount val="4"/>
                <c:pt idx="0">
                  <c:v>175</c:v>
                </c:pt>
                <c:pt idx="1">
                  <c:v>100</c:v>
                </c:pt>
                <c:pt idx="2">
                  <c:v>300</c:v>
                </c:pt>
                <c:pt idx="3">
                  <c:v>275</c:v>
                </c:pt>
              </c:numCache>
            </c:numRef>
          </c:val>
        </c:ser>
        <c:ser>
          <c:idx val="1"/>
          <c:order val="1"/>
          <c:tx>
            <c:v>Serie 2</c:v>
          </c:tx>
          <c:spPr bwMode="auto">
            <a:prstGeom prst="rect">
              <a:avLst/>
            </a:prstGeom>
            <a:gradFill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Sheet1!C2:C5</c:f>
              <c:numCache>
                <c:formatCode>General</c:formatCode>
                <c:ptCount val="4"/>
                <c:pt idx="0">
                  <c:v>200</c:v>
                </c:pt>
                <c:pt idx="1">
                  <c:v>125</c:v>
                </c:pt>
                <c:pt idx="2">
                  <c:v>350</c:v>
                </c:pt>
                <c:pt idx="3">
                  <c:v>250</c:v>
                </c:pt>
              </c:numCache>
            </c:numRef>
          </c:val>
        </c:ser>
        <c:ser>
          <c:idx val="2"/>
          <c:order val="2"/>
          <c:tx>
            <c:v>Serie 3</c:v>
          </c:tx>
          <c:spPr bwMode="auto">
            <a:prstGeom prst="rect">
              <a:avLst/>
            </a:prstGeom>
            <a:gradFill>
              <a:gsLst>
                <a:gs pos="0">
                  <a:schemeClr val="accent3">
                    <a:shade val="51000"/>
                    <a:satMod val="130000"/>
                  </a:schemeClr>
                </a:gs>
                <a:gs pos="80000">
                  <a:schemeClr val="accent3">
                    <a:shade val="93000"/>
                    <a:satMod val="130000"/>
                  </a:schemeClr>
                </a:gs>
                <a:gs pos="100000">
                  <a:schemeClr val="accent3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Sheet1!D2:D5</c:f>
              <c:numCache>
                <c:formatCode>General</c:formatCode>
                <c:ptCount val="4"/>
                <c:pt idx="0">
                  <c:v>250</c:v>
                </c:pt>
                <c:pt idx="1">
                  <c:v>170</c:v>
                </c:pt>
                <c:pt idx="2">
                  <c:v>400</c:v>
                </c:pt>
                <c:pt idx="3">
                  <c:v>350</c:v>
                </c:pt>
              </c:numCache>
            </c:numRef>
          </c:val>
        </c:ser>
        <c:ser>
          <c:idx val="3"/>
          <c:order val="3"/>
          <c:tx>
            <c:v>Serie 4</c:v>
          </c:tx>
          <c:spPr bwMode="auto">
            <a:prstGeom prst="rect">
              <a:avLst/>
            </a:prstGeom>
            <a:gradFill>
              <a:gsLst>
                <a:gs pos="0">
                  <a:schemeClr val="accent4">
                    <a:shade val="51000"/>
                    <a:satMod val="130000"/>
                  </a:schemeClr>
                </a:gs>
                <a:gs pos="80000">
                  <a:schemeClr val="accent4">
                    <a:shade val="93000"/>
                    <a:satMod val="130000"/>
                  </a:schemeClr>
                </a:gs>
                <a:gs pos="100000">
                  <a:schemeClr val="accent4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Sheet1!E2:E5</c:f>
              <c:numCache>
                <c:formatCode>General</c:formatCode>
                <c:ptCount val="4"/>
                <c:pt idx="0">
                  <c:v>300</c:v>
                </c:pt>
                <c:pt idx="1">
                  <c:v>200</c:v>
                </c:pt>
                <c:pt idx="2">
                  <c:v>450</c:v>
                </c:pt>
                <c:pt idx="3">
                  <c:v>325</c:v>
                </c:pt>
              </c:numCache>
            </c:numRef>
          </c:val>
        </c:ser>
        <c:ser>
          <c:idx val="4"/>
          <c:order val="4"/>
          <c:tx>
            <c:v>Serie 5</c:v>
          </c:tx>
          <c:spPr bwMode="auto">
            <a:prstGeom prst="rect">
              <a:avLst/>
            </a:prstGeom>
            <a:gradFill>
              <a:gsLst>
                <a:gs pos="0">
                  <a:schemeClr val="accent5">
                    <a:shade val="51000"/>
                    <a:satMod val="130000"/>
                  </a:schemeClr>
                </a:gs>
                <a:gs pos="80000">
                  <a:schemeClr val="accent5">
                    <a:shade val="93000"/>
                    <a:satMod val="130000"/>
                  </a:schemeClr>
                </a:gs>
                <a:gs pos="100000">
                  <a:schemeClr val="accent5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Sheet1!A2:A5</c:f>
              <c:strCache>
                <c:ptCount val="4"/>
                <c:pt idx="0">
                  <c:v>Excel</c:v>
                </c:pt>
                <c:pt idx="1">
                  <c:v>PowerPoint</c:v>
                </c:pt>
                <c:pt idx="2">
                  <c:v>Word</c:v>
                </c:pt>
                <c:pt idx="3">
                  <c:v>Outlook</c:v>
                </c:pt>
              </c:strCache>
            </c:strRef>
          </c:cat>
          <c:val>
            <c:numRef>
              <c:f>Sheet1!F2:F5</c:f>
              <c:numCache>
                <c:formatCode>General</c:formatCode>
                <c:ptCount val="4"/>
                <c:pt idx="0">
                  <c:v>350</c:v>
                </c:pt>
                <c:pt idx="1">
                  <c:v>275</c:v>
                </c:pt>
                <c:pt idx="2">
                  <c:v>525</c:v>
                </c:pt>
                <c:pt idx="3">
                  <c:v>375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gapWidth val="100"/>
        <c:overlap val="-24"/>
        <c:axId val="92003328"/>
        <c:axId val="92607232"/>
      </c:barChart>
      <c:catAx>
        <c:axId val="9200332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Calibri"/>
                <a:ea typeface="Arial"/>
              </a:defRPr>
            </a:pPr>
            <a:endParaRPr/>
          </a:p>
        </c:txPr>
        <c:crossAx val="92607232"/>
        <c:crosses val="autoZero"/>
        <c:auto val="1"/>
        <c:lblAlgn val="ctr"/>
        <c:lblOffset val="100"/>
        <c:noMultiLvlLbl val="1"/>
      </c:catAx>
      <c:valAx>
        <c:axId val="9260723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 spcFirstLastPara="1" vertOverflow="ellipsis" vert="vert270" wrap="square" anchor="ctr" anchorCtr="1"/>
              <a:lstStyle/>
              <a:p>
                <a:pPr>
                  <a:defRPr sz="900" b="1" i="0" u="none" strike="noStrike">
                    <a:solidFill>
                      <a:schemeClr val="accent5">
                        <a:lumMod val="75000"/>
                      </a:schemeClr>
                    </a:solidFill>
                    <a:latin typeface="+mn-lt"/>
                    <a:ea typeface="+mn-ea"/>
                  </a:defRPr>
                </a:pPr>
                <a:r>
                  <a:rPr sz="1100">
                    <a:solidFill>
                      <a:schemeClr val="accent5">
                        <a:lumMod val="75000"/>
                      </a:schemeClr>
                    </a:solidFill>
                  </a:rPr>
                  <a:t>Sales in $ Mn</a:t>
                </a:r>
                <a:endParaRPr sz="1100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Calibri"/>
                <a:ea typeface="Arial"/>
              </a:defRPr>
            </a:pPr>
            <a:endParaRPr/>
          </a:p>
        </c:txPr>
        <c:crossAx val="92003328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plotVisOnly val="1"/>
    <c:dispBlanksAs val="zero"/>
    <c:showDLblsOverMax val="1"/>
  </c:chart>
  <c:spPr bwMode="auto">
    <a:prstGeom prst="rect">
      <a:avLst/>
    </a:prstGeom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</c:spPr>
  <c:txPr>
    <a:bodyPr/>
    <a:lstStyle/>
    <a:p>
      <a:pPr>
        <a:defRPr/>
      </a:pPr>
      <a:endParaRPr/>
    </a:p>
  </c:tx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miter lim="800000"/>
        </a:ln>
        <a:ln w="12700" cap="flat" cmpd="sng" algn="ctr">
          <a:solidFill>
            <a:schemeClr val="phClr"/>
          </a:solidFill>
          <a:miter lim="800000"/>
        </a:ln>
        <a:ln w="19050" cap="flat" cmpd="sng" algn="ctr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ONLYOFFICE Word Preview Showcase</dc:title>
  <dc:subject>Deterministic Word rendering and document-model fixture</dc:subject>
  <dc:creator>Nexolyra</dc:creator>
  <cp:keywords>ONLYOFFICE, DOCX, preview, regression, document model</cp:keywords>
  <dc:description>Generated by scripts/generate-office-word-showcase.py</dc:description>
  <cp:lastModifiedBy>Anonymous</cp:lastModifiedBy>
  <cp:revision>2</cp:revision>
  <dcterms:modified xsi:type="dcterms:W3CDTF">2026-07-17T07:40:20Z</dcterms:modified>
</cp:coreProperties>
</file>