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MICHAEL LOUARD</w:t>
      </w:r>
    </w:p>
    <w:p>
      <w:pPr>
        <w:spacing w:after="2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McLean, VA  |  216-904-9535  |  mbf.louard@gmail.com</w:t>
      </w:r>
    </w:p>
    <w:p>
      <w:pPr>
        <w:pBdr>
          <w:bottom w:val="single" w:color="2E4A8A" w:sz="10" w:space="1"/>
        </w:pBdr>
        <w:spacing w:after="100" w:before="60"/>
      </w:pPr>
    </w:p>
    <w:p>
      <w:pPr>
        <w:pBdr>
          <w:bottom w:val="single" w:color="2E4A8A" w:sz="8" w:space="4"/>
        </w:pBdr>
        <w:spacing w:after="60" w:before="1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 &amp; Tools: </w:t>
      </w:r>
      <w:r>
        <w:rPr>
          <w:rFonts w:ascii="Arial" w:cs="Arial" w:eastAsia="Arial" w:hAnsi="Arial"/>
          <w:sz w:val="20"/>
          <w:szCs w:val="20"/>
        </w:rPr>
        <w:t xml:space="preserve">Python, R, SAS, Stata, SQL, PySpark, Go (exposure), COBOL (translation)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Platforms &amp; Frameworks: </w:t>
      </w:r>
      <w:r>
        <w:rPr>
          <w:rFonts w:ascii="Arial" w:cs="Arial" w:eastAsia="Arial" w:hAnsi="Arial"/>
          <w:sz w:val="20"/>
          <w:szCs w:val="20"/>
        </w:rPr>
        <w:t xml:space="preserve">Kubernetes / OpenShift, Helm, CI/CD pipelines, Hadoop, Power BI, Excel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Competencies: </w:t>
      </w:r>
      <w:r>
        <w:rPr>
          <w:rFonts w:ascii="Arial" w:cs="Arial" w:eastAsia="Arial" w:hAnsi="Arial"/>
          <w:sz w:val="20"/>
          <w:szCs w:val="20"/>
        </w:rPr>
        <w:t xml:space="preserve">API Development, NLP / BERT Modeling, Quantitative Analytics, Credit Risk Modeling, CECL Forecasting, Mainframe Migration, Data Visualization</w:t>
      </w:r>
    </w:p>
    <w:p>
      <w:pPr>
        <w:pBdr>
          <w:bottom w:val="single" w:color="2E4A8A" w:sz="8" w:space="4"/>
        </w:pBdr>
        <w:spacing w:after="60" w:before="1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PNC Bank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| Quantitative Analytics – Model Development &amp; Engineering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McLean, VA  |  2023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deployed three production-grade REST APIs on OpenShift via Helm Deployments, demonstrating applied knowledge of Kubernetes orchestration, CI/CD pipelines, and Policy as Code compliance.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Recurring Transaction Identification API: Translated core detection logic from Python into a containerized service; integrated directly with downstream credit risk systems.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BERT Transaction Classification API: Operationalized a fine-tuned BERT language model to classify transaction types at scale, translating model outputs into a consumable API layer.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QA Environment API: Delivered a third API under significantly stricter Policy as Code requirements, navigating enterprise governance controls from design through deployment.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Led full mainframe migration effort — mapped 1,800+ fields from legacy OLNACS COBOL mainframe to a PNC proprietary orchestrator, requiring hands-on COBOL-to-Python translation and cross-functional coordination.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Power BI semantic models and interactive dashboards providing stakeholder-facing visibility into portfolio performance metrics.</w:t>
      </w:r>
    </w:p>
    <w:p>
      <w:pPr>
        <w:tabs>
          <w:tab w:val="right" w:pos="9026"/>
        </w:tabs>
        <w:spacing w:after="2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PNC Bank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| Quantitative Analytics – BSAM Residential Modeling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McLean, VA  | 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Executed CECL Q1/Q2 reserve forecasting across Mortgage and Home Equity segments — four macroeconomic scenarios, 500K+ loan portfolio, $70B+ in assets.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Led BBVA mortgage data integration: assessed 23,000 loans for model suitability through reasonableness reviews, back-testing, and performance monitoring.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 Peer Bank Analysis Dashboard to surface industry-wide stressors across all lending segments, improving management visibility into competitive risk.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Applied knowledge of OCC and Federal Reserve model risk management requirements (SR 11-7) throughout model development and validation workflows.</w:t>
      </w:r>
    </w:p>
    <w:p>
      <w:pPr>
        <w:tabs>
          <w:tab w:val="right" w:pos="9026"/>
        </w:tabs>
        <w:spacing w:after="2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PNC Bank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| Quantitative Analytics – Home Equity Pricing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McLean, VA  |  2022 –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Automated manual data entry workflows in Python, materially reducing processing time and human error across the pricing team.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rate-change effectiveness tool surfacing key pricing metrics for internal partners; adopted as a standard performance-monitoring resource.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Led a research initiative evaluating standard deviation as a proxy for price elasticity in home equity product pricing.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Improved team version control practices and data storage architecture, increasing data integrity and organizational consistency.</w:t>
      </w:r>
    </w:p>
    <w:p>
      <w:pPr>
        <w:tabs>
          <w:tab w:val="right" w:pos="9026"/>
        </w:tabs>
        <w:spacing w:after="2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PNC Bank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| Retail Lending Product Management – Home Equity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McLean, VA  |  2022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Delivered a HELOC communications process redesign that reduced vendor printing costs and enabled use of PNC's in-house document service.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Completed competitive benchmarking analysis on peer bank introductory rates and discount structures to sharpen PNC's Home Equity positioning.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Analyzed HELOC origination fee structure and identified restructuring opportunities projected to reduce annual expenses by ~$1M.</w:t>
      </w:r>
    </w:p>
    <w:p>
      <w:pPr>
        <w:pBdr>
          <w:bottom w:val="single" w:color="2E4A8A" w:sz="8" w:space="4"/>
        </w:pBdr>
        <w:spacing w:after="60" w:before="1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2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Case Western Reserve University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 | Bachelor of Arts – Economics  |  Secondary Major: Finance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Cleveland, OH  |  2018 – 2022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Relevant coursework: Econometrics, Advanced Financial Modeling, Computational Methods, Options &amp; Derivatives, Money &amp; Banking.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Presented original causal research to the Federal Reserve; member of Alpha Kappa Psi Business Fraternity and Zeta Beta Tau.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2026-05-04T21:31:26.339Z</dcterms:created>
  <dcterms:modified xsi:type="dcterms:W3CDTF">2026-05-04T21:31:26.340Z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