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36"/>
          <w:szCs w:val="36"/>
        </w:rPr>
        <w:t xml:space="preserve">MICHAEL LOUARD</w:t>
      </w:r>
    </w:p>
    <w:p>
      <w:pPr>
        <w:spacing w:after="20" w:before="0"/>
        <w:jc w:val="center"/>
      </w:pPr>
      <w:r>
        <w:rPr>
          <w:rFonts w:ascii="Arial" w:cs="Arial" w:eastAsia="Arial" w:hAnsi="Arial"/>
          <w:color w:val="555555"/>
          <w:sz w:val="19"/>
          <w:szCs w:val="19"/>
        </w:rPr>
        <w:t>Raleigh, NC  |  216-904-9535  |  mbf.louard@gmail.com  |  linkedin.com/in/michael-louard  |  github.com/agentchieflou</w:t>
      </w:r>
    </w:p>
    <w:p>
      <w:pPr>
        <w:pBdr>
          <w:bottom w:val="single" w:color="2E4A8A" w:sz="10" w:space="1"/>
        </w:pBdr>
        <w:spacing w:after="100" w:before="60"/>
      </w:pPr>
    </w:p>
    <w:p>
      <w:pPr>
        <w:pBdr>
          <w:bottom w:val="single" w:color="2E4A8A" w:sz="8" w:space="4"/>
        </w:pBdr>
        <w:spacing w:after="60" w:before="180"/>
      </w:pPr>
      <w:r>
        <w:rPr>
          <w:rFonts w:ascii="Arial" w:cs="Arial" w:eastAsia="Arial" w:hAnsi="Arial"/>
          <w:b/>
          <w:bCs/>
          <w:color w:val="1F3864"/>
          <w:sz w:val="22"/>
          <w:szCs w:val="22"/>
        </w:rPr>
        <w:t xml:space="preserve">TECHNICAL SKILLS</w:t>
      </w:r>
    </w:p>
    <w:p>
      <w:pPr>
        <w:spacing w:after="60" w:before="80"/>
      </w:pPr>
      <w:r>
        <w:rPr>
          <w:rFonts w:ascii="Arial" w:cs="Arial" w:eastAsia="Arial" w:hAnsi="Arial"/>
          <w:b/>
          <w:bCs/>
          <w:sz w:val="20"/>
          <w:szCs w:val="20"/>
        </w:rPr>
        <w:t xml:space="preserve">Languages &amp; Automation: </w:t>
      </w:r>
      <w:r>
        <w:rPr>
          <w:rFonts w:ascii="Arial" w:cs="Arial" w:eastAsia="Arial" w:hAnsi="Arial"/>
          <w:sz w:val="20"/>
          <w:szCs w:val="20"/>
        </w:rPr>
        <w:t>Python, R, SAS, Stata, SQL, PySpark, Go (exposure), COBOL (translation), Selenium, Headless Browsers</w:t>
      </w:r>
    </w:p>
    <w:p>
      <w:pPr>
        <w:spacing w:after="60" w:before="0"/>
      </w:pPr>
      <w:r>
        <w:rPr>
          <w:rFonts w:ascii="Arial" w:cs="Arial" w:eastAsia="Arial" w:hAnsi="Arial"/>
          <w:b/>
          <w:bCs/>
          <w:sz w:val="20"/>
          <w:szCs w:val="20"/>
        </w:rPr>
        <w:t xml:space="preserve">Platforms &amp; Frameworks: </w:t>
      </w:r>
      <w:r>
        <w:rPr>
          <w:rFonts w:ascii="Arial" w:cs="Arial" w:eastAsia="Arial" w:hAnsi="Arial"/>
          <w:sz w:val="20"/>
          <w:szCs w:val="20"/>
        </w:rPr>
        <w:t>Kubernetes / OpenShift, Helm, CI/CD pipelines, Docker, Hadoop, Power BI, Excel</w:t>
      </w:r>
    </w:p>
    <w:p>
      <w:pPr>
        <w:spacing w:after="60" w:before="0"/>
      </w:pPr>
      <w:r>
        <w:rPr>
          <w:rFonts w:ascii="Arial" w:cs="Arial" w:eastAsia="Arial" w:hAnsi="Arial"/>
          <w:b/>
          <w:bCs/>
          <w:sz w:val="20"/>
          <w:szCs w:val="20"/>
        </w:rPr>
        <w:t xml:space="preserve">Core Competencies: </w:t>
      </w:r>
      <w:r>
        <w:rPr>
          <w:rFonts w:ascii="Arial" w:cs="Arial" w:eastAsia="Arial" w:hAnsi="Arial"/>
          <w:sz w:val="20"/>
          <w:szCs w:val="20"/>
        </w:rPr>
        <w:t>API Development, NLP / BERT, Agentic &amp; RAG Strategy, Quantitative Analytics, CECL Forecasting, Mainframe Migrations, Telemetry &amp; Analytics</w:t>
      </w:r>
    </w:p>
    <w:p>
      <w:pPr>
        <w:pBdr>
          <w:bottom w:val="single" w:color="2E4A8A" w:sz="8" w:space="4"/>
        </w:pBdr>
        <w:spacing w:after="60" w:before="180"/>
      </w:pPr>
      <w:r>
        <w:rPr>
          <w:rFonts w:ascii="Arial" w:cs="Arial" w:eastAsia="Arial" w:hAnsi="Arial"/>
          <w:b/>
          <w:bCs/>
          <w:color w:val="1F3864"/>
          <w:sz w:val="22"/>
          <w:szCs w:val="22"/>
        </w:rPr>
        <w:t xml:space="preserve">EXPERIENCE</w:t>
      </w:r>
    </w:p>
    <w:p>
      <w:pPr>
        <w:tabs>
          <w:tab w:val="right" w:pos="9026"/>
        </w:tabs>
        <w:spacing w:after="20" w:before="140"/>
      </w:pPr>
      <w:r>
        <w:rPr>
          <w:rFonts w:ascii="Arial" w:cs="Arial" w:eastAsia="Arial" w:hAnsi="Arial"/>
          <w:b/>
          <w:bCs/>
          <w:color w:val="1F3864"/>
          <w:sz w:val="22"/>
          <w:szCs w:val="22"/>
        </w:rPr>
        <w:t>PNC Bank</w:t>
      </w:r>
      <w:r>
        <w:rPr>
          <w:rFonts w:ascii="Arial" w:cs="Arial" w:eastAsia="Arial" w:hAnsi="Arial"/>
          <w:b w:val="false"/>
          <w:bCs w:val="false"/>
          <w:color w:val="555555"/>
          <w:sz w:val="22"/>
          <w:szCs w:val="22"/>
        </w:rPr>
        <w:t xml:space="preserve"> | Business Analytics Consultant</w:t>
      </w:r>
      <w:r>
        <w:rPr>
          <w:rFonts w:ascii="Arial" w:cs="Arial" w:eastAsia="Arial" w:hAnsi="Arial"/>
          <w:color w:val="555555"/>
          <w:sz w:val="20"/>
          <w:szCs w:val="20"/>
        </w:rPr>
        <w:tab/>
        <w:t>Raleigh, NC  |  Nov 2025 – Present</w:t>
      </w:r>
    </w:p>
    <w:p>
      <w:pPr>
        <w:pStyle w:val="ListParagraph"/>
        <w:numPr>
          <w:ilvl w:val="0"/>
          <w:numId w:val="2"/>
        </w:numPr>
        <w:spacing w:after="30" w:before="30"/>
      </w:pPr>
      <w:r>
        <w:rPr>
          <w:rFonts w:ascii="Arial" w:cs="Arial" w:eastAsia="Arial" w:hAnsi="Arial"/>
          <w:color w:val="222222"/>
          <w:sz w:val="20"/>
          <w:szCs w:val="20"/>
        </w:rPr>
        <w:t>Legacy Mainframe Migration: Designed and implemented a parameterized data validation framework to compare and reconcile outputs across MongoDB, SOM DI, and OLNACS during a major asset class migration. Enabled SME validation of 1,930 data fields, including 443 migration-impacted mappings and 207 business-critical fields, supporting on-time project delivery, avoiding a $30M contract renewal.</w:t>
      </w:r>
    </w:p>
    <w:p>
      <w:pPr>
        <w:pStyle w:val="ListParagraph"/>
        <w:numPr>
          <w:ilvl w:val="0"/>
          <w:numId w:val="2"/>
        </w:numPr>
        <w:spacing w:after="30" w:before="30"/>
      </w:pPr>
      <w:r>
        <w:rPr>
          <w:rFonts w:ascii="Arial" w:cs="Arial" w:eastAsia="Arial" w:hAnsi="Arial"/>
          <w:color w:val="222222"/>
          <w:sz w:val="20"/>
          <w:szCs w:val="20"/>
        </w:rPr>
        <w:t>Document Sourcing Automation: Developed a multi-scraper Python automation suite managed by a master orchestrator to retrieve loan files, successfully closing out Document Process Management (DPM) issues; engineered a proof-of-concept using Selenium before transitioning to a high-throughput API headless browser connection.</w:t>
      </w:r>
    </w:p>
    <w:p>
      <w:pPr>
        <w:pStyle w:val="ListParagraph"/>
        <w:numPr>
          <w:ilvl w:val="0"/>
          <w:numId w:val="2"/>
        </w:numPr>
        <w:spacing w:after="30" w:before="30"/>
      </w:pPr>
      <w:r>
        <w:rPr>
          <w:rFonts w:ascii="Arial" w:cs="Arial" w:eastAsia="Arial" w:hAnsi="Arial"/>
          <w:color w:val="222222"/>
          <w:sz w:val="20"/>
          <w:szCs w:val="20"/>
        </w:rPr>
        <w:t>Telemetry &amp; Usage Analytics: Designed and developed grid-wide database telemetry and table-level usage analytics that eliminated weeks of manual impact analysis for migrations and maintenance events. Enabled DBAs and senior analysts to rapidly identify affected databases, accelerating migration planning from weeks to days and reducing time spent on manual discovery.</w:t>
      </w:r>
    </w:p>
    <w:p>
      <w:pPr>
        <w:pStyle w:val="ListParagraph"/>
        <w:numPr>
          <w:ilvl w:val="0"/>
          <w:numId w:val="2"/>
        </w:numPr>
        <w:spacing w:after="30" w:before="30"/>
      </w:pPr>
      <w:r>
        <w:rPr>
          <w:rFonts w:ascii="Arial" w:cs="Arial" w:eastAsia="Arial" w:hAnsi="Arial"/>
          <w:color w:val="222222"/>
          <w:sz w:val="20"/>
          <w:szCs w:val="20"/>
        </w:rPr>
        <w:t>REST API Deployment: Currently containerizing custom scrapers and data parsing systems to deploy them as new hosted REST APIs on OpenShift.</w:t>
      </w:r>
    </w:p>
    <w:p>
      <w:pPr>
        <w:pStyle w:val="ListParagraph"/>
        <w:numPr>
          <w:ilvl w:val="0"/>
          <w:numId w:val="2"/>
        </w:numPr>
        <w:spacing w:after="30" w:before="30"/>
      </w:pPr>
      <w:r>
        <w:rPr>
          <w:rFonts w:ascii="Arial" w:cs="Arial" w:eastAsia="Arial" w:hAnsi="Arial"/>
          <w:color w:val="222222"/>
          <w:sz w:val="20"/>
          <w:szCs w:val="20"/>
        </w:rPr>
        <w:t>AI Strategy &amp; Research: Researched and evaluated agentic workflows, RAG architectures, and enterprise AI design patterns. Delivered internal demonstrations and recommendations focused on resource-efficient implementations under strict enterprise security and token constraints.</w:t>
      </w:r>
    </w:p>
    <w:p>
      <w:pPr>
        <w:tabs>
          <w:tab w:val="right" w:pos="9026"/>
        </w:tabs>
        <w:spacing w:after="20" w:before="140"/>
      </w:pPr>
      <w:r>
        <w:rPr>
          <w:rFonts w:ascii="Arial" w:cs="Arial" w:eastAsia="Arial" w:hAnsi="Arial"/>
          <w:b/>
          <w:bCs/>
          <w:color w:val="1F3864"/>
          <w:sz w:val="22"/>
          <w:szCs w:val="22"/>
        </w:rPr>
        <w:t xml:space="preserve">PNC Bank</w:t>
      </w:r>
      <w:r>
        <w:rPr>
          <w:rFonts w:ascii="Arial" w:cs="Arial" w:eastAsia="Arial" w:hAnsi="Arial"/>
          <w:b w:val="false"/>
          <w:bCs w:val="false"/>
          <w:color w:val="555555"/>
          <w:sz w:val="22"/>
          <w:szCs w:val="22"/>
        </w:rPr>
        <w:t xml:space="preserve"> | Quantitative Analytics – Model Development &amp; Engineering</w:t>
      </w:r>
      <w:r>
        <w:rPr>
          <w:rFonts w:ascii="Arial" w:cs="Arial" w:eastAsia="Arial" w:hAnsi="Arial"/>
          <w:color w:val="555555"/>
          <w:sz w:val="20"/>
          <w:szCs w:val="20"/>
        </w:rPr>
        <w:tab/>
        <w:t>McLean, VA  |  2023 – Nov 2025</w:t>
      </w:r>
    </w:p>
    <w:p>
      <w:pPr>
        <w:pStyle w:val="ListParagraph"/>
        <w:numPr>
          <w:ilvl w:val="0"/>
          <w:numId w:val="2"/>
        </w:numPr>
        <w:spacing w:after="30" w:before="30"/>
      </w:pPr>
      <w:r>
        <w:rPr>
          <w:rFonts w:ascii="Arial" w:cs="Arial" w:eastAsia="Arial" w:hAnsi="Arial"/>
          <w:color w:val="222222"/>
          <w:sz w:val="20"/>
          <w:szCs w:val="20"/>
        </w:rPr>
        <w:t xml:space="preserve">Designed and deployed three production-grade REST APIs on OpenShift via Helm Deployments, demonstrating applied knowledge of Kubernetes orchestration, CI/CD pipelines, and Policy as Code compliance.</w:t>
      </w:r>
    </w:p>
    <w:p>
      <w:pPr>
        <w:pStyle w:val="ListParagraph"/>
        <w:numPr>
          <w:ilvl w:val="0"/>
          <w:numId w:val="2"/>
        </w:numPr>
        <w:spacing w:after="30" w:before="30"/>
      </w:pPr>
      <w:r>
        <w:rPr>
          <w:rFonts w:ascii="Arial" w:cs="Arial" w:eastAsia="Arial" w:hAnsi="Arial"/>
          <w:color w:val="222222"/>
          <w:sz w:val="20"/>
          <w:szCs w:val="20"/>
        </w:rPr>
        <w:t xml:space="preserve">Recurring Transaction Identification API: Translated core detection logic from Python into a containerized service; integrated directly with downstream credit risk systems.</w:t>
      </w:r>
    </w:p>
    <w:p>
      <w:pPr>
        <w:pStyle w:val="ListParagraph"/>
        <w:numPr>
          <w:ilvl w:val="0"/>
          <w:numId w:val="2"/>
        </w:numPr>
        <w:spacing w:after="30" w:before="30"/>
      </w:pPr>
      <w:r>
        <w:rPr>
          <w:rFonts w:ascii="Arial" w:cs="Arial" w:eastAsia="Arial" w:hAnsi="Arial"/>
          <w:color w:val="222222"/>
          <w:sz w:val="20"/>
          <w:szCs w:val="20"/>
        </w:rPr>
        <w:t xml:space="preserve">BERT Transaction Classification API: Operationalized a fine-tuned BERT language model to classify transaction types at scale, translating model outputs into a consumable API layer.</w:t>
      </w:r>
    </w:p>
    <w:p>
      <w:pPr>
        <w:pStyle w:val="ListParagraph"/>
        <w:numPr>
          <w:ilvl w:val="0"/>
          <w:numId w:val="2"/>
        </w:numPr>
        <w:spacing w:after="30" w:before="30"/>
      </w:pPr>
      <w:r>
        <w:rPr>
          <w:rFonts w:ascii="Arial" w:cs="Arial" w:eastAsia="Arial" w:hAnsi="Arial"/>
          <w:color w:val="222222"/>
          <w:sz w:val="20"/>
          <w:szCs w:val="20"/>
        </w:rPr>
        <w:t xml:space="preserve">QA Environment API: Delivered a third API under significantly stricter Policy as Code requirements, navigating enterprise governance controls from design through deployment.</w:t>
      </w:r>
    </w:p>
    <w:p>
      <w:pPr>
        <w:pStyle w:val="ListParagraph"/>
        <w:numPr>
          <w:ilvl w:val="0"/>
          <w:numId w:val="2"/>
        </w:numPr>
        <w:spacing w:after="30" w:before="30"/>
      </w:pPr>
      <w:r>
        <w:rPr>
          <w:rFonts w:ascii="Arial" w:cs="Arial" w:eastAsia="Arial" w:hAnsi="Arial"/>
          <w:color w:val="222222"/>
          <w:sz w:val="20"/>
          <w:szCs w:val="20"/>
        </w:rPr>
        <w:t xml:space="preserve">Led full mainframe migration effort — mapped 1,800+ fields from legacy OLNACS COBOL mainframe to a PNC proprietary orchestrator, requiring hands-on COBOL-to-Python translation and cross-functional coordination.</w:t>
      </w:r>
    </w:p>
    <w:p>
      <w:pPr>
        <w:pStyle w:val="ListParagraph"/>
        <w:numPr>
          <w:ilvl w:val="0"/>
          <w:numId w:val="2"/>
        </w:numPr>
        <w:spacing w:after="30" w:before="30"/>
      </w:pPr>
      <w:r>
        <w:rPr>
          <w:rFonts w:ascii="Arial" w:cs="Arial" w:eastAsia="Arial" w:hAnsi="Arial"/>
          <w:color w:val="222222"/>
          <w:sz w:val="20"/>
          <w:szCs w:val="20"/>
        </w:rPr>
        <w:t xml:space="preserve">Built Power BI semantic models and interactive dashboards providing stakeholder-facing visibility into portfolio performance metrics.</w:t>
      </w:r>
    </w:p>
    <w:p>
      <w:pPr>
        <w:tabs>
          <w:tab w:val="right" w:pos="9026"/>
        </w:tabs>
        <w:spacing w:after="20" w:before="140"/>
      </w:pPr>
      <w:r>
        <w:rPr>
          <w:rFonts w:ascii="Arial" w:cs="Arial" w:eastAsia="Arial" w:hAnsi="Arial"/>
          <w:b/>
          <w:bCs/>
          <w:color w:val="1F3864"/>
          <w:sz w:val="22"/>
          <w:szCs w:val="22"/>
        </w:rPr>
        <w:t xml:space="preserve">PNC Bank</w:t>
      </w:r>
      <w:r>
        <w:rPr>
          <w:rFonts w:ascii="Arial" w:cs="Arial" w:eastAsia="Arial" w:hAnsi="Arial"/>
          <w:b w:val="false"/>
          <w:bCs w:val="false"/>
          <w:color w:val="555555"/>
          <w:sz w:val="22"/>
          <w:szCs w:val="22"/>
        </w:rPr>
        <w:t xml:space="preserve"> | Quantitative Analytics – BSAM Residential Modeling</w:t>
      </w:r>
      <w:r>
        <w:rPr>
          <w:rFonts w:ascii="Arial" w:cs="Arial" w:eastAsia="Arial" w:hAnsi="Arial"/>
          <w:color w:val="555555"/>
          <w:sz w:val="20"/>
          <w:szCs w:val="20"/>
        </w:rPr>
        <w:t xml:space="preserve">	McLean, VA  |  2023</w:t>
      </w:r>
    </w:p>
    <w:p>
      <w:pPr>
        <w:pStyle w:val="ListParagraph"/>
        <w:numPr>
          <w:ilvl w:val="0"/>
          <w:numId w:val="2"/>
        </w:numPr>
        <w:spacing w:after="30" w:before="30"/>
      </w:pPr>
      <w:r>
        <w:rPr>
          <w:rFonts w:ascii="Arial" w:cs="Arial" w:eastAsia="Arial" w:hAnsi="Arial"/>
          <w:color w:val="222222"/>
          <w:sz w:val="20"/>
          <w:szCs w:val="20"/>
        </w:rPr>
        <w:t xml:space="preserve">Executed CECL Q1/Q2 reserve forecasting across Mortgage and Home Equity segments — four macroeconomic scenarios, 500K+ loan portfolio, $70B+ in assets.</w:t>
      </w:r>
    </w:p>
    <w:p>
      <w:pPr>
        <w:pStyle w:val="ListParagraph"/>
        <w:numPr>
          <w:ilvl w:val="0"/>
          <w:numId w:val="2"/>
        </w:numPr>
        <w:spacing w:after="30" w:before="30"/>
      </w:pPr>
      <w:r>
        <w:rPr>
          <w:rFonts w:ascii="Arial" w:cs="Arial" w:eastAsia="Arial" w:hAnsi="Arial"/>
          <w:color w:val="222222"/>
          <w:sz w:val="20"/>
          <w:szCs w:val="20"/>
        </w:rPr>
        <w:t xml:space="preserve">Led BBVA mortgage data integration: assessed 23,000 loans for model suitability through reasonableness reviews, back-testing, and performance monitoring.</w:t>
      </w:r>
    </w:p>
    <w:p>
      <w:pPr>
        <w:pStyle w:val="ListParagraph"/>
        <w:numPr>
          <w:ilvl w:val="0"/>
          <w:numId w:val="2"/>
        </w:numPr>
        <w:spacing w:after="30" w:before="30"/>
      </w:pPr>
      <w:r>
        <w:rPr>
          <w:rFonts w:ascii="Arial" w:cs="Arial" w:eastAsia="Arial" w:hAnsi="Arial"/>
          <w:color w:val="222222"/>
          <w:sz w:val="20"/>
          <w:szCs w:val="20"/>
        </w:rPr>
        <w:t xml:space="preserve">Developed a Peer Bank Analysis Dashboard to surface industry-wide stressors across all lending segments, improving management visibility into competitive risk.</w:t>
      </w:r>
    </w:p>
    <w:p>
      <w:pPr>
        <w:pStyle w:val="ListParagraph"/>
        <w:numPr>
          <w:ilvl w:val="0"/>
          <w:numId w:val="2"/>
        </w:numPr>
        <w:spacing w:after="30" w:before="30"/>
      </w:pPr>
      <w:r>
        <w:rPr>
          <w:rFonts w:ascii="Arial" w:cs="Arial" w:eastAsia="Arial" w:hAnsi="Arial"/>
          <w:color w:val="222222"/>
          <w:sz w:val="20"/>
          <w:szCs w:val="20"/>
        </w:rPr>
        <w:t xml:space="preserve">Applied knowledge of OCC and Federal Reserve model risk management requirements (SR 11-7) throughout model development and validation workflows.</w:t>
      </w:r>
    </w:p>
    <w:p>
      <w:pPr>
        <w:tabs>
          <w:tab w:val="right" w:pos="9026"/>
        </w:tabs>
        <w:spacing w:after="20" w:before="140"/>
      </w:pPr>
      <w:r>
        <w:rPr>
          <w:rFonts w:ascii="Arial" w:cs="Arial" w:eastAsia="Arial" w:hAnsi="Arial"/>
          <w:b/>
          <w:bCs/>
          <w:color w:val="1F3864"/>
          <w:sz w:val="22"/>
          <w:szCs w:val="22"/>
        </w:rPr>
        <w:t xml:space="preserve">PNC Bank</w:t>
      </w:r>
      <w:r>
        <w:rPr>
          <w:rFonts w:ascii="Arial" w:cs="Arial" w:eastAsia="Arial" w:hAnsi="Arial"/>
          <w:b w:val="false"/>
          <w:bCs w:val="false"/>
          <w:color w:val="555555"/>
          <w:sz w:val="22"/>
          <w:szCs w:val="22"/>
        </w:rPr>
        <w:t xml:space="preserve"> | Quantitative Analytics – Home Equity Pricing</w:t>
      </w:r>
      <w:r>
        <w:rPr>
          <w:rFonts w:ascii="Arial" w:cs="Arial" w:eastAsia="Arial" w:hAnsi="Arial"/>
          <w:color w:val="555555"/>
          <w:sz w:val="20"/>
          <w:szCs w:val="20"/>
        </w:rPr>
        <w:t xml:space="preserve">	McLean, VA  |  2022 – 2023</w:t>
      </w:r>
    </w:p>
    <w:p>
      <w:pPr>
        <w:pStyle w:val="ListParagraph"/>
        <w:numPr>
          <w:ilvl w:val="0"/>
          <w:numId w:val="2"/>
        </w:numPr>
        <w:spacing w:after="30" w:before="30"/>
      </w:pPr>
      <w:r>
        <w:rPr>
          <w:rFonts w:ascii="Arial" w:cs="Arial" w:eastAsia="Arial" w:hAnsi="Arial"/>
          <w:color w:val="222222"/>
          <w:sz w:val="20"/>
          <w:szCs w:val="20"/>
        </w:rPr>
        <w:t xml:space="preserve">Automated manual data entry workflows in Python, materially reducing processing time and human error across the pricing team.</w:t>
      </w:r>
    </w:p>
    <w:p>
      <w:pPr>
        <w:pStyle w:val="ListParagraph"/>
        <w:numPr>
          <w:ilvl w:val="0"/>
          <w:numId w:val="2"/>
        </w:numPr>
        <w:spacing w:after="30" w:before="30"/>
      </w:pPr>
      <w:r>
        <w:rPr>
          <w:rFonts w:ascii="Arial" w:cs="Arial" w:eastAsia="Arial" w:hAnsi="Arial"/>
          <w:color w:val="222222"/>
          <w:sz w:val="20"/>
          <w:szCs w:val="20"/>
        </w:rPr>
        <w:t xml:space="preserve">Built a rate-change effectiveness tool surfacing key pricing metrics for internal partners; adopted as a standard performance-monitoring resource.</w:t>
      </w:r>
    </w:p>
    <w:p>
      <w:pPr>
        <w:pStyle w:val="ListParagraph"/>
        <w:numPr>
          <w:ilvl w:val="0"/>
          <w:numId w:val="2"/>
        </w:numPr>
        <w:spacing w:after="30" w:before="30"/>
      </w:pPr>
      <w:r>
        <w:rPr>
          <w:rFonts w:ascii="Arial" w:cs="Arial" w:eastAsia="Arial" w:hAnsi="Arial"/>
          <w:color w:val="222222"/>
          <w:sz w:val="20"/>
          <w:szCs w:val="20"/>
        </w:rPr>
        <w:t xml:space="preserve">Led a research initiative evaluating standard deviation as a proxy for price elasticity in home equity product pricing.</w:t>
      </w:r>
    </w:p>
    <w:p>
      <w:pPr>
        <w:pStyle w:val="ListParagraph"/>
        <w:numPr>
          <w:ilvl w:val="0"/>
          <w:numId w:val="2"/>
        </w:numPr>
        <w:spacing w:after="30" w:before="30"/>
      </w:pPr>
      <w:r>
        <w:rPr>
          <w:rFonts w:ascii="Arial" w:cs="Arial" w:eastAsia="Arial" w:hAnsi="Arial"/>
          <w:color w:val="222222"/>
          <w:sz w:val="20"/>
          <w:szCs w:val="20"/>
        </w:rPr>
        <w:t xml:space="preserve">Improved team version control practices and data storage architecture, increasing data integrity and organizational consistency.</w:t>
      </w:r>
    </w:p>
    <w:p>
      <w:pPr>
        <w:tabs>
          <w:tab w:val="right" w:pos="9026"/>
        </w:tabs>
        <w:spacing w:after="20" w:before="140"/>
      </w:pPr>
      <w:r>
        <w:rPr>
          <w:rFonts w:ascii="Arial" w:cs="Arial" w:eastAsia="Arial" w:hAnsi="Arial"/>
          <w:b/>
          <w:bCs/>
          <w:color w:val="1F3864"/>
          <w:sz w:val="22"/>
          <w:szCs w:val="22"/>
        </w:rPr>
        <w:t xml:space="preserve">PNC Bank</w:t>
      </w:r>
      <w:r>
        <w:rPr>
          <w:rFonts w:ascii="Arial" w:cs="Arial" w:eastAsia="Arial" w:hAnsi="Arial"/>
          <w:b w:val="false"/>
          <w:bCs w:val="false"/>
          <w:color w:val="555555"/>
          <w:sz w:val="22"/>
          <w:szCs w:val="22"/>
        </w:rPr>
        <w:t xml:space="preserve"> | Retail Lending Product Management – Home Equity</w:t>
      </w:r>
      <w:r>
        <w:rPr>
          <w:rFonts w:ascii="Arial" w:cs="Arial" w:eastAsia="Arial" w:hAnsi="Arial"/>
          <w:color w:val="555555"/>
          <w:sz w:val="20"/>
          <w:szCs w:val="20"/>
        </w:rPr>
        <w:t xml:space="preserve">	McLean, VA  |  2022</w:t>
      </w:r>
    </w:p>
    <w:p>
      <w:pPr>
        <w:pStyle w:val="ListParagraph"/>
        <w:numPr>
          <w:ilvl w:val="0"/>
          <w:numId w:val="2"/>
        </w:numPr>
        <w:spacing w:after="30" w:before="30"/>
      </w:pPr>
      <w:r>
        <w:rPr>
          <w:rFonts w:ascii="Arial" w:cs="Arial" w:eastAsia="Arial" w:hAnsi="Arial"/>
          <w:color w:val="222222"/>
          <w:sz w:val="20"/>
          <w:szCs w:val="20"/>
        </w:rPr>
        <w:t xml:space="preserve">Delivered a HELOC communications process redesign that reduced vendor printing costs and enabled use of PNC's in-house document service.</w:t>
      </w:r>
    </w:p>
    <w:p>
      <w:pPr>
        <w:pStyle w:val="ListParagraph"/>
        <w:numPr>
          <w:ilvl w:val="0"/>
          <w:numId w:val="2"/>
        </w:numPr>
        <w:spacing w:after="30" w:before="30"/>
      </w:pPr>
      <w:r>
        <w:rPr>
          <w:rFonts w:ascii="Arial" w:cs="Arial" w:eastAsia="Arial" w:hAnsi="Arial"/>
          <w:color w:val="222222"/>
          <w:sz w:val="20"/>
          <w:szCs w:val="20"/>
        </w:rPr>
        <w:t xml:space="preserve">Completed competitive benchmarking analysis on peer bank introductory rates and discount structures to sharpen PNC's Home Equity positioning.</w:t>
      </w:r>
    </w:p>
    <w:p>
      <w:pPr>
        <w:pStyle w:val="ListParagraph"/>
        <w:numPr>
          <w:ilvl w:val="0"/>
          <w:numId w:val="2"/>
        </w:numPr>
        <w:spacing w:after="30" w:before="30"/>
      </w:pPr>
      <w:r>
        <w:rPr>
          <w:rFonts w:ascii="Arial" w:cs="Arial" w:eastAsia="Arial" w:hAnsi="Arial"/>
          <w:color w:val="222222"/>
          <w:sz w:val="20"/>
          <w:szCs w:val="20"/>
        </w:rPr>
        <w:t xml:space="preserve">Analyzed HELOC origination fee structure and identified restructuring opportunities projected to reduce annual expenses by ~$1M.</w:t>
      </w:r>
    </w:p>
    <w:p>
      <w:pPr>
        <w:pBdr>
          <w:bottom w:val="single" w:color="2E4A8A" w:sz="8" w:space="4"/>
        </w:pBdr>
        <w:spacing w:after="60" w:before="180"/>
      </w:pPr>
      <w:r>
        <w:rPr>
          <w:rFonts w:ascii="Arial" w:cs="Arial" w:eastAsia="Arial" w:hAnsi="Arial"/>
          <w:b/>
          <w:bCs/>
          <w:color w:val="1F3864"/>
          <w:sz w:val="22"/>
          <w:szCs w:val="22"/>
        </w:rPr>
        <w:t xml:space="preserve">EDUCATION</w:t>
      </w:r>
    </w:p>
    <w:p>
      <w:pPr>
        <w:tabs>
          <w:tab w:val="right" w:pos="9026"/>
        </w:tabs>
        <w:spacing w:after="20" w:before="140"/>
      </w:pPr>
      <w:r>
        <w:rPr>
          <w:rFonts w:ascii="Arial" w:cs="Arial" w:eastAsia="Arial" w:hAnsi="Arial"/>
          <w:b/>
          <w:bCs/>
          <w:color w:val="1F3864"/>
          <w:sz w:val="22"/>
          <w:szCs w:val="22"/>
        </w:rPr>
        <w:t xml:space="preserve">Case Western Reserve University</w:t>
      </w:r>
      <w:r>
        <w:rPr>
          <w:rFonts w:ascii="Arial" w:cs="Arial" w:eastAsia="Arial" w:hAnsi="Arial"/>
          <w:b w:val="false"/>
          <w:bCs w:val="false"/>
          <w:color w:val="555555"/>
          <w:sz w:val="22"/>
          <w:szCs w:val="22"/>
        </w:rPr>
        <w:t xml:space="preserve"> | Bachelor of Arts – Economics  |  Secondary Major: Finance</w:t>
      </w:r>
      <w:r>
        <w:rPr>
          <w:rFonts w:ascii="Arial" w:cs="Arial" w:eastAsia="Arial" w:hAnsi="Arial"/>
          <w:color w:val="555555"/>
          <w:sz w:val="20"/>
          <w:szCs w:val="20"/>
        </w:rPr>
        <w:t xml:space="preserve">	Cleveland, OH  |  2018 – 2022</w:t>
      </w:r>
    </w:p>
    <w:p>
      <w:pPr>
        <w:pStyle w:val="ListParagraph"/>
        <w:numPr>
          <w:ilvl w:val="0"/>
          <w:numId w:val="2"/>
        </w:numPr>
        <w:spacing w:after="30" w:before="30"/>
      </w:pPr>
      <w:r>
        <w:rPr>
          <w:rFonts w:ascii="Arial" w:cs="Arial" w:eastAsia="Arial" w:hAnsi="Arial"/>
          <w:color w:val="222222"/>
          <w:sz w:val="20"/>
          <w:szCs w:val="20"/>
        </w:rPr>
        <w:t xml:space="preserve">Relevant coursework: Econometrics, Advanced Financial Modeling, Computational Methods, Options &amp; Derivatives, Money &amp; Banking.</w:t>
      </w:r>
    </w:p>
    <w:p>
      <w:pPr>
        <w:pStyle w:val="ListParagraph"/>
        <w:numPr>
          <w:ilvl w:val="0"/>
          <w:numId w:val="2"/>
        </w:numPr>
        <w:spacing w:after="30" w:before="30"/>
      </w:pPr>
      <w:r>
        <w:rPr>
          <w:rFonts w:ascii="Arial" w:cs="Arial" w:eastAsia="Arial" w:hAnsi="Arial"/>
          <w:color w:val="222222"/>
          <w:sz w:val="20"/>
          <w:szCs w:val="20"/>
        </w:rPr>
        <w:t xml:space="preserve">Presented original causal research to the Federal Reserve; member of Alpha Kappa Psi Business Fraternity and Zeta Beta Tau.</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2026-05-04T21:31:26.339Z</dcterms:created>
  <dcterms:modified xsi:type="dcterms:W3CDTF">2026-05-04T21:31:26.340Z</dcterms:modified>
</cp:coreProperties>
</file>

<file path=docProps/custom.xml><?xml version="1.0" encoding="utf-8"?>
<Properties xmlns="http://schemas.openxmlformats.org/officeDocument/2006/custom-properties" xmlns:vt="http://schemas.openxmlformats.org/officeDocument/2006/docPropsVTypes"/>
</file>