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CEBR-01</w:t>
      </w:r>
    </w:p>
    <w:p>
      <w:pPr>
        <w:jc w:val="center"/>
      </w:pPr>
      <w:r>
        <w:rPr>
          <w:b/>
          <w:color w:val="2F5D7C"/>
          <w:sz w:val="38"/>
        </w:rPr>
        <w:t>Certified Executable Branch Reconciliation</w:t>
      </w:r>
    </w:p>
    <w:p>
      <w:pPr>
        <w:pStyle w:val="Subtitle"/>
        <w:jc w:val="center"/>
      </w:pPr>
      <w:r>
        <w:t>Invention Disclosure Package, Claims Architecture, and Counsel Search Plan</w:t>
      </w:r>
    </w:p>
    <w:p>
      <w:r>
        <w:br/>
      </w: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E8F0F5"/>
            <w:tcMar>
              <w:top w:w="140" w:type="dxa"/>
              <w:start w:w="160" w:type="dxa"/>
              <w:bottom w:w="140" w:type="dxa"/>
              <w:end w:w="160" w:type="dxa"/>
            </w:tcMar>
          </w:tcPr>
          <w:p>
            <w:pPr>
              <w:spacing w:after="80"/>
            </w:pPr>
            <w:r>
              <w:rPr>
                <w:b/>
                <w:color w:val="17324D"/>
              </w:rPr>
              <w:t>Relationship to CHLB-01</w:t>
            </w:r>
          </w:p>
          <w:p>
            <w:pPr>
              <w:spacing w:after="0"/>
            </w:pPr>
            <w:r>
              <w:t>CEBR-01 is the narrow technical nucleus of the Constitution-Governed Homeostatic Life Branch Runtime. CHLB-01 is the product mother-invention candidate; CEBR-01 is the mechanism to be analyzed, implemented, measured, and potentially claimed.</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tcMar>
              <w:top w:w="80" w:type="dxa"/>
              <w:start w:w="80" w:type="dxa"/>
              <w:bottom w:w="80" w:type="dxa"/>
              <w:end w:w="80" w:type="dxa"/>
            </w:tcMar>
            <w:vAlign w:val="center"/>
          </w:tcPr>
          <w:p>
            <w:pPr>
              <w:jc w:val="center"/>
            </w:pPr>
            <w:r>
              <w:rPr>
                <w:b/>
                <w:color w:val="FFFFFF"/>
                <w:sz w:val="17"/>
              </w:rPr>
              <w:t>Document control</w:t>
            </w:r>
          </w:p>
        </w:tc>
        <w:tc>
          <w:tcPr>
            <w:tcW w:type="dxa" w:w="6912"/>
            <w:shd w:fill="17324D"/>
            <w:tcMar>
              <w:top w:w="80" w:type="dxa"/>
              <w:start w:w="80" w:type="dxa"/>
              <w:bottom w:w="80" w:type="dxa"/>
              <w:end w:w="80" w:type="dxa"/>
            </w:tcMar>
            <w:vAlign w:val="center"/>
          </w:tcPr>
          <w:p>
            <w:pPr>
              <w:jc w:val="center"/>
            </w:pPr>
            <w:r>
              <w:rPr>
                <w:b/>
                <w:color w:val="FFFFFF"/>
                <w:sz w:val="17"/>
              </w:rPr>
              <w:t>Value</w:t>
            </w:r>
          </w:p>
        </w:tc>
      </w:tr>
      <w:tr>
        <w:tc>
          <w:tcPr>
            <w:tcW w:type="dxa" w:w="2880"/>
            <w:tcMar>
              <w:top w:w="80" w:type="dxa"/>
              <w:start w:w="80" w:type="dxa"/>
              <w:bottom w:w="80" w:type="dxa"/>
              <w:end w:w="80" w:type="dxa"/>
            </w:tcMar>
            <w:vAlign w:val="top"/>
          </w:tcPr>
          <w:p>
            <w:pPr>
              <w:spacing w:after="0"/>
            </w:pPr>
            <w:r>
              <w:rPr>
                <w:sz w:val="17"/>
              </w:rPr>
              <w:t>Document revision</w:t>
            </w:r>
          </w:p>
        </w:tc>
        <w:tc>
          <w:tcPr>
            <w:tcW w:type="dxa" w:w="6912"/>
            <w:tcMar>
              <w:top w:w="80" w:type="dxa"/>
              <w:start w:w="80" w:type="dxa"/>
              <w:bottom w:w="80" w:type="dxa"/>
              <w:end w:w="80" w:type="dxa"/>
            </w:tcMar>
            <w:vAlign w:val="top"/>
          </w:tcPr>
          <w:p>
            <w:pPr>
              <w:spacing w:after="0"/>
            </w:pPr>
            <w:r>
              <w:rPr>
                <w:sz w:val="17"/>
              </w:rPr>
              <w:t>1.0</w:t>
            </w:r>
          </w:p>
        </w:tc>
      </w:tr>
      <w:tr>
        <w:tc>
          <w:tcPr>
            <w:tcW w:type="dxa" w:w="2880"/>
            <w:tcMar>
              <w:top w:w="80" w:type="dxa"/>
              <w:start w:w="80" w:type="dxa"/>
              <w:bottom w:w="80" w:type="dxa"/>
              <w:end w:w="80" w:type="dxa"/>
            </w:tcMar>
            <w:vAlign w:val="top"/>
          </w:tcPr>
          <w:p>
            <w:pPr>
              <w:spacing w:after="0"/>
            </w:pPr>
            <w:r>
              <w:rPr>
                <w:sz w:val="17"/>
              </w:rPr>
              <w:t>Created</w:t>
            </w:r>
          </w:p>
        </w:tc>
        <w:tc>
          <w:tcPr>
            <w:tcW w:type="dxa" w:w="6912"/>
            <w:tcMar>
              <w:top w:w="80" w:type="dxa"/>
              <w:start w:w="80" w:type="dxa"/>
              <w:bottom w:w="80" w:type="dxa"/>
              <w:end w:w="80" w:type="dxa"/>
            </w:tcMar>
            <w:vAlign w:val="top"/>
          </w:tcPr>
          <w:p>
            <w:pPr>
              <w:spacing w:after="0"/>
            </w:pPr>
            <w:r>
              <w:rPr>
                <w:sz w:val="17"/>
              </w:rPr>
              <w:t>2026-07-19</w:t>
            </w:r>
          </w:p>
        </w:tc>
      </w:tr>
      <w:tr>
        <w:tc>
          <w:tcPr>
            <w:tcW w:type="dxa" w:w="2880"/>
            <w:tcMar>
              <w:top w:w="80" w:type="dxa"/>
              <w:start w:w="80" w:type="dxa"/>
              <w:bottom w:w="80" w:type="dxa"/>
              <w:end w:w="80" w:type="dxa"/>
            </w:tcMar>
            <w:vAlign w:val="top"/>
          </w:tcPr>
          <w:p>
            <w:pPr>
              <w:spacing w:after="0"/>
            </w:pPr>
            <w:r>
              <w:rPr>
                <w:sz w:val="17"/>
              </w:rPr>
              <w:t>Repository</w:t>
            </w:r>
          </w:p>
        </w:tc>
        <w:tc>
          <w:tcPr>
            <w:tcW w:type="dxa" w:w="6912"/>
            <w:tcMar>
              <w:top w:w="80" w:type="dxa"/>
              <w:start w:w="80" w:type="dxa"/>
              <w:bottom w:w="80" w:type="dxa"/>
              <w:end w:w="80" w:type="dxa"/>
            </w:tcMar>
            <w:vAlign w:val="top"/>
          </w:tcPr>
          <w:p>
            <w:pPr>
              <w:spacing w:after="0"/>
            </w:pPr>
            <w:r>
              <w:rPr>
                <w:sz w:val="17"/>
              </w:rPr>
              <w:t>agentdevan/ambitions</w:t>
            </w:r>
          </w:p>
        </w:tc>
      </w:tr>
      <w:tr>
        <w:tc>
          <w:tcPr>
            <w:tcW w:type="dxa" w:w="2880"/>
            <w:tcMar>
              <w:top w:w="80" w:type="dxa"/>
              <w:start w:w="80" w:type="dxa"/>
              <w:bottom w:w="80" w:type="dxa"/>
              <w:end w:w="80" w:type="dxa"/>
            </w:tcMar>
            <w:vAlign w:val="top"/>
          </w:tcPr>
          <w:p>
            <w:pPr>
              <w:spacing w:after="0"/>
            </w:pPr>
            <w:r>
              <w:rPr>
                <w:sz w:val="17"/>
              </w:rPr>
              <w:t>Repository revision</w:t>
            </w:r>
          </w:p>
        </w:tc>
        <w:tc>
          <w:tcPr>
            <w:tcW w:type="dxa" w:w="6912"/>
            <w:tcMar>
              <w:top w:w="80" w:type="dxa"/>
              <w:start w:w="80" w:type="dxa"/>
              <w:bottom w:w="80" w:type="dxa"/>
              <w:end w:w="80" w:type="dxa"/>
            </w:tcMar>
            <w:vAlign w:val="top"/>
          </w:tcPr>
          <w:p>
            <w:pPr>
              <w:spacing w:after="0"/>
            </w:pPr>
            <w:r>
              <w:rPr>
                <w:sz w:val="17"/>
              </w:rPr>
              <w:t>7dbf554876c686e62525a85d762fec04b67a4af4</w:t>
            </w:r>
          </w:p>
        </w:tc>
      </w:tr>
      <w:tr>
        <w:tc>
          <w:tcPr>
            <w:tcW w:type="dxa" w:w="2880"/>
            <w:tcMar>
              <w:top w:w="80" w:type="dxa"/>
              <w:start w:w="80" w:type="dxa"/>
              <w:bottom w:w="80" w:type="dxa"/>
              <w:end w:w="80" w:type="dxa"/>
            </w:tcMar>
            <w:vAlign w:val="top"/>
          </w:tcPr>
          <w:p>
            <w:pPr>
              <w:spacing w:after="0"/>
            </w:pPr>
            <w:r>
              <w:rPr>
                <w:sz w:val="17"/>
              </w:rPr>
              <w:t>Canon authority</w:t>
            </w:r>
          </w:p>
        </w:tc>
        <w:tc>
          <w:tcPr>
            <w:tcW w:type="dxa" w:w="6912"/>
            <w:tcMar>
              <w:top w:w="80" w:type="dxa"/>
              <w:start w:w="80" w:type="dxa"/>
              <w:bottom w:w="80" w:type="dxa"/>
              <w:end w:w="80" w:type="dxa"/>
            </w:tcMar>
            <w:vAlign w:val="top"/>
          </w:tcPr>
          <w:p>
            <w:pPr>
              <w:spacing w:after="0"/>
            </w:pPr>
            <w:r>
              <w:rPr>
                <w:sz w:val="17"/>
              </w:rPr>
              <w:t>Active, canon revision 1</w:t>
            </w:r>
          </w:p>
        </w:tc>
      </w:tr>
      <w:tr>
        <w:tc>
          <w:tcPr>
            <w:tcW w:type="dxa" w:w="2880"/>
            <w:tcMar>
              <w:top w:w="80" w:type="dxa"/>
              <w:start w:w="80" w:type="dxa"/>
              <w:bottom w:w="80" w:type="dxa"/>
              <w:end w:w="80" w:type="dxa"/>
            </w:tcMar>
            <w:vAlign w:val="top"/>
          </w:tcPr>
          <w:p>
            <w:pPr>
              <w:spacing w:after="0"/>
            </w:pPr>
            <w:r>
              <w:rPr>
                <w:sz w:val="17"/>
              </w:rPr>
              <w:t>Canon content SHA</w:t>
            </w:r>
          </w:p>
        </w:tc>
        <w:tc>
          <w:tcPr>
            <w:tcW w:type="dxa" w:w="6912"/>
            <w:tcMar>
              <w:top w:w="80" w:type="dxa"/>
              <w:start w:w="80" w:type="dxa"/>
              <w:bottom w:w="80" w:type="dxa"/>
              <w:end w:w="80" w:type="dxa"/>
            </w:tcMar>
            <w:vAlign w:val="top"/>
          </w:tcPr>
          <w:p>
            <w:pPr>
              <w:spacing w:after="0"/>
            </w:pPr>
            <w:r>
              <w:rPr>
                <w:sz w:val="17"/>
              </w:rPr>
              <w:t>a1c987a4e753f42a852e0558b5e201cd1168e4b08e5deb9286b341dfbaaaea13</w:t>
            </w:r>
          </w:p>
        </w:tc>
      </w:tr>
      <w:tr>
        <w:tc>
          <w:tcPr>
            <w:tcW w:type="dxa" w:w="2880"/>
            <w:tcMar>
              <w:top w:w="80" w:type="dxa"/>
              <w:start w:w="80" w:type="dxa"/>
              <w:bottom w:w="80" w:type="dxa"/>
              <w:end w:w="80" w:type="dxa"/>
            </w:tcMar>
            <w:vAlign w:val="top"/>
          </w:tcPr>
          <w:p>
            <w:pPr>
              <w:spacing w:after="0"/>
            </w:pPr>
            <w:r>
              <w:rPr>
                <w:sz w:val="17"/>
              </w:rPr>
              <w:t>Status</w:t>
            </w:r>
          </w:p>
        </w:tc>
        <w:tc>
          <w:tcPr>
            <w:tcW w:type="dxa" w:w="6912"/>
            <w:tcMar>
              <w:top w:w="80" w:type="dxa"/>
              <w:start w:w="80" w:type="dxa"/>
              <w:bottom w:w="80" w:type="dxa"/>
              <w:end w:w="80" w:type="dxa"/>
            </w:tcMar>
            <w:vAlign w:val="top"/>
          </w:tcPr>
          <w:p>
            <w:pPr>
              <w:spacing w:after="0"/>
            </w:pPr>
            <w:r>
              <w:rPr>
                <w:sz w:val="17"/>
              </w:rPr>
              <w:t>Research disclosure; implementation not authorized</w:t>
            </w:r>
          </w:p>
        </w:tc>
      </w:tr>
      <w:tr>
        <w:tc>
          <w:tcPr>
            <w:tcW w:type="dxa" w:w="2880"/>
            <w:tcMar>
              <w:top w:w="80" w:type="dxa"/>
              <w:start w:w="80" w:type="dxa"/>
              <w:bottom w:w="80" w:type="dxa"/>
              <w:end w:w="80" w:type="dxa"/>
            </w:tcMar>
            <w:vAlign w:val="top"/>
          </w:tcPr>
          <w:p>
            <w:pPr>
              <w:spacing w:after="0"/>
            </w:pPr>
            <w:r>
              <w:rPr>
                <w:sz w:val="17"/>
              </w:rPr>
              <w:t>Audience</w:t>
            </w:r>
          </w:p>
        </w:tc>
        <w:tc>
          <w:tcPr>
            <w:tcW w:type="dxa" w:w="6912"/>
            <w:tcMar>
              <w:top w:w="80" w:type="dxa"/>
              <w:start w:w="80" w:type="dxa"/>
              <w:bottom w:w="80" w:type="dxa"/>
              <w:end w:w="80" w:type="dxa"/>
            </w:tcMar>
            <w:vAlign w:val="top"/>
          </w:tcPr>
          <w:p>
            <w:pPr>
              <w:spacing w:after="0"/>
            </w:pPr>
            <w:r>
              <w:rPr>
                <w:sz w:val="17"/>
              </w:rPr>
              <w:t>Inventor, product owner, patent counsel, technical reviewers, future Codex execution</w:t>
            </w:r>
          </w:p>
        </w:tc>
      </w:tr>
    </w:tbl>
    <w:p>
      <w:pPr>
        <w:spacing w:after="0"/>
      </w:pPr>
    </w:p>
    <w:p/>
    <w:p>
      <w:pPr>
        <w:jc w:val="center"/>
      </w:pPr>
      <w:r>
        <w:rPr>
          <w:b/>
          <w:color w:val="9E2A2B"/>
        </w:rPr>
        <w:t>CONFIDENTIAL RESEARCH DRAFT</w:t>
      </w:r>
    </w:p>
    <w:p>
      <w:r>
        <w:br w:type="page"/>
      </w:r>
    </w:p>
    <w:p>
      <w:pPr>
        <w:pStyle w:val="Heading1"/>
        <w:keepNext/>
      </w:pPr>
      <w:r>
        <w:t>Important limitations</w:t>
      </w: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FCE8E8"/>
            <w:tcMar>
              <w:top w:w="140" w:type="dxa"/>
              <w:start w:w="160" w:type="dxa"/>
              <w:bottom w:w="140" w:type="dxa"/>
              <w:end w:w="160" w:type="dxa"/>
            </w:tcMar>
          </w:tcPr>
          <w:p>
            <w:pPr>
              <w:spacing w:after="80"/>
            </w:pPr>
            <w:r>
              <w:rPr>
                <w:b/>
                <w:color w:val="17324D"/>
              </w:rPr>
              <w:t>Not a legal opinion</w:t>
            </w:r>
          </w:p>
          <w:p>
            <w:pPr>
              <w:spacing w:after="0"/>
            </w:pPr>
            <w:r>
              <w:t>This package is a technical invention disclosure and preliminary search framework. It is not a patentability opinion, freedom-to-operate opinion, legal claim construction, inventorship determination, or substitute for a qualified patent attorney or agent. Patent status and assignee data in public databases should be independently verified.</w:t>
            </w:r>
          </w:p>
        </w:tc>
      </w:tr>
    </w:tbl>
    <w:p>
      <w:pPr>
        <w:pStyle w:val="ListBullet"/>
      </w:pPr>
      <w:r>
        <w:t>No repository file, branch, commit, canon requirement, or implementation is created or authorized by this document.</w:t>
      </w:r>
    </w:p>
    <w:p>
      <w:pPr>
        <w:pStyle w:val="ListBullet"/>
      </w:pPr>
      <w:r>
        <w:t>Current canon and repository evidence establish product and architecture context, not novelty or implementation proof.</w:t>
      </w:r>
    </w:p>
    <w:p>
      <w:pPr>
        <w:pStyle w:val="ListBullet"/>
      </w:pPr>
      <w:r>
        <w:t>The prior-art list is deliberately adversarial but not exhaustive. Counsel should perform family, classification, citation, prosecution-history, and nonpatent-literature searches.</w:t>
      </w:r>
    </w:p>
    <w:p>
      <w:pPr>
        <w:pStyle w:val="ListBullet"/>
      </w:pPr>
      <w:r>
        <w:t>The disclosure uses provisional engineering names. Claim terminology should be refined to emphasize concrete data structures, state transitions, incremental processing, consistency, and measured technical effects.</w:t>
      </w:r>
    </w:p>
    <w:p>
      <w:pPr>
        <w:pStyle w:val="Heading1"/>
        <w:keepNext/>
      </w:pPr>
      <w:r>
        <w:t>Contents</w:t>
      </w:r>
    </w:p>
    <w:p>
      <w:pPr>
        <w:pStyle w:val="ListNumber"/>
      </w:pPr>
      <w:r>
        <w:t>1. Executive disclosure</w:t>
      </w:r>
    </w:p>
    <w:p>
      <w:pPr>
        <w:pStyle w:val="ListNumber"/>
      </w:pPr>
      <w:r>
        <w:t>2. Technical field and background</w:t>
      </w:r>
    </w:p>
    <w:p>
      <w:pPr>
        <w:pStyle w:val="ListNumber"/>
      </w:pPr>
      <w:r>
        <w:t>3. Invention summary and inventive nucleus</w:t>
      </w:r>
    </w:p>
    <w:p>
      <w:pPr>
        <w:pStyle w:val="ListNumber"/>
      </w:pPr>
      <w:r>
        <w:t>4. Terminology</w:t>
      </w:r>
    </w:p>
    <w:p>
      <w:pPr>
        <w:pStyle w:val="ListNumber"/>
      </w:pPr>
      <w:r>
        <w:t>5. System architecture</w:t>
      </w:r>
    </w:p>
    <w:p>
      <w:pPr>
        <w:pStyle w:val="ListNumber"/>
      </w:pPr>
      <w:r>
        <w:t>6. Detailed data structures</w:t>
      </w:r>
    </w:p>
    <w:p>
      <w:pPr>
        <w:pStyle w:val="ListNumber"/>
      </w:pPr>
      <w:r>
        <w:t>7. State machines</w:t>
      </w:r>
    </w:p>
    <w:p>
      <w:pPr>
        <w:pStyle w:val="ListNumber"/>
      </w:pPr>
      <w:r>
        <w:t>8. Algorithms and pseudocode</w:t>
      </w:r>
    </w:p>
    <w:p>
      <w:pPr>
        <w:pStyle w:val="ListNumber"/>
      </w:pPr>
      <w:r>
        <w:t>9. System invariants</w:t>
      </w:r>
    </w:p>
    <w:p>
      <w:pPr>
        <w:pStyle w:val="ListNumber"/>
      </w:pPr>
      <w:r>
        <w:t>10. Failure and recovery model</w:t>
      </w:r>
    </w:p>
    <w:p>
      <w:pPr>
        <w:pStyle w:val="ListNumber"/>
      </w:pPr>
      <w:r>
        <w:t>11. Worked examples</w:t>
      </w:r>
    </w:p>
    <w:p>
      <w:pPr>
        <w:pStyle w:val="ListNumber"/>
      </w:pPr>
      <w:r>
        <w:t>12. Technical effects and measurement</w:t>
      </w:r>
    </w:p>
    <w:p>
      <w:pPr>
        <w:pStyle w:val="ListNumber"/>
      </w:pPr>
      <w:r>
        <w:t>13. Alternative embodiments</w:t>
      </w:r>
    </w:p>
    <w:p>
      <w:pPr>
        <w:pStyle w:val="ListNumber"/>
      </w:pPr>
      <w:r>
        <w:t>14. Claim architecture</w:t>
      </w:r>
    </w:p>
    <w:p>
      <w:pPr>
        <w:pStyle w:val="ListNumber"/>
      </w:pPr>
      <w:r>
        <w:t>15. Prior-art threat matrix</w:t>
      </w:r>
    </w:p>
    <w:p>
      <w:pPr>
        <w:pStyle w:val="ListNumber"/>
      </w:pPr>
      <w:r>
        <w:t>16. CPC and family-based search plan</w:t>
      </w:r>
    </w:p>
    <w:p>
      <w:pPr>
        <w:pStyle w:val="ListNumber"/>
      </w:pPr>
      <w:r>
        <w:t>17. Repository-grounded feasibility</w:t>
      </w:r>
    </w:p>
    <w:p>
      <w:pPr>
        <w:pStyle w:val="ListNumber"/>
      </w:pPr>
      <w:r>
        <w:t>18. Patent-strength demonstrator</w:t>
      </w:r>
    </w:p>
    <w:p>
      <w:pPr>
        <w:pStyle w:val="ListNumber"/>
      </w:pPr>
      <w:r>
        <w:t>19. Open questions and kill criteria</w:t>
      </w:r>
    </w:p>
    <w:p>
      <w:pPr>
        <w:pStyle w:val="ListNumber"/>
      </w:pPr>
      <w:r>
        <w:t>20. Counsel handoff checklist</w:t>
      </w:r>
    </w:p>
    <w:p>
      <w:pPr>
        <w:pStyle w:val="ListNumber"/>
      </w:pPr>
      <w:r>
        <w:t>Appendices: reference register, repository evidence, glossary</w:t>
      </w:r>
    </w:p>
    <w:p>
      <w:r>
        <w:br w:type="page"/>
      </w:r>
    </w:p>
    <w:p>
      <w:pPr>
        <w:pStyle w:val="Heading1"/>
        <w:keepNext/>
      </w:pPr>
      <w:r>
        <w:t>1. Executive disclosure</w:t>
      </w:r>
    </w:p>
    <w:p>
      <w:pPr>
        <w:pStyle w:val="Heading2"/>
        <w:keepNext/>
      </w:pPr>
      <w:r>
        <w:t>1.1 Invention title</w:t>
      </w:r>
    </w:p>
    <w:p>
      <w:r>
        <w:t>Certified Executable Branch Reconciliation (CEBR-01).</w:t>
      </w:r>
    </w:p>
    <w:p>
      <w:pPr>
        <w:pStyle w:val="Heading2"/>
        <w:keepNext/>
      </w:pPr>
      <w:r>
        <w:t>1.2 One-sentence technical definition</w:t>
      </w: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E8F0F5"/>
            <w:tcMar>
              <w:top w:w="140" w:type="dxa"/>
              <w:start w:w="160" w:type="dxa"/>
              <w:bottom w:w="140" w:type="dxa"/>
              <w:end w:w="160" w:type="dxa"/>
            </w:tcMar>
          </w:tcPr>
          <w:p>
            <w:pPr>
              <w:spacing w:after="80"/>
            </w:pPr>
            <w:r>
              <w:rPr>
                <w:b/>
                <w:color w:val="17324D"/>
              </w:rPr>
              <w:t>Technical nucleus</w:t>
            </w:r>
          </w:p>
          <w:p>
            <w:pPr>
              <w:spacing w:after="0"/>
            </w:pPr>
            <w:r>
              <w:t>A local runtime maintains one revision-bound active personal-state branch and an operational viability certificate; incrementally invalidates only dependent certificate components when reality changes; materializes policy-distinct candidate deltas from latent contingencies and correction sets; and promotes the selected branch through one causal transaction while preserving prior-branch lineage.</w:t>
            </w:r>
          </w:p>
        </w:tc>
      </w:tr>
    </w:tbl>
    <w:p>
      <w:pPr>
        <w:pStyle w:val="Heading2"/>
        <w:keepNext/>
      </w:pPr>
      <w:r>
        <w:t>1.3 Technical problem</w:t>
      </w:r>
    </w:p>
    <w:p>
      <w:r>
        <w:t>Existing personal-planning and scheduling systems generally produce a plan, script, calendar, or scenario but do not maintain a revision-bound, executable branch with an operational certificate explaining why that branch remains valid. When a fact or policy changes, the system often performs full replanning, moves unrelated work, regenerates disposable alternatives, or applies the selected alternative through fragmented mutations. The result is computational churn, unstable plans, inconsistent cross-object state, weak replay, and loss of the decision-time basis.</w:t>
      </w:r>
    </w:p>
    <w:p>
      <w:pPr>
        <w:pStyle w:val="Heading2"/>
        <w:keepNext/>
      </w:pPr>
      <w:r>
        <w:t>1.4 Proposed technical solution</w:t>
      </w:r>
    </w:p>
    <w:p>
      <w:pPr>
        <w:pStyle w:val="ListBullet"/>
      </w:pPr>
      <w:r>
        <w:t>Represent the current arrangement as exactly one active branch: a semantic delta over revisioned canonical state.</w:t>
      </w:r>
    </w:p>
    <w:p>
      <w:pPr>
        <w:pStyle w:val="ListBullet"/>
      </w:pPr>
      <w:r>
        <w:t>Bind the branch to an immutable, machine-evaluable viability certificate that gates active status and promotion.</w:t>
      </w:r>
    </w:p>
    <w:p>
      <w:pPr>
        <w:pStyle w:val="ListBullet"/>
      </w:pPr>
      <w:r>
        <w:t>Index certificate and delta dependencies to revisioned facts, policies, authority states, and operating conditions.</w:t>
      </w:r>
    </w:p>
    <w:p>
      <w:pPr>
        <w:pStyle w:val="ListBullet"/>
      </w:pPr>
      <w:r>
        <w:t>On a revision, compute a causal impact cone and recertify only dependent scope unless a full rebuild is required.</w:t>
      </w:r>
    </w:p>
    <w:p>
      <w:pPr>
        <w:pStyle w:val="ListBullet"/>
      </w:pPr>
      <w:r>
        <w:t>If recertification fails, derive a conflict core and bounded, materially distinct correction sets.</w:t>
      </w:r>
    </w:p>
    <w:p>
      <w:pPr>
        <w:pStyle w:val="ListBullet"/>
      </w:pPr>
      <w:r>
        <w:t>Materialize complete candidate branch deltas from latent contingency policies rather than storing several full alternate futures.</w:t>
      </w:r>
    </w:p>
    <w:p>
      <w:pPr>
        <w:pStyle w:val="ListBullet"/>
      </w:pPr>
      <w:r>
        <w:t>Promote the selected branch through one parent semantic transaction, preserving prior branch, certificate, decision trace, Receipt, replay, and rollback or compensation lineage.</w:t>
      </w:r>
    </w:p>
    <w:p>
      <w:pPr>
        <w:pStyle w:val="Heading2"/>
        <w:keepNext/>
      </w:pPr>
      <w:r>
        <w:t>1.5 Why the mechanism may be claimable</w:t>
      </w:r>
    </w:p>
    <w:p>
      <w:r>
        <w:t>No individual component is new in isolation. The preliminary novelty seam is the ordered technical combination of a persistent active branch delta, operational certificate, dependency-indexed partial invalidation, triggered candidate materialization from latent contingencies, correction-derived semantic diversity, and parent branch promotion with historical lineage. The claim must travel with these limitations; broad “AI life planning” language is not defensible. [R2][R3]</w:t>
      </w:r>
    </w:p>
    <w:p>
      <w:pPr>
        <w:pStyle w:val="Heading1"/>
        <w:keepNext/>
      </w:pPr>
      <w:r>
        <w:t>2. Technical field and background</w:t>
      </w:r>
    </w:p>
    <w:p>
      <w:pPr>
        <w:pStyle w:val="Heading2"/>
        <w:keepNext/>
      </w:pPr>
      <w:r>
        <w:t>2.1 Technical field</w:t>
      </w:r>
    </w:p>
    <w:p>
      <w:r>
        <w:t>The invention relates to local-first stateful planning runtimes, revisioned personal-state graphs, incremental dependency maintenance, constraint and policy evaluation, event-driven recertification, candidate-state materialization, transactional multi-object promotion, replay, and compensation.</w:t>
      </w:r>
    </w:p>
    <w:p>
      <w:pPr>
        <w:pStyle w:val="Heading2"/>
        <w:keepNext/>
      </w:pPr>
      <w:r>
        <w:t>2.2 Deficiencies in existing architectures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7324D"/>
            <w:tcMar>
              <w:top w:w="80" w:type="dxa"/>
              <w:start w:w="80" w:type="dxa"/>
              <w:bottom w:w="80" w:type="dxa"/>
              <w:end w:w="80" w:type="dxa"/>
            </w:tcMar>
            <w:vAlign w:val="center"/>
          </w:tcPr>
          <w:p>
            <w:pPr>
              <w:jc w:val="center"/>
            </w:pPr>
            <w:r>
              <w:rPr>
                <w:b/>
                <w:color w:val="FFFFFF"/>
                <w:sz w:val="16"/>
              </w:rPr>
              <w:t>Deficiency</w:t>
            </w:r>
          </w:p>
        </w:tc>
        <w:tc>
          <w:tcPr>
            <w:tcW w:type="dxa" w:w="7632"/>
            <w:shd w:fill="17324D"/>
            <w:tcMar>
              <w:top w:w="80" w:type="dxa"/>
              <w:start w:w="80" w:type="dxa"/>
              <w:bottom w:w="80" w:type="dxa"/>
              <w:end w:w="80" w:type="dxa"/>
            </w:tcMar>
            <w:vAlign w:val="center"/>
          </w:tcPr>
          <w:p>
            <w:pPr>
              <w:jc w:val="center"/>
            </w:pPr>
            <w:r>
              <w:rPr>
                <w:b/>
                <w:color w:val="FFFFFF"/>
                <w:sz w:val="16"/>
              </w:rPr>
              <w:t>Technical consequence</w:t>
            </w:r>
          </w:p>
        </w:tc>
      </w:tr>
      <w:tr>
        <w:tc>
          <w:tcPr>
            <w:tcW w:type="dxa" w:w="2160"/>
            <w:tcMar>
              <w:top w:w="80" w:type="dxa"/>
              <w:start w:w="80" w:type="dxa"/>
              <w:bottom w:w="80" w:type="dxa"/>
              <w:end w:w="80" w:type="dxa"/>
            </w:tcMar>
            <w:vAlign w:val="top"/>
          </w:tcPr>
          <w:p>
            <w:pPr>
              <w:spacing w:after="0"/>
            </w:pPr>
            <w:r>
              <w:rPr>
                <w:sz w:val="16"/>
              </w:rPr>
              <w:t>Disposable plans</w:t>
            </w:r>
          </w:p>
        </w:tc>
        <w:tc>
          <w:tcPr>
            <w:tcW w:type="dxa" w:w="7632"/>
            <w:tcMar>
              <w:top w:w="80" w:type="dxa"/>
              <w:start w:w="80" w:type="dxa"/>
              <w:bottom w:w="80" w:type="dxa"/>
              <w:end w:w="80" w:type="dxa"/>
            </w:tcMar>
            <w:vAlign w:val="top"/>
          </w:tcPr>
          <w:p>
            <w:pPr>
              <w:spacing w:after="0"/>
            </w:pPr>
            <w:r>
              <w:rPr>
                <w:sz w:val="16"/>
              </w:rPr>
              <w:t>Alternatives are generated as reports or schedules and are not operational state with lifecycle, certificate, or promotion semantics.</w:t>
            </w:r>
          </w:p>
        </w:tc>
      </w:tr>
      <w:tr>
        <w:tc>
          <w:tcPr>
            <w:tcW w:type="dxa" w:w="2160"/>
            <w:tcMar>
              <w:top w:w="80" w:type="dxa"/>
              <w:start w:w="80" w:type="dxa"/>
              <w:bottom w:w="80" w:type="dxa"/>
              <w:end w:w="80" w:type="dxa"/>
            </w:tcMar>
            <w:vAlign w:val="top"/>
          </w:tcPr>
          <w:p>
            <w:pPr>
              <w:spacing w:after="0"/>
            </w:pPr>
            <w:r>
              <w:rPr>
                <w:sz w:val="16"/>
              </w:rPr>
              <w:t>Full replanning</w:t>
            </w:r>
          </w:p>
        </w:tc>
        <w:tc>
          <w:tcPr>
            <w:tcW w:type="dxa" w:w="7632"/>
            <w:tcMar>
              <w:top w:w="80" w:type="dxa"/>
              <w:start w:w="80" w:type="dxa"/>
              <w:bottom w:w="80" w:type="dxa"/>
              <w:end w:w="80" w:type="dxa"/>
            </w:tcMar>
            <w:vAlign w:val="top"/>
          </w:tcPr>
          <w:p>
            <w:pPr>
              <w:spacing w:after="0"/>
            </w:pPr>
            <w:r>
              <w:rPr>
                <w:sz w:val="16"/>
              </w:rPr>
              <w:t>A localized revision causes broad recomputation and unrelated movement, reducing stability and user trust.</w:t>
            </w:r>
          </w:p>
        </w:tc>
      </w:tr>
      <w:tr>
        <w:tc>
          <w:tcPr>
            <w:tcW w:type="dxa" w:w="2160"/>
            <w:tcMar>
              <w:top w:w="80" w:type="dxa"/>
              <w:start w:w="80" w:type="dxa"/>
              <w:bottom w:w="80" w:type="dxa"/>
              <w:end w:w="80" w:type="dxa"/>
            </w:tcMar>
            <w:vAlign w:val="top"/>
          </w:tcPr>
          <w:p>
            <w:pPr>
              <w:spacing w:after="0"/>
            </w:pPr>
            <w:r>
              <w:rPr>
                <w:sz w:val="16"/>
              </w:rPr>
              <w:t>Post-hoc explanation</w:t>
            </w:r>
          </w:p>
        </w:tc>
        <w:tc>
          <w:tcPr>
            <w:tcW w:type="dxa" w:w="7632"/>
            <w:tcMar>
              <w:top w:w="80" w:type="dxa"/>
              <w:start w:w="80" w:type="dxa"/>
              <w:bottom w:w="80" w:type="dxa"/>
              <w:end w:w="80" w:type="dxa"/>
            </w:tcMar>
            <w:vAlign w:val="top"/>
          </w:tcPr>
          <w:p>
            <w:pPr>
              <w:spacing w:after="0"/>
            </w:pPr>
            <w:r>
              <w:rPr>
                <w:sz w:val="16"/>
              </w:rPr>
              <w:t>The system explains a plan after generation but does not maintain a certificate that gates continued validity.</w:t>
            </w:r>
          </w:p>
        </w:tc>
      </w:tr>
      <w:tr>
        <w:tc>
          <w:tcPr>
            <w:tcW w:type="dxa" w:w="2160"/>
            <w:tcMar>
              <w:top w:w="80" w:type="dxa"/>
              <w:start w:w="80" w:type="dxa"/>
              <w:bottom w:w="80" w:type="dxa"/>
              <w:end w:w="80" w:type="dxa"/>
            </w:tcMar>
            <w:vAlign w:val="top"/>
          </w:tcPr>
          <w:p>
            <w:pPr>
              <w:spacing w:after="0"/>
            </w:pPr>
            <w:r>
              <w:rPr>
                <w:sz w:val="16"/>
              </w:rPr>
              <w:t>Duplicate futures</w:t>
            </w:r>
          </w:p>
        </w:tc>
        <w:tc>
          <w:tcPr>
            <w:tcW w:type="dxa" w:w="7632"/>
            <w:tcMar>
              <w:top w:w="80" w:type="dxa"/>
              <w:start w:w="80" w:type="dxa"/>
              <w:bottom w:w="80" w:type="dxa"/>
              <w:end w:w="80" w:type="dxa"/>
            </w:tcMar>
            <w:vAlign w:val="top"/>
          </w:tcPr>
          <w:p>
            <w:pPr>
              <w:spacing w:after="0"/>
            </w:pPr>
            <w:r>
              <w:rPr>
                <w:sz w:val="16"/>
              </w:rPr>
              <w:t>Maintaining several full copies of personal state increases storage, synchronization, and reconciliation cost.</w:t>
            </w:r>
          </w:p>
        </w:tc>
      </w:tr>
      <w:tr>
        <w:tc>
          <w:tcPr>
            <w:tcW w:type="dxa" w:w="2160"/>
            <w:tcMar>
              <w:top w:w="80" w:type="dxa"/>
              <w:start w:w="80" w:type="dxa"/>
              <w:bottom w:w="80" w:type="dxa"/>
              <w:end w:w="80" w:type="dxa"/>
            </w:tcMar>
            <w:vAlign w:val="top"/>
          </w:tcPr>
          <w:p>
            <w:pPr>
              <w:spacing w:after="0"/>
            </w:pPr>
            <w:r>
              <w:rPr>
                <w:sz w:val="16"/>
              </w:rPr>
              <w:t>Fragmented commit</w:t>
            </w:r>
          </w:p>
        </w:tc>
        <w:tc>
          <w:tcPr>
            <w:tcW w:type="dxa" w:w="7632"/>
            <w:tcMar>
              <w:top w:w="80" w:type="dxa"/>
              <w:start w:w="80" w:type="dxa"/>
              <w:bottom w:w="80" w:type="dxa"/>
              <w:end w:w="80" w:type="dxa"/>
            </w:tcMar>
            <w:vAlign w:val="top"/>
          </w:tcPr>
          <w:p>
            <w:pPr>
              <w:spacing w:after="0"/>
            </w:pPr>
            <w:r>
              <w:rPr>
                <w:sz w:val="16"/>
              </w:rPr>
              <w:t>A selected arrangement becomes a sequence of independent commands without one parent causal decision.</w:t>
            </w:r>
          </w:p>
        </w:tc>
      </w:tr>
      <w:tr>
        <w:tc>
          <w:tcPr>
            <w:tcW w:type="dxa" w:w="2160"/>
            <w:tcMar>
              <w:top w:w="80" w:type="dxa"/>
              <w:start w:w="80" w:type="dxa"/>
              <w:bottom w:w="80" w:type="dxa"/>
              <w:end w:w="80" w:type="dxa"/>
            </w:tcMar>
            <w:vAlign w:val="top"/>
          </w:tcPr>
          <w:p>
            <w:pPr>
              <w:spacing w:after="0"/>
            </w:pPr>
            <w:r>
              <w:rPr>
                <w:sz w:val="16"/>
              </w:rPr>
              <w:t>Authority collapse</w:t>
            </w:r>
          </w:p>
        </w:tc>
        <w:tc>
          <w:tcPr>
            <w:tcW w:type="dxa" w:w="7632"/>
            <w:tcMar>
              <w:top w:w="80" w:type="dxa"/>
              <w:start w:w="80" w:type="dxa"/>
              <w:bottom w:w="80" w:type="dxa"/>
              <w:end w:w="80" w:type="dxa"/>
            </w:tcMar>
            <w:vAlign w:val="top"/>
          </w:tcPr>
          <w:p>
            <w:pPr>
              <w:spacing w:after="0"/>
            </w:pPr>
            <w:r>
              <w:rPr>
                <w:sz w:val="16"/>
              </w:rPr>
              <w:t>Another person’s effects, external effects, and user-owned effects are treated as one completion state.</w:t>
            </w:r>
          </w:p>
        </w:tc>
      </w:tr>
      <w:tr>
        <w:tc>
          <w:tcPr>
            <w:tcW w:type="dxa" w:w="2160"/>
            <w:tcMar>
              <w:top w:w="80" w:type="dxa"/>
              <w:start w:w="80" w:type="dxa"/>
              <w:bottom w:w="80" w:type="dxa"/>
              <w:end w:w="80" w:type="dxa"/>
            </w:tcMar>
            <w:vAlign w:val="top"/>
          </w:tcPr>
          <w:p>
            <w:pPr>
              <w:spacing w:after="0"/>
            </w:pPr>
            <w:r>
              <w:rPr>
                <w:sz w:val="16"/>
              </w:rPr>
              <w:t>Historical rewriting</w:t>
            </w:r>
          </w:p>
        </w:tc>
        <w:tc>
          <w:tcPr>
            <w:tcW w:type="dxa" w:w="7632"/>
            <w:tcMar>
              <w:top w:w="80" w:type="dxa"/>
              <w:start w:w="80" w:type="dxa"/>
              <w:bottom w:w="80" w:type="dxa"/>
              <w:end w:w="80" w:type="dxa"/>
            </w:tcMar>
            <w:vAlign w:val="top"/>
          </w:tcPr>
          <w:p>
            <w:pPr>
              <w:spacing w:after="0"/>
            </w:pPr>
            <w:r>
              <w:rPr>
                <w:sz w:val="16"/>
              </w:rPr>
              <w:t>Later facts obscure what the system knew and why a prior arrangement was accepted.</w:t>
            </w:r>
          </w:p>
        </w:tc>
      </w:tr>
    </w:tbl>
    <w:p>
      <w:pPr>
        <w:spacing w:after="0"/>
      </w:pPr>
    </w:p>
    <w:p>
      <w:pPr>
        <w:pStyle w:val="Heading2"/>
        <w:keepNext/>
      </w:pPr>
      <w:r>
        <w:t>2.3 Existing Ambitions foundations</w:t>
      </w:r>
    </w:p>
    <w:p>
      <w:r>
        <w:t>The active Ambitions canon already requires local deterministic simulation, typed Commands, atomic mutation, explicit infeasibility, projection updates, truthful Receipts, replay, rollback, and external effects after local commit. The current repository also contains Goal-level candidate branches, changed-reality detection, recovery lineage, governed recommendation factors, and replayable decision traces. CEBR extends these owners rather than replacing them. [C1]-[C9]</w:t>
      </w:r>
    </w:p>
    <w:p>
      <w:pPr>
        <w:pStyle w:val="Heading1"/>
        <w:keepNext/>
      </w:pPr>
      <w:r>
        <w:t>3. Invention summary and inventive nucleus</w:t>
      </w:r>
    </w:p>
    <w:p>
      <w:pPr>
        <w:pStyle w:val="Heading2"/>
        <w:keepNext/>
      </w:pPr>
      <w:r>
        <w:t>3.1 Ordered system sequence</w:t>
      </w:r>
    </w:p>
    <w:p>
      <w:pPr>
        <w:pStyle w:val="CEBRCode"/>
        <w:keepLines w:val="0"/>
      </w:pPr>
      <w:r>
        <w:t>canonical personal state</w:t>
        <w:br/>
      </w:r>
      <w:r>
        <w:t>+ one active revision-bound branch delta</w:t>
        <w:br/>
      </w:r>
      <w:r>
        <w:t>+ one operational viability certificate</w:t>
        <w:br/>
      </w:r>
      <w:r>
        <w:t xml:space="preserve">        ↓</w:t>
        <w:br/>
      </w:r>
      <w:r>
        <w:t>revision event affecting fact, policy, authority, or operating condition</w:t>
        <w:br/>
      </w:r>
      <w:r>
        <w:t xml:space="preserve">        ↓</w:t>
        <w:br/>
      </w:r>
      <w:r>
        <w:t>dependency-indexed causal impact cone</w:t>
        <w:br/>
      </w:r>
      <w:r>
        <w:t xml:space="preserve">        ↓</w:t>
        <w:br/>
      </w:r>
      <w:r>
        <w:t>incremental certificate invalidation and recertification</w:t>
        <w:br/>
      </w:r>
      <w:r>
        <w:t xml:space="preserve">        ↓</w:t>
        <w:br/>
      </w:r>
      <w:r>
        <w:t>certificate remains valid / becomes fragile / blocked / invalid</w:t>
        <w:br/>
      </w:r>
      <w:r>
        <w:t xml:space="preserve">        ↓ if invalid</w:t>
        <w:br/>
      </w:r>
      <w:r>
        <w:t>conflict core + latent contingency policies</w:t>
        <w:br/>
      </w:r>
      <w:r>
        <w:t xml:space="preserve">        ↓</w:t>
        <w:br/>
      </w:r>
      <w:r>
        <w:t>materially distinct correction sets</w:t>
        <w:br/>
      </w:r>
      <w:r>
        <w:t xml:space="preserve">        ↓</w:t>
        <w:br/>
      </w:r>
      <w:r>
        <w:t>complete candidate branch deltas + candidate certificates</w:t>
        <w:br/>
      </w:r>
      <w:r>
        <w:t xml:space="preserve">        ↓</w:t>
        <w:br/>
      </w:r>
      <w:r>
        <w:t>user selection and current-state revalidation</w:t>
        <w:br/>
      </w:r>
      <w:r>
        <w:t xml:space="preserve">        ↓</w:t>
        <w:br/>
      </w:r>
      <w:r>
        <w:t>one parent branch-promotion transaction</w:t>
        <w:br/>
      </w:r>
      <w:r>
        <w:t xml:space="preserve">        ↓</w:t>
        <w:br/>
      </w:r>
      <w:r>
        <w:t>new active branch + preserved prior branch lineage</w:t>
      </w:r>
    </w:p>
    <w:p>
      <w:pPr>
        <w:pStyle w:val="Heading2"/>
        <w:keepNext/>
      </w:pPr>
      <w:r>
        <w:t>3.2 Load-bearing limitations</w:t>
      </w:r>
    </w:p>
    <w:p>
      <w:pPr>
        <w:pStyle w:val="ListNumber"/>
      </w:pPr>
      <w:r>
        <w:t>The certificate is operational state that gates whether a branch may remain active or be promoted.</w:t>
      </w:r>
    </w:p>
    <w:p>
      <w:pPr>
        <w:pStyle w:val="ListNumber"/>
      </w:pPr>
      <w:r>
        <w:t>The active branch is a revision-bound semantic delta rather than a copy of the canonical personal graph.</w:t>
      </w:r>
    </w:p>
    <w:p>
      <w:pPr>
        <w:pStyle w:val="ListNumber"/>
      </w:pPr>
      <w:r>
        <w:t>Revision handling is dependency-indexed and preserves unrelated state.</w:t>
      </w:r>
    </w:p>
    <w:p>
      <w:pPr>
        <w:pStyle w:val="ListNumber"/>
      </w:pPr>
      <w:r>
        <w:t>Candidate branches are derived from distinct correction sets for one failed certificate.</w:t>
      </w:r>
    </w:p>
    <w:p>
      <w:pPr>
        <w:pStyle w:val="ListNumber"/>
      </w:pPr>
      <w:r>
        <w:t>Complete candidates are compiled from latent contingency policies only when triggered.</w:t>
      </w:r>
    </w:p>
    <w:p>
      <w:pPr>
        <w:pStyle w:val="ListNumber"/>
      </w:pPr>
      <w:r>
        <w:t>Promotion is one parent semantic transaction with user-owned, recipient-owned, and external child effects.</w:t>
      </w:r>
    </w:p>
    <w:p>
      <w:pPr>
        <w:pStyle w:val="ListNumber"/>
      </w:pPr>
      <w:r>
        <w:t>Prior branch and certificate reasoning remain historically inspectable.</w:t>
      </w:r>
    </w:p>
    <w:p>
      <w:pPr>
        <w:pStyle w:val="Heading2"/>
        <w:keepNext/>
      </w:pPr>
      <w:r>
        <w:t>3.3 Relationship to CHLB-01</w:t>
      </w:r>
    </w:p>
    <w:p>
      <w:r>
        <w:t>CHLB-01 supplies the broader product experience: Personal Life Laws govern admissibility, homeostatic envelopes detect drift, and complete life branches appear as user-facing “ways forward.” CEBR-01 is the narrower technical mechanism under that product experience. Patent research should focus on CEBR rather than attempt to claim the entire product vision.</w:t>
      </w:r>
    </w:p>
    <w:p>
      <w:pPr>
        <w:pStyle w:val="Heading1"/>
        <w:keepNext/>
      </w:pPr>
      <w:r>
        <w:t>4. Terminology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24D"/>
            <w:tcMar>
              <w:top w:w="80" w:type="dxa"/>
              <w:start w:w="80" w:type="dxa"/>
              <w:bottom w:w="80" w:type="dxa"/>
              <w:end w:w="80" w:type="dxa"/>
            </w:tcMar>
            <w:vAlign w:val="center"/>
          </w:tcPr>
          <w:p>
            <w:pPr>
              <w:jc w:val="center"/>
            </w:pPr>
            <w:r>
              <w:rPr>
                <w:b/>
                <w:color w:val="FFFFFF"/>
                <w:sz w:val="16"/>
              </w:rPr>
              <w:t>Term</w:t>
            </w:r>
          </w:p>
        </w:tc>
        <w:tc>
          <w:tcPr>
            <w:tcW w:type="dxa" w:w="7200"/>
            <w:shd w:fill="17324D"/>
            <w:tcMar>
              <w:top w:w="80" w:type="dxa"/>
              <w:start w:w="80" w:type="dxa"/>
              <w:bottom w:w="80" w:type="dxa"/>
              <w:end w:w="80" w:type="dxa"/>
            </w:tcMar>
            <w:vAlign w:val="center"/>
          </w:tcPr>
          <w:p>
            <w:pPr>
              <w:jc w:val="center"/>
            </w:pPr>
            <w:r>
              <w:rPr>
                <w:b/>
                <w:color w:val="FFFFFF"/>
                <w:sz w:val="16"/>
              </w:rPr>
              <w:t>Definition</w:t>
            </w:r>
          </w:p>
        </w:tc>
      </w:tr>
      <w:tr>
        <w:tc>
          <w:tcPr>
            <w:tcW w:type="dxa" w:w="2592"/>
            <w:tcMar>
              <w:top w:w="80" w:type="dxa"/>
              <w:start w:w="80" w:type="dxa"/>
              <w:bottom w:w="80" w:type="dxa"/>
              <w:end w:w="80" w:type="dxa"/>
            </w:tcMar>
            <w:vAlign w:val="top"/>
          </w:tcPr>
          <w:p>
            <w:pPr>
              <w:spacing w:after="0"/>
            </w:pPr>
            <w:r>
              <w:rPr>
                <w:sz w:val="16"/>
              </w:rPr>
              <w:t>Canonical personal-state graph</w:t>
            </w:r>
          </w:p>
        </w:tc>
        <w:tc>
          <w:tcPr>
            <w:tcW w:type="dxa" w:w="7200"/>
            <w:tcMar>
              <w:top w:w="80" w:type="dxa"/>
              <w:start w:w="80" w:type="dxa"/>
              <w:bottom w:w="80" w:type="dxa"/>
              <w:end w:w="80" w:type="dxa"/>
            </w:tcMar>
            <w:vAlign w:val="top"/>
          </w:tcPr>
          <w:p>
            <w:pPr>
              <w:spacing w:after="0"/>
            </w:pPr>
            <w:r>
              <w:rPr>
                <w:sz w:val="16"/>
              </w:rPr>
              <w:t>Revisioned authoritative Ambitions objects and relations, including Goals, Goal Paths, Steps, Schedule Placements, Recovery, Receipts, History, and governed influences.</w:t>
            </w:r>
          </w:p>
        </w:tc>
      </w:tr>
      <w:tr>
        <w:tc>
          <w:tcPr>
            <w:tcW w:type="dxa" w:w="2592"/>
            <w:tcMar>
              <w:top w:w="80" w:type="dxa"/>
              <w:start w:w="80" w:type="dxa"/>
              <w:bottom w:w="80" w:type="dxa"/>
              <w:end w:w="80" w:type="dxa"/>
            </w:tcMar>
            <w:vAlign w:val="top"/>
          </w:tcPr>
          <w:p>
            <w:pPr>
              <w:spacing w:after="0"/>
            </w:pPr>
            <w:r>
              <w:rPr>
                <w:sz w:val="16"/>
              </w:rPr>
              <w:t>Active branch</w:t>
            </w:r>
          </w:p>
        </w:tc>
        <w:tc>
          <w:tcPr>
            <w:tcW w:type="dxa" w:w="7200"/>
            <w:tcMar>
              <w:top w:w="80" w:type="dxa"/>
              <w:start w:w="80" w:type="dxa"/>
              <w:bottom w:w="80" w:type="dxa"/>
              <w:end w:w="80" w:type="dxa"/>
            </w:tcMar>
            <w:vAlign w:val="top"/>
          </w:tcPr>
          <w:p>
            <w:pPr>
              <w:spacing w:after="0"/>
            </w:pPr>
            <w:r>
              <w:rPr>
                <w:sz w:val="16"/>
              </w:rPr>
              <w:t>Exactly one executable arrangement currently governing canonical life-state behavior.</w:t>
            </w:r>
          </w:p>
        </w:tc>
      </w:tr>
      <w:tr>
        <w:tc>
          <w:tcPr>
            <w:tcW w:type="dxa" w:w="2592"/>
            <w:tcMar>
              <w:top w:w="80" w:type="dxa"/>
              <w:start w:w="80" w:type="dxa"/>
              <w:bottom w:w="80" w:type="dxa"/>
              <w:end w:w="80" w:type="dxa"/>
            </w:tcMar>
            <w:vAlign w:val="top"/>
          </w:tcPr>
          <w:p>
            <w:pPr>
              <w:spacing w:after="0"/>
            </w:pPr>
            <w:r>
              <w:rPr>
                <w:sz w:val="16"/>
              </w:rPr>
              <w:t>Branch delta</w:t>
            </w:r>
          </w:p>
        </w:tc>
        <w:tc>
          <w:tcPr>
            <w:tcW w:type="dxa" w:w="7200"/>
            <w:tcMar>
              <w:top w:w="80" w:type="dxa"/>
              <w:start w:w="80" w:type="dxa"/>
              <w:bottom w:w="80" w:type="dxa"/>
              <w:end w:w="80" w:type="dxa"/>
            </w:tcMar>
            <w:vAlign w:val="top"/>
          </w:tcPr>
          <w:p>
            <w:pPr>
              <w:spacing w:after="0"/>
            </w:pPr>
            <w:r>
              <w:rPr>
                <w:sz w:val="16"/>
              </w:rPr>
              <w:t>Typed operations that transform a specified canonical revision into a prospective or selected branch state.</w:t>
            </w:r>
          </w:p>
        </w:tc>
      </w:tr>
      <w:tr>
        <w:tc>
          <w:tcPr>
            <w:tcW w:type="dxa" w:w="2592"/>
            <w:tcMar>
              <w:top w:w="80" w:type="dxa"/>
              <w:start w:w="80" w:type="dxa"/>
              <w:bottom w:w="80" w:type="dxa"/>
              <w:end w:w="80" w:type="dxa"/>
            </w:tcMar>
            <w:vAlign w:val="top"/>
          </w:tcPr>
          <w:p>
            <w:pPr>
              <w:spacing w:after="0"/>
            </w:pPr>
            <w:r>
              <w:rPr>
                <w:sz w:val="16"/>
              </w:rPr>
              <w:t>Viability certificate</w:t>
            </w:r>
          </w:p>
        </w:tc>
        <w:tc>
          <w:tcPr>
            <w:tcW w:type="dxa" w:w="7200"/>
            <w:tcMar>
              <w:top w:w="80" w:type="dxa"/>
              <w:start w:w="80" w:type="dxa"/>
              <w:bottom w:w="80" w:type="dxa"/>
              <w:end w:w="80" w:type="dxa"/>
            </w:tcMar>
            <w:vAlign w:val="top"/>
          </w:tcPr>
          <w:p>
            <w:pPr>
              <w:spacing w:after="0"/>
            </w:pPr>
            <w:r>
              <w:rPr>
                <w:sz w:val="16"/>
              </w:rPr>
              <w:t>Immutable, machine-evaluable result that records why a branch is valid, fragile, blocked, or invalid and gates its status.</w:t>
            </w:r>
          </w:p>
        </w:tc>
      </w:tr>
      <w:tr>
        <w:tc>
          <w:tcPr>
            <w:tcW w:type="dxa" w:w="2592"/>
            <w:tcMar>
              <w:top w:w="80" w:type="dxa"/>
              <w:start w:w="80" w:type="dxa"/>
              <w:bottom w:w="80" w:type="dxa"/>
              <w:end w:w="80" w:type="dxa"/>
            </w:tcMar>
            <w:vAlign w:val="top"/>
          </w:tcPr>
          <w:p>
            <w:pPr>
              <w:spacing w:after="0"/>
            </w:pPr>
            <w:r>
              <w:rPr>
                <w:sz w:val="16"/>
              </w:rPr>
              <w:t>Viability condition</w:t>
            </w:r>
          </w:p>
        </w:tc>
        <w:tc>
          <w:tcPr>
            <w:tcW w:type="dxa" w:w="7200"/>
            <w:tcMar>
              <w:top w:w="80" w:type="dxa"/>
              <w:start w:w="80" w:type="dxa"/>
              <w:bottom w:w="80" w:type="dxa"/>
              <w:end w:w="80" w:type="dxa"/>
            </w:tcMar>
            <w:vAlign w:val="top"/>
          </w:tcPr>
          <w:p>
            <w:pPr>
              <w:spacing w:after="0"/>
            </w:pPr>
            <w:r>
              <w:rPr>
                <w:sz w:val="16"/>
              </w:rPr>
              <w:t>Revisioned fact, policy, authority state, capacity condition, dependency, envelope, waiver, or external availability used by the certificate.</w:t>
            </w:r>
          </w:p>
        </w:tc>
      </w:tr>
      <w:tr>
        <w:tc>
          <w:tcPr>
            <w:tcW w:type="dxa" w:w="2592"/>
            <w:tcMar>
              <w:top w:w="80" w:type="dxa"/>
              <w:start w:w="80" w:type="dxa"/>
              <w:bottom w:w="80" w:type="dxa"/>
              <w:end w:w="80" w:type="dxa"/>
            </w:tcMar>
            <w:vAlign w:val="top"/>
          </w:tcPr>
          <w:p>
            <w:pPr>
              <w:spacing w:after="0"/>
            </w:pPr>
            <w:r>
              <w:rPr>
                <w:sz w:val="16"/>
              </w:rPr>
              <w:t>Dependency index</w:t>
            </w:r>
          </w:p>
        </w:tc>
        <w:tc>
          <w:tcPr>
            <w:tcW w:type="dxa" w:w="7200"/>
            <w:tcMar>
              <w:top w:w="80" w:type="dxa"/>
              <w:start w:w="80" w:type="dxa"/>
              <w:bottom w:w="80" w:type="dxa"/>
              <w:end w:w="80" w:type="dxa"/>
            </w:tcMar>
            <w:vAlign w:val="top"/>
          </w:tcPr>
          <w:p>
            <w:pPr>
              <w:spacing w:after="0"/>
            </w:pPr>
            <w:r>
              <w:rPr>
                <w:sz w:val="16"/>
              </w:rPr>
              <w:t>Typed mapping from revisioned conditions to certificate components and branch delta operations.</w:t>
            </w:r>
          </w:p>
        </w:tc>
      </w:tr>
      <w:tr>
        <w:tc>
          <w:tcPr>
            <w:tcW w:type="dxa" w:w="2592"/>
            <w:tcMar>
              <w:top w:w="80" w:type="dxa"/>
              <w:start w:w="80" w:type="dxa"/>
              <w:bottom w:w="80" w:type="dxa"/>
              <w:end w:w="80" w:type="dxa"/>
            </w:tcMar>
            <w:vAlign w:val="top"/>
          </w:tcPr>
          <w:p>
            <w:pPr>
              <w:spacing w:after="0"/>
            </w:pPr>
            <w:r>
              <w:rPr>
                <w:sz w:val="16"/>
              </w:rPr>
              <w:t>Impact cone</w:t>
            </w:r>
          </w:p>
        </w:tc>
        <w:tc>
          <w:tcPr>
            <w:tcW w:type="dxa" w:w="7200"/>
            <w:tcMar>
              <w:top w:w="80" w:type="dxa"/>
              <w:start w:w="80" w:type="dxa"/>
              <w:bottom w:w="80" w:type="dxa"/>
              <w:end w:w="80" w:type="dxa"/>
            </w:tcMar>
            <w:vAlign w:val="top"/>
          </w:tcPr>
          <w:p>
            <w:pPr>
              <w:spacing w:after="0"/>
            </w:pPr>
            <w:r>
              <w:rPr>
                <w:sz w:val="16"/>
              </w:rPr>
              <w:t>The causally dependent subset reached from a revision event.</w:t>
            </w:r>
          </w:p>
        </w:tc>
      </w:tr>
      <w:tr>
        <w:tc>
          <w:tcPr>
            <w:tcW w:type="dxa" w:w="2592"/>
            <w:tcMar>
              <w:top w:w="80" w:type="dxa"/>
              <w:start w:w="80" w:type="dxa"/>
              <w:bottom w:w="80" w:type="dxa"/>
              <w:end w:w="80" w:type="dxa"/>
            </w:tcMar>
            <w:vAlign w:val="top"/>
          </w:tcPr>
          <w:p>
            <w:pPr>
              <w:spacing w:after="0"/>
            </w:pPr>
            <w:r>
              <w:rPr>
                <w:sz w:val="16"/>
              </w:rPr>
              <w:t>Contingency policy</w:t>
            </w:r>
          </w:p>
        </w:tc>
        <w:tc>
          <w:tcPr>
            <w:tcW w:type="dxa" w:w="7200"/>
            <w:tcMar>
              <w:top w:w="80" w:type="dxa"/>
              <w:start w:w="80" w:type="dxa"/>
              <w:bottom w:w="80" w:type="dxa"/>
              <w:end w:w="80" w:type="dxa"/>
            </w:tcMar>
            <w:vAlign w:val="top"/>
          </w:tcPr>
          <w:p>
            <w:pPr>
              <w:spacing w:after="0"/>
            </w:pPr>
            <w:r>
              <w:rPr>
                <w:sz w:val="16"/>
              </w:rPr>
              <w:t>Lightweight trigger and correction policy used to materialize a full candidate against current state.</w:t>
            </w:r>
          </w:p>
        </w:tc>
      </w:tr>
      <w:tr>
        <w:tc>
          <w:tcPr>
            <w:tcW w:type="dxa" w:w="2592"/>
            <w:tcMar>
              <w:top w:w="80" w:type="dxa"/>
              <w:start w:w="80" w:type="dxa"/>
              <w:bottom w:w="80" w:type="dxa"/>
              <w:end w:w="80" w:type="dxa"/>
            </w:tcMar>
            <w:vAlign w:val="top"/>
          </w:tcPr>
          <w:p>
            <w:pPr>
              <w:spacing w:after="0"/>
            </w:pPr>
            <w:r>
              <w:rPr>
                <w:sz w:val="16"/>
              </w:rPr>
              <w:t>Conflict core</w:t>
            </w:r>
          </w:p>
        </w:tc>
        <w:tc>
          <w:tcPr>
            <w:tcW w:type="dxa" w:w="7200"/>
            <w:tcMar>
              <w:top w:w="80" w:type="dxa"/>
              <w:start w:w="80" w:type="dxa"/>
              <w:bottom w:w="80" w:type="dxa"/>
              <w:end w:w="80" w:type="dxa"/>
            </w:tcMar>
            <w:vAlign w:val="top"/>
          </w:tcPr>
          <w:p>
            <w:pPr>
              <w:spacing w:after="0"/>
            </w:pPr>
            <w:r>
              <w:rPr>
                <w:sz w:val="16"/>
              </w:rPr>
              <w:t>A sufficient, irreducible, or proven-minimal set of jointly conflicting conditions.</w:t>
            </w:r>
          </w:p>
        </w:tc>
      </w:tr>
      <w:tr>
        <w:tc>
          <w:tcPr>
            <w:tcW w:type="dxa" w:w="2592"/>
            <w:tcMar>
              <w:top w:w="80" w:type="dxa"/>
              <w:start w:w="80" w:type="dxa"/>
              <w:bottom w:w="80" w:type="dxa"/>
              <w:end w:w="80" w:type="dxa"/>
            </w:tcMar>
            <w:vAlign w:val="top"/>
          </w:tcPr>
          <w:p>
            <w:pPr>
              <w:spacing w:after="0"/>
            </w:pPr>
            <w:r>
              <w:rPr>
                <w:sz w:val="16"/>
              </w:rPr>
              <w:t>Correction set</w:t>
            </w:r>
          </w:p>
        </w:tc>
        <w:tc>
          <w:tcPr>
            <w:tcW w:type="dxa" w:w="7200"/>
            <w:tcMar>
              <w:top w:w="80" w:type="dxa"/>
              <w:start w:w="80" w:type="dxa"/>
              <w:bottom w:w="80" w:type="dxa"/>
              <w:end w:w="80" w:type="dxa"/>
            </w:tcMar>
            <w:vAlign w:val="top"/>
          </w:tcPr>
          <w:p>
            <w:pPr>
              <w:spacing w:after="0"/>
            </w:pPr>
            <w:r>
              <w:rPr>
                <w:sz w:val="16"/>
              </w:rPr>
              <w:t>A bounded set of relaxations, substitutions, waivers, or state changes that may restore certification.</w:t>
            </w:r>
          </w:p>
        </w:tc>
      </w:tr>
      <w:tr>
        <w:tc>
          <w:tcPr>
            <w:tcW w:type="dxa" w:w="2592"/>
            <w:tcMar>
              <w:top w:w="80" w:type="dxa"/>
              <w:start w:w="80" w:type="dxa"/>
              <w:bottom w:w="80" w:type="dxa"/>
              <w:end w:w="80" w:type="dxa"/>
            </w:tcMar>
            <w:vAlign w:val="top"/>
          </w:tcPr>
          <w:p>
            <w:pPr>
              <w:spacing w:after="0"/>
            </w:pPr>
            <w:r>
              <w:rPr>
                <w:sz w:val="16"/>
              </w:rPr>
              <w:t>Branch promotion</w:t>
            </w:r>
          </w:p>
        </w:tc>
        <w:tc>
          <w:tcPr>
            <w:tcW w:type="dxa" w:w="7200"/>
            <w:tcMar>
              <w:top w:w="80" w:type="dxa"/>
              <w:start w:w="80" w:type="dxa"/>
              <w:bottom w:w="80" w:type="dxa"/>
              <w:end w:w="80" w:type="dxa"/>
            </w:tcMar>
            <w:vAlign w:val="top"/>
          </w:tcPr>
          <w:p>
            <w:pPr>
              <w:spacing w:after="0"/>
            </w:pPr>
            <w:r>
              <w:rPr>
                <w:sz w:val="16"/>
              </w:rPr>
              <w:t>Parent semantic transaction that commits a selected branch and its lineage.</w:t>
            </w:r>
          </w:p>
        </w:tc>
      </w:tr>
      <w:tr>
        <w:tc>
          <w:tcPr>
            <w:tcW w:type="dxa" w:w="2592"/>
            <w:tcMar>
              <w:top w:w="80" w:type="dxa"/>
              <w:start w:w="80" w:type="dxa"/>
              <w:bottom w:w="80" w:type="dxa"/>
              <w:end w:w="80" w:type="dxa"/>
            </w:tcMar>
            <w:vAlign w:val="top"/>
          </w:tcPr>
          <w:p>
            <w:pPr>
              <w:spacing w:after="0"/>
            </w:pPr>
            <w:r>
              <w:rPr>
                <w:sz w:val="16"/>
              </w:rPr>
              <w:t>Active-local</w:t>
            </w:r>
          </w:p>
        </w:tc>
        <w:tc>
          <w:tcPr>
            <w:tcW w:type="dxa" w:w="7200"/>
            <w:tcMar>
              <w:top w:w="80" w:type="dxa"/>
              <w:start w:w="80" w:type="dxa"/>
              <w:bottom w:w="80" w:type="dxa"/>
              <w:end w:w="80" w:type="dxa"/>
            </w:tcMar>
            <w:vAlign w:val="top"/>
          </w:tcPr>
          <w:p>
            <w:pPr>
              <w:spacing w:after="0"/>
            </w:pPr>
            <w:r>
              <w:rPr>
                <w:sz w:val="16"/>
              </w:rPr>
              <w:t>User-owned effects are committed, while branch-defining recipient or external effects remain unresolved.</w:t>
            </w:r>
          </w:p>
        </w:tc>
      </w:tr>
    </w:tbl>
    <w:p>
      <w:pPr>
        <w:spacing w:after="0"/>
      </w:pPr>
    </w:p>
    <w:p>
      <w:pPr>
        <w:pStyle w:val="Heading1"/>
        <w:keepNext/>
      </w:pPr>
      <w:r>
        <w:t>5. System architecture</w:t>
      </w:r>
    </w:p>
    <w:p>
      <w:pPr>
        <w:pStyle w:val="Heading2"/>
        <w:keepNext/>
      </w:pPr>
      <w:r>
        <w:t>5.1 Logical components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24D"/>
            <w:tcMar>
              <w:top w:w="80" w:type="dxa"/>
              <w:start w:w="80" w:type="dxa"/>
              <w:bottom w:w="80" w:type="dxa"/>
              <w:end w:w="80" w:type="dxa"/>
            </w:tcMar>
            <w:vAlign w:val="center"/>
          </w:tcPr>
          <w:p>
            <w:pPr>
              <w:jc w:val="center"/>
            </w:pPr>
            <w:r>
              <w:rPr>
                <w:b/>
                <w:color w:val="FFFFFF"/>
                <w:sz w:val="16"/>
              </w:rPr>
              <w:t>Component</w:t>
            </w:r>
          </w:p>
        </w:tc>
        <w:tc>
          <w:tcPr>
            <w:tcW w:type="dxa" w:w="7200"/>
            <w:shd w:fill="17324D"/>
            <w:tcMar>
              <w:top w:w="80" w:type="dxa"/>
              <w:start w:w="80" w:type="dxa"/>
              <w:bottom w:w="80" w:type="dxa"/>
              <w:end w:w="80" w:type="dxa"/>
            </w:tcMar>
            <w:vAlign w:val="center"/>
          </w:tcPr>
          <w:p>
            <w:pPr>
              <w:jc w:val="center"/>
            </w:pPr>
            <w:r>
              <w:rPr>
                <w:b/>
                <w:color w:val="FFFFFF"/>
                <w:sz w:val="16"/>
              </w:rPr>
              <w:t>Responsibility</w:t>
            </w:r>
          </w:p>
        </w:tc>
      </w:tr>
      <w:tr>
        <w:tc>
          <w:tcPr>
            <w:tcW w:type="dxa" w:w="2592"/>
            <w:tcMar>
              <w:top w:w="80" w:type="dxa"/>
              <w:start w:w="80" w:type="dxa"/>
              <w:bottom w:w="80" w:type="dxa"/>
              <w:end w:w="80" w:type="dxa"/>
            </w:tcMar>
            <w:vAlign w:val="top"/>
          </w:tcPr>
          <w:p>
            <w:pPr>
              <w:spacing w:after="0"/>
            </w:pPr>
            <w:r>
              <w:rPr>
                <w:sz w:val="16"/>
              </w:rPr>
              <w:t>Active Branch Store</w:t>
            </w:r>
          </w:p>
        </w:tc>
        <w:tc>
          <w:tcPr>
            <w:tcW w:type="dxa" w:w="7200"/>
            <w:tcMar>
              <w:top w:w="80" w:type="dxa"/>
              <w:start w:w="80" w:type="dxa"/>
              <w:bottom w:w="80" w:type="dxa"/>
              <w:end w:w="80" w:type="dxa"/>
            </w:tcMar>
            <w:vAlign w:val="top"/>
          </w:tcPr>
          <w:p>
            <w:pPr>
              <w:spacing w:after="0"/>
            </w:pPr>
            <w:r>
              <w:rPr>
                <w:sz w:val="16"/>
              </w:rPr>
              <w:t>Holds branch identity, base revision, typed delta, certificate reference, status, and lineage.</w:t>
            </w:r>
          </w:p>
        </w:tc>
      </w:tr>
      <w:tr>
        <w:tc>
          <w:tcPr>
            <w:tcW w:type="dxa" w:w="2592"/>
            <w:tcMar>
              <w:top w:w="80" w:type="dxa"/>
              <w:start w:w="80" w:type="dxa"/>
              <w:bottom w:w="80" w:type="dxa"/>
              <w:end w:w="80" w:type="dxa"/>
            </w:tcMar>
            <w:vAlign w:val="top"/>
          </w:tcPr>
          <w:p>
            <w:pPr>
              <w:spacing w:after="0"/>
            </w:pPr>
            <w:r>
              <w:rPr>
                <w:sz w:val="16"/>
              </w:rPr>
              <w:t>Certificate Engine</w:t>
            </w:r>
          </w:p>
        </w:tc>
        <w:tc>
          <w:tcPr>
            <w:tcW w:type="dxa" w:w="7200"/>
            <w:tcMar>
              <w:top w:w="80" w:type="dxa"/>
              <w:start w:w="80" w:type="dxa"/>
              <w:bottom w:w="80" w:type="dxa"/>
              <w:end w:w="80" w:type="dxa"/>
            </w:tcMar>
            <w:vAlign w:val="top"/>
          </w:tcPr>
          <w:p>
            <w:pPr>
              <w:spacing w:after="0"/>
            </w:pPr>
            <w:r>
              <w:rPr>
                <w:sz w:val="16"/>
              </w:rPr>
              <w:t>Builds and incrementally replaces operational certificates.</w:t>
            </w:r>
          </w:p>
        </w:tc>
      </w:tr>
      <w:tr>
        <w:tc>
          <w:tcPr>
            <w:tcW w:type="dxa" w:w="2592"/>
            <w:tcMar>
              <w:top w:w="80" w:type="dxa"/>
              <w:start w:w="80" w:type="dxa"/>
              <w:bottom w:w="80" w:type="dxa"/>
              <w:end w:w="80" w:type="dxa"/>
            </w:tcMar>
            <w:vAlign w:val="top"/>
          </w:tcPr>
          <w:p>
            <w:pPr>
              <w:spacing w:after="0"/>
            </w:pPr>
            <w:r>
              <w:rPr>
                <w:sz w:val="16"/>
              </w:rPr>
              <w:t>Dependency Index</w:t>
            </w:r>
          </w:p>
        </w:tc>
        <w:tc>
          <w:tcPr>
            <w:tcW w:type="dxa" w:w="7200"/>
            <w:tcMar>
              <w:top w:w="80" w:type="dxa"/>
              <w:start w:w="80" w:type="dxa"/>
              <w:bottom w:w="80" w:type="dxa"/>
              <w:end w:w="80" w:type="dxa"/>
            </w:tcMar>
            <w:vAlign w:val="top"/>
          </w:tcPr>
          <w:p>
            <w:pPr>
              <w:spacing w:after="0"/>
            </w:pPr>
            <w:r>
              <w:rPr>
                <w:sz w:val="16"/>
              </w:rPr>
              <w:t>Maps changed source revisions to affected certificate components and delta operations.</w:t>
            </w:r>
          </w:p>
        </w:tc>
      </w:tr>
      <w:tr>
        <w:tc>
          <w:tcPr>
            <w:tcW w:type="dxa" w:w="2592"/>
            <w:tcMar>
              <w:top w:w="80" w:type="dxa"/>
              <w:start w:w="80" w:type="dxa"/>
              <w:bottom w:w="80" w:type="dxa"/>
              <w:end w:w="80" w:type="dxa"/>
            </w:tcMar>
            <w:vAlign w:val="top"/>
          </w:tcPr>
          <w:p>
            <w:pPr>
              <w:spacing w:after="0"/>
            </w:pPr>
            <w:r>
              <w:rPr>
                <w:sz w:val="16"/>
              </w:rPr>
              <w:t>Impact-Cone Service</w:t>
            </w:r>
          </w:p>
        </w:tc>
        <w:tc>
          <w:tcPr>
            <w:tcW w:type="dxa" w:w="7200"/>
            <w:tcMar>
              <w:top w:w="80" w:type="dxa"/>
              <w:start w:w="80" w:type="dxa"/>
              <w:bottom w:w="80" w:type="dxa"/>
              <w:end w:w="80" w:type="dxa"/>
            </w:tcMar>
            <w:vAlign w:val="top"/>
          </w:tcPr>
          <w:p>
            <w:pPr>
              <w:spacing w:after="0"/>
            </w:pPr>
            <w:r>
              <w:rPr>
                <w:sz w:val="16"/>
              </w:rPr>
              <w:t>Performs stable causal traversal and bounded cycle handling.</w:t>
            </w:r>
          </w:p>
        </w:tc>
      </w:tr>
      <w:tr>
        <w:tc>
          <w:tcPr>
            <w:tcW w:type="dxa" w:w="2592"/>
            <w:tcMar>
              <w:top w:w="80" w:type="dxa"/>
              <w:start w:w="80" w:type="dxa"/>
              <w:bottom w:w="80" w:type="dxa"/>
              <w:end w:w="80" w:type="dxa"/>
            </w:tcMar>
            <w:vAlign w:val="top"/>
          </w:tcPr>
          <w:p>
            <w:pPr>
              <w:spacing w:after="0"/>
            </w:pPr>
            <w:r>
              <w:rPr>
                <w:sz w:val="16"/>
              </w:rPr>
              <w:t>Conflict-Core Service</w:t>
            </w:r>
          </w:p>
        </w:tc>
        <w:tc>
          <w:tcPr>
            <w:tcW w:type="dxa" w:w="7200"/>
            <w:tcMar>
              <w:top w:w="80" w:type="dxa"/>
              <w:start w:w="80" w:type="dxa"/>
              <w:bottom w:w="80" w:type="dxa"/>
              <w:end w:w="80" w:type="dxa"/>
            </w:tcMar>
            <w:vAlign w:val="top"/>
          </w:tcPr>
          <w:p>
            <w:pPr>
              <w:spacing w:after="0"/>
            </w:pPr>
            <w:r>
              <w:rPr>
                <w:sz w:val="16"/>
              </w:rPr>
              <w:t>Identifies sufficient or minimal conflicting conditions.</w:t>
            </w:r>
          </w:p>
        </w:tc>
      </w:tr>
      <w:tr>
        <w:tc>
          <w:tcPr>
            <w:tcW w:type="dxa" w:w="2592"/>
            <w:tcMar>
              <w:top w:w="80" w:type="dxa"/>
              <w:start w:w="80" w:type="dxa"/>
              <w:bottom w:w="80" w:type="dxa"/>
              <w:end w:w="80" w:type="dxa"/>
            </w:tcMar>
            <w:vAlign w:val="top"/>
          </w:tcPr>
          <w:p>
            <w:pPr>
              <w:spacing w:after="0"/>
            </w:pPr>
            <w:r>
              <w:rPr>
                <w:sz w:val="16"/>
              </w:rPr>
              <w:t>Correction-Set Generator</w:t>
            </w:r>
          </w:p>
        </w:tc>
        <w:tc>
          <w:tcPr>
            <w:tcW w:type="dxa" w:w="7200"/>
            <w:tcMar>
              <w:top w:w="80" w:type="dxa"/>
              <w:start w:w="80" w:type="dxa"/>
              <w:bottom w:w="80" w:type="dxa"/>
              <w:end w:w="80" w:type="dxa"/>
            </w:tcMar>
            <w:vAlign w:val="top"/>
          </w:tcPr>
          <w:p>
            <w:pPr>
              <w:spacing w:after="0"/>
            </w:pPr>
            <w:r>
              <w:rPr>
                <w:sz w:val="16"/>
              </w:rPr>
              <w:t>Produces policy-distinct repair families under fixed and relaxable conditions.</w:t>
            </w:r>
          </w:p>
        </w:tc>
      </w:tr>
      <w:tr>
        <w:tc>
          <w:tcPr>
            <w:tcW w:type="dxa" w:w="2592"/>
            <w:tcMar>
              <w:top w:w="80" w:type="dxa"/>
              <w:start w:w="80" w:type="dxa"/>
              <w:bottom w:w="80" w:type="dxa"/>
              <w:end w:w="80" w:type="dxa"/>
            </w:tcMar>
            <w:vAlign w:val="top"/>
          </w:tcPr>
          <w:p>
            <w:pPr>
              <w:spacing w:after="0"/>
            </w:pPr>
            <w:r>
              <w:rPr>
                <w:sz w:val="16"/>
              </w:rPr>
              <w:t>Candidate Materializer</w:t>
            </w:r>
          </w:p>
        </w:tc>
        <w:tc>
          <w:tcPr>
            <w:tcW w:type="dxa" w:w="7200"/>
            <w:tcMar>
              <w:top w:w="80" w:type="dxa"/>
              <w:start w:w="80" w:type="dxa"/>
              <w:bottom w:w="80" w:type="dxa"/>
              <w:end w:w="80" w:type="dxa"/>
            </w:tcMar>
            <w:vAlign w:val="top"/>
          </w:tcPr>
          <w:p>
            <w:pPr>
              <w:spacing w:after="0"/>
            </w:pPr>
            <w:r>
              <w:rPr>
                <w:sz w:val="16"/>
              </w:rPr>
              <w:t>Compiles correction sets into complete candidate branch deltas.</w:t>
            </w:r>
          </w:p>
        </w:tc>
      </w:tr>
      <w:tr>
        <w:tc>
          <w:tcPr>
            <w:tcW w:type="dxa" w:w="2592"/>
            <w:tcMar>
              <w:top w:w="80" w:type="dxa"/>
              <w:start w:w="80" w:type="dxa"/>
              <w:bottom w:w="80" w:type="dxa"/>
              <w:end w:w="80" w:type="dxa"/>
            </w:tcMar>
            <w:vAlign w:val="top"/>
          </w:tcPr>
          <w:p>
            <w:pPr>
              <w:spacing w:after="0"/>
            </w:pPr>
            <w:r>
              <w:rPr>
                <w:sz w:val="16"/>
              </w:rPr>
              <w:t>Semantic Deduplicator</w:t>
            </w:r>
          </w:p>
        </w:tc>
        <w:tc>
          <w:tcPr>
            <w:tcW w:type="dxa" w:w="7200"/>
            <w:tcMar>
              <w:top w:w="80" w:type="dxa"/>
              <w:start w:w="80" w:type="dxa"/>
              <w:bottom w:w="80" w:type="dxa"/>
              <w:end w:w="80" w:type="dxa"/>
            </w:tcMar>
            <w:vAlign w:val="top"/>
          </w:tcPr>
          <w:p>
            <w:pPr>
              <w:spacing w:after="0"/>
            </w:pPr>
            <w:r>
              <w:rPr>
                <w:sz w:val="16"/>
              </w:rPr>
              <w:t>Removes timeslot-only or consequence-equivalent alternatives.</w:t>
            </w:r>
          </w:p>
        </w:tc>
      </w:tr>
      <w:tr>
        <w:tc>
          <w:tcPr>
            <w:tcW w:type="dxa" w:w="2592"/>
            <w:tcMar>
              <w:top w:w="80" w:type="dxa"/>
              <w:start w:w="80" w:type="dxa"/>
              <w:bottom w:w="80" w:type="dxa"/>
              <w:end w:w="80" w:type="dxa"/>
            </w:tcMar>
            <w:vAlign w:val="top"/>
          </w:tcPr>
          <w:p>
            <w:pPr>
              <w:spacing w:after="0"/>
            </w:pPr>
            <w:r>
              <w:rPr>
                <w:sz w:val="16"/>
              </w:rPr>
              <w:t>Recommendation Policy</w:t>
            </w:r>
          </w:p>
        </w:tc>
        <w:tc>
          <w:tcPr>
            <w:tcW w:type="dxa" w:w="7200"/>
            <w:tcMar>
              <w:top w:w="80" w:type="dxa"/>
              <w:start w:w="80" w:type="dxa"/>
              <w:bottom w:w="80" w:type="dxa"/>
              <w:end w:w="80" w:type="dxa"/>
            </w:tcMar>
            <w:vAlign w:val="top"/>
          </w:tcPr>
          <w:p>
            <w:pPr>
              <w:spacing w:after="0"/>
            </w:pPr>
            <w:r>
              <w:rPr>
                <w:sz w:val="16"/>
              </w:rPr>
              <w:t>Orders candidates lexicographically and emits selected/rejected reasons.</w:t>
            </w:r>
          </w:p>
        </w:tc>
      </w:tr>
      <w:tr>
        <w:tc>
          <w:tcPr>
            <w:tcW w:type="dxa" w:w="2592"/>
            <w:tcMar>
              <w:top w:w="80" w:type="dxa"/>
              <w:start w:w="80" w:type="dxa"/>
              <w:bottom w:w="80" w:type="dxa"/>
              <w:end w:w="80" w:type="dxa"/>
            </w:tcMar>
            <w:vAlign w:val="top"/>
          </w:tcPr>
          <w:p>
            <w:pPr>
              <w:spacing w:after="0"/>
            </w:pPr>
            <w:r>
              <w:rPr>
                <w:sz w:val="16"/>
              </w:rPr>
              <w:t>Promotion Coordinator</w:t>
            </w:r>
          </w:p>
        </w:tc>
        <w:tc>
          <w:tcPr>
            <w:tcW w:type="dxa" w:w="7200"/>
            <w:tcMar>
              <w:top w:w="80" w:type="dxa"/>
              <w:start w:w="80" w:type="dxa"/>
              <w:bottom w:w="80" w:type="dxa"/>
              <w:end w:w="80" w:type="dxa"/>
            </w:tcMar>
            <w:vAlign w:val="top"/>
          </w:tcPr>
          <w:p>
            <w:pPr>
              <w:spacing w:after="0"/>
            </w:pPr>
            <w:r>
              <w:rPr>
                <w:sz w:val="16"/>
              </w:rPr>
              <w:t>Revalidates and commits one parent transaction with child proposals/outbox intents.</w:t>
            </w:r>
          </w:p>
        </w:tc>
      </w:tr>
      <w:tr>
        <w:tc>
          <w:tcPr>
            <w:tcW w:type="dxa" w:w="2592"/>
            <w:tcMar>
              <w:top w:w="80" w:type="dxa"/>
              <w:start w:w="80" w:type="dxa"/>
              <w:bottom w:w="80" w:type="dxa"/>
              <w:end w:w="80" w:type="dxa"/>
            </w:tcMar>
            <w:vAlign w:val="top"/>
          </w:tcPr>
          <w:p>
            <w:pPr>
              <w:spacing w:after="0"/>
            </w:pPr>
            <w:r>
              <w:rPr>
                <w:sz w:val="16"/>
              </w:rPr>
              <w:t>Inspection Projections</w:t>
            </w:r>
          </w:p>
        </w:tc>
        <w:tc>
          <w:tcPr>
            <w:tcW w:type="dxa" w:w="7200"/>
            <w:tcMar>
              <w:top w:w="80" w:type="dxa"/>
              <w:start w:w="80" w:type="dxa"/>
              <w:bottom w:w="80" w:type="dxa"/>
              <w:end w:w="80" w:type="dxa"/>
            </w:tcMar>
            <w:vAlign w:val="top"/>
          </w:tcPr>
          <w:p>
            <w:pPr>
              <w:spacing w:after="0"/>
            </w:pPr>
            <w:r>
              <w:rPr>
                <w:sz w:val="16"/>
              </w:rPr>
              <w:t>Expose protects, sacrifices, assumptions, authority, review, Receipt, and lineage.</w:t>
            </w:r>
          </w:p>
        </w:tc>
      </w:tr>
    </w:tbl>
    <w:p>
      <w:pPr>
        <w:spacing w:after="0"/>
      </w:pPr>
    </w:p>
    <w:p>
      <w:pPr>
        <w:pStyle w:val="Heading2"/>
        <w:keepNext/>
      </w:pPr>
      <w:r>
        <w:t>5.2 Current canon ownership alignment</w:t>
      </w:r>
    </w:p>
    <w:p>
      <w:r>
        <w:t>The component boundaries must remain subordinate to current source owners: Planning and Scheduling own fit, candidate generation, and conflict evaluation; Commands and Transactions own mutation; EventJournal and State own durable authority; Projections and Inspection own derived views; Time, Today, Goals, and You present plain-language behavior. CEBR must not create a separate runtime or fifth root. [C2]-[C4]</w:t>
      </w:r>
    </w:p>
    <w:p>
      <w:pPr>
        <w:pStyle w:val="Heading2"/>
        <w:keepNext/>
      </w:pPr>
      <w:r>
        <w:t>5.3 Trust boundary</w:t>
      </w:r>
    </w:p>
    <w:p>
      <w:pPr>
        <w:pStyle w:val="ListBullet"/>
      </w:pPr>
      <w:r>
        <w:t>Generative models may propose structured policies, correction narratives, or explanations.</w:t>
      </w:r>
    </w:p>
    <w:p>
      <w:pPr>
        <w:pStyle w:val="ListBullet"/>
      </w:pPr>
      <w:r>
        <w:t>Deterministic code owns viability, certificate state, authority, materiality, delta compilation, promotion, replay, and rollback.</w:t>
      </w:r>
    </w:p>
    <w:p>
      <w:pPr>
        <w:pStyle w:val="ListBullet"/>
      </w:pPr>
      <w:r>
        <w:t>Candidate branches are side-effect-free until promotion.</w:t>
      </w:r>
    </w:p>
    <w:p>
      <w:pPr>
        <w:pStyle w:val="ListBullet"/>
      </w:pPr>
      <w:r>
        <w:t>Core behavior remains local and offline; private branch context is not sent to hosted AI.</w:t>
      </w:r>
    </w:p>
    <w:p>
      <w:pPr>
        <w:pStyle w:val="Heading1"/>
        <w:keepNext/>
      </w:pPr>
      <w:r>
        <w:t>6. Detailed data structures</w:t>
      </w:r>
    </w:p>
    <w:p>
      <w:pPr>
        <w:pStyle w:val="Heading2"/>
        <w:keepNext/>
      </w:pPr>
      <w:r>
        <w:t>6.1 LifeBranch</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tcMar>
              <w:top w:w="80" w:type="dxa"/>
              <w:start w:w="80" w:type="dxa"/>
              <w:bottom w:w="80" w:type="dxa"/>
              <w:end w:w="80" w:type="dxa"/>
            </w:tcMar>
            <w:vAlign w:val="center"/>
          </w:tcPr>
          <w:p>
            <w:pPr>
              <w:jc w:val="center"/>
            </w:pPr>
            <w:r>
              <w:rPr>
                <w:b/>
                <w:color w:val="FFFFFF"/>
                <w:sz w:val="16"/>
              </w:rPr>
              <w:t>Field</w:t>
            </w:r>
          </w:p>
        </w:tc>
        <w:tc>
          <w:tcPr>
            <w:tcW w:type="dxa" w:w="6912"/>
            <w:shd w:fill="17324D"/>
            <w:tcMar>
              <w:top w:w="80" w:type="dxa"/>
              <w:start w:w="80" w:type="dxa"/>
              <w:bottom w:w="80" w:type="dxa"/>
              <w:end w:w="80" w:type="dxa"/>
            </w:tcMar>
            <w:vAlign w:val="center"/>
          </w:tcPr>
          <w:p>
            <w:pPr>
              <w:jc w:val="center"/>
            </w:pPr>
            <w:r>
              <w:rPr>
                <w:b/>
                <w:color w:val="FFFFFF"/>
                <w:sz w:val="16"/>
              </w:rPr>
              <w:t>Purpose / constraint</w:t>
            </w:r>
          </w:p>
        </w:tc>
      </w:tr>
      <w:tr>
        <w:tc>
          <w:tcPr>
            <w:tcW w:type="dxa" w:w="2880"/>
            <w:tcMar>
              <w:top w:w="80" w:type="dxa"/>
              <w:start w:w="80" w:type="dxa"/>
              <w:bottom w:w="80" w:type="dxa"/>
              <w:end w:w="80" w:type="dxa"/>
            </w:tcMar>
            <w:vAlign w:val="top"/>
          </w:tcPr>
          <w:p>
            <w:pPr>
              <w:spacing w:after="0"/>
            </w:pPr>
            <w:r>
              <w:rPr>
                <w:sz w:val="16"/>
              </w:rPr>
              <w:t>id</w:t>
            </w:r>
          </w:p>
        </w:tc>
        <w:tc>
          <w:tcPr>
            <w:tcW w:type="dxa" w:w="6912"/>
            <w:tcMar>
              <w:top w:w="80" w:type="dxa"/>
              <w:start w:w="80" w:type="dxa"/>
              <w:bottom w:w="80" w:type="dxa"/>
              <w:end w:w="80" w:type="dxa"/>
            </w:tcMar>
            <w:vAlign w:val="top"/>
          </w:tcPr>
          <w:p>
            <w:pPr>
              <w:spacing w:after="0"/>
            </w:pPr>
            <w:r>
              <w:rPr>
                <w:sz w:val="16"/>
              </w:rPr>
              <w:t>Stable lifecycle identity.</w:t>
            </w:r>
          </w:p>
        </w:tc>
      </w:tr>
      <w:tr>
        <w:tc>
          <w:tcPr>
            <w:tcW w:type="dxa" w:w="2880"/>
            <w:tcMar>
              <w:top w:w="80" w:type="dxa"/>
              <w:start w:w="80" w:type="dxa"/>
              <w:bottom w:w="80" w:type="dxa"/>
              <w:end w:w="80" w:type="dxa"/>
            </w:tcMar>
            <w:vAlign w:val="top"/>
          </w:tcPr>
          <w:p>
            <w:pPr>
              <w:spacing w:after="0"/>
            </w:pPr>
            <w:r>
              <w:rPr>
                <w:sz w:val="16"/>
              </w:rPr>
              <w:t>parentBranchID</w:t>
            </w:r>
          </w:p>
        </w:tc>
        <w:tc>
          <w:tcPr>
            <w:tcW w:type="dxa" w:w="6912"/>
            <w:tcMar>
              <w:top w:w="80" w:type="dxa"/>
              <w:start w:w="80" w:type="dxa"/>
              <w:bottom w:w="80" w:type="dxa"/>
              <w:end w:w="80" w:type="dxa"/>
            </w:tcMar>
            <w:vAlign w:val="top"/>
          </w:tcPr>
          <w:p>
            <w:pPr>
              <w:spacing w:after="0"/>
            </w:pPr>
            <w:r>
              <w:rPr>
                <w:sz w:val="16"/>
              </w:rPr>
              <w:t>Prior branch or source candidate identity.</w:t>
            </w:r>
          </w:p>
        </w:tc>
      </w:tr>
      <w:tr>
        <w:tc>
          <w:tcPr>
            <w:tcW w:type="dxa" w:w="2880"/>
            <w:tcMar>
              <w:top w:w="80" w:type="dxa"/>
              <w:start w:w="80" w:type="dxa"/>
              <w:bottom w:w="80" w:type="dxa"/>
              <w:end w:w="80" w:type="dxa"/>
            </w:tcMar>
            <w:vAlign w:val="top"/>
          </w:tcPr>
          <w:p>
            <w:pPr>
              <w:spacing w:after="0"/>
            </w:pPr>
            <w:r>
              <w:rPr>
                <w:sz w:val="16"/>
              </w:rPr>
              <w:t>baseGraphRevision</w:t>
            </w:r>
          </w:p>
        </w:tc>
        <w:tc>
          <w:tcPr>
            <w:tcW w:type="dxa" w:w="6912"/>
            <w:tcMar>
              <w:top w:w="80" w:type="dxa"/>
              <w:start w:w="80" w:type="dxa"/>
              <w:bottom w:w="80" w:type="dxa"/>
              <w:end w:w="80" w:type="dxa"/>
            </w:tcMar>
            <w:vAlign w:val="top"/>
          </w:tcPr>
          <w:p>
            <w:pPr>
              <w:spacing w:after="0"/>
            </w:pPr>
            <w:r>
              <w:rPr>
                <w:sz w:val="16"/>
              </w:rPr>
              <w:t>Canonical revision against which the delta was compiled.</w:t>
            </w:r>
          </w:p>
        </w:tc>
      </w:tr>
      <w:tr>
        <w:tc>
          <w:tcPr>
            <w:tcW w:type="dxa" w:w="2880"/>
            <w:tcMar>
              <w:top w:w="80" w:type="dxa"/>
              <w:start w:w="80" w:type="dxa"/>
              <w:bottom w:w="80" w:type="dxa"/>
              <w:end w:w="80" w:type="dxa"/>
            </w:tcMar>
            <w:vAlign w:val="top"/>
          </w:tcPr>
          <w:p>
            <w:pPr>
              <w:spacing w:after="0"/>
            </w:pPr>
            <w:r>
              <w:rPr>
                <w:sz w:val="16"/>
              </w:rPr>
              <w:t>horizon</w:t>
            </w:r>
          </w:p>
        </w:tc>
        <w:tc>
          <w:tcPr>
            <w:tcW w:type="dxa" w:w="6912"/>
            <w:tcMar>
              <w:top w:w="80" w:type="dxa"/>
              <w:start w:w="80" w:type="dxa"/>
              <w:bottom w:w="80" w:type="dxa"/>
              <w:end w:w="80" w:type="dxa"/>
            </w:tcMar>
            <w:vAlign w:val="top"/>
          </w:tcPr>
          <w:p>
            <w:pPr>
              <w:spacing w:after="0"/>
            </w:pPr>
            <w:r>
              <w:rPr>
                <w:sz w:val="16"/>
              </w:rPr>
              <w:t>Bounded prospective time range.</w:t>
            </w:r>
          </w:p>
        </w:tc>
      </w:tr>
      <w:tr>
        <w:tc>
          <w:tcPr>
            <w:tcW w:type="dxa" w:w="2880"/>
            <w:tcMar>
              <w:top w:w="80" w:type="dxa"/>
              <w:start w:w="80" w:type="dxa"/>
              <w:bottom w:w="80" w:type="dxa"/>
              <w:end w:w="80" w:type="dxa"/>
            </w:tcMar>
            <w:vAlign w:val="top"/>
          </w:tcPr>
          <w:p>
            <w:pPr>
              <w:spacing w:after="0"/>
            </w:pPr>
            <w:r>
              <w:rPr>
                <w:sz w:val="16"/>
              </w:rPr>
              <w:t>trigger</w:t>
            </w:r>
          </w:p>
        </w:tc>
        <w:tc>
          <w:tcPr>
            <w:tcW w:type="dxa" w:w="6912"/>
            <w:tcMar>
              <w:top w:w="80" w:type="dxa"/>
              <w:start w:w="80" w:type="dxa"/>
              <w:bottom w:w="80" w:type="dxa"/>
              <w:end w:w="80" w:type="dxa"/>
            </w:tcMar>
            <w:vAlign w:val="top"/>
          </w:tcPr>
          <w:p>
            <w:pPr>
              <w:spacing w:after="0"/>
            </w:pPr>
            <w:r>
              <w:rPr>
                <w:sz w:val="16"/>
              </w:rPr>
              <w:t>Explicit request, confirmed event, breach, predicted breach, amendment, or review.</w:t>
            </w:r>
          </w:p>
        </w:tc>
      </w:tr>
      <w:tr>
        <w:tc>
          <w:tcPr>
            <w:tcW w:type="dxa" w:w="2880"/>
            <w:tcMar>
              <w:top w:w="80" w:type="dxa"/>
              <w:start w:w="80" w:type="dxa"/>
              <w:bottom w:w="80" w:type="dxa"/>
              <w:end w:w="80" w:type="dxa"/>
            </w:tcMar>
            <w:vAlign w:val="top"/>
          </w:tcPr>
          <w:p>
            <w:pPr>
              <w:spacing w:after="0"/>
            </w:pPr>
            <w:r>
              <w:rPr>
                <w:sz w:val="16"/>
              </w:rPr>
              <w:t>policyFamily</w:t>
            </w:r>
          </w:p>
        </w:tc>
        <w:tc>
          <w:tcPr>
            <w:tcW w:type="dxa" w:w="6912"/>
            <w:tcMar>
              <w:top w:w="80" w:type="dxa"/>
              <w:start w:w="80" w:type="dxa"/>
              <w:bottom w:w="80" w:type="dxa"/>
              <w:end w:w="80" w:type="dxa"/>
            </w:tcMar>
            <w:vAlign w:val="top"/>
          </w:tcPr>
          <w:p>
            <w:pPr>
              <w:spacing w:after="0"/>
            </w:pPr>
            <w:r>
              <w:rPr>
                <w:sz w:val="16"/>
              </w:rPr>
              <w:t>Preserve continuity, concentrate temporarily, reduce/defer, or no honest fit.</w:t>
            </w:r>
          </w:p>
        </w:tc>
      </w:tr>
      <w:tr>
        <w:tc>
          <w:tcPr>
            <w:tcW w:type="dxa" w:w="2880"/>
            <w:tcMar>
              <w:top w:w="80" w:type="dxa"/>
              <w:start w:w="80" w:type="dxa"/>
              <w:bottom w:w="80" w:type="dxa"/>
              <w:end w:w="80" w:type="dxa"/>
            </w:tcMar>
            <w:vAlign w:val="top"/>
          </w:tcPr>
          <w:p>
            <w:pPr>
              <w:spacing w:after="0"/>
            </w:pPr>
            <w:r>
              <w:rPr>
                <w:sz w:val="16"/>
              </w:rPr>
              <w:t>lawIDs / waiverIDs</w:t>
            </w:r>
          </w:p>
        </w:tc>
        <w:tc>
          <w:tcPr>
            <w:tcW w:type="dxa" w:w="6912"/>
            <w:tcMar>
              <w:top w:w="80" w:type="dxa"/>
              <w:start w:w="80" w:type="dxa"/>
              <w:bottom w:w="80" w:type="dxa"/>
              <w:end w:w="80" w:type="dxa"/>
            </w:tcMar>
            <w:vAlign w:val="top"/>
          </w:tcPr>
          <w:p>
            <w:pPr>
              <w:spacing w:after="0"/>
            </w:pPr>
            <w:r>
              <w:rPr>
                <w:sz w:val="16"/>
              </w:rPr>
              <w:t>Versioned policy inputs.</w:t>
            </w:r>
          </w:p>
        </w:tc>
      </w:tr>
      <w:tr>
        <w:tc>
          <w:tcPr>
            <w:tcW w:type="dxa" w:w="2880"/>
            <w:tcMar>
              <w:top w:w="80" w:type="dxa"/>
              <w:start w:w="80" w:type="dxa"/>
              <w:bottom w:w="80" w:type="dxa"/>
              <w:end w:w="80" w:type="dxa"/>
            </w:tcMar>
            <w:vAlign w:val="top"/>
          </w:tcPr>
          <w:p>
            <w:pPr>
              <w:spacing w:after="0"/>
            </w:pPr>
            <w:r>
              <w:rPr>
                <w:sz w:val="16"/>
              </w:rPr>
              <w:t>deltaSet</w:t>
            </w:r>
          </w:p>
        </w:tc>
        <w:tc>
          <w:tcPr>
            <w:tcW w:type="dxa" w:w="6912"/>
            <w:tcMar>
              <w:top w:w="80" w:type="dxa"/>
              <w:start w:w="80" w:type="dxa"/>
              <w:bottom w:w="80" w:type="dxa"/>
              <w:end w:w="80" w:type="dxa"/>
            </w:tcMar>
            <w:vAlign w:val="top"/>
          </w:tcPr>
          <w:p>
            <w:pPr>
              <w:spacing w:after="0"/>
            </w:pPr>
            <w:r>
              <w:rPr>
                <w:sz w:val="16"/>
              </w:rPr>
              <w:t>Stable typed operations only.</w:t>
            </w:r>
          </w:p>
        </w:tc>
      </w:tr>
      <w:tr>
        <w:tc>
          <w:tcPr>
            <w:tcW w:type="dxa" w:w="2880"/>
            <w:tcMar>
              <w:top w:w="80" w:type="dxa"/>
              <w:start w:w="80" w:type="dxa"/>
              <w:bottom w:w="80" w:type="dxa"/>
              <w:end w:w="80" w:type="dxa"/>
            </w:tcMar>
            <w:vAlign w:val="top"/>
          </w:tcPr>
          <w:p>
            <w:pPr>
              <w:spacing w:after="0"/>
            </w:pPr>
            <w:r>
              <w:rPr>
                <w:sz w:val="16"/>
              </w:rPr>
              <w:t>certificateID</w:t>
            </w:r>
          </w:p>
        </w:tc>
        <w:tc>
          <w:tcPr>
            <w:tcW w:type="dxa" w:w="6912"/>
            <w:tcMar>
              <w:top w:w="80" w:type="dxa"/>
              <w:start w:w="80" w:type="dxa"/>
              <w:bottom w:w="80" w:type="dxa"/>
              <w:end w:w="80" w:type="dxa"/>
            </w:tcMar>
            <w:vAlign w:val="top"/>
          </w:tcPr>
          <w:p>
            <w:pPr>
              <w:spacing w:after="0"/>
            </w:pPr>
            <w:r>
              <w:rPr>
                <w:sz w:val="16"/>
              </w:rPr>
              <w:t>Current immutable certificate.</w:t>
            </w:r>
          </w:p>
        </w:tc>
      </w:tr>
      <w:tr>
        <w:tc>
          <w:tcPr>
            <w:tcW w:type="dxa" w:w="2880"/>
            <w:tcMar>
              <w:top w:w="80" w:type="dxa"/>
              <w:start w:w="80" w:type="dxa"/>
              <w:bottom w:w="80" w:type="dxa"/>
              <w:end w:w="80" w:type="dxa"/>
            </w:tcMar>
            <w:vAlign w:val="top"/>
          </w:tcPr>
          <w:p>
            <w:pPr>
              <w:spacing w:after="0"/>
            </w:pPr>
            <w:r>
              <w:rPr>
                <w:sz w:val="16"/>
              </w:rPr>
              <w:t>authorityPartition</w:t>
            </w:r>
          </w:p>
        </w:tc>
        <w:tc>
          <w:tcPr>
            <w:tcW w:type="dxa" w:w="6912"/>
            <w:tcMar>
              <w:top w:w="80" w:type="dxa"/>
              <w:start w:w="80" w:type="dxa"/>
              <w:bottom w:w="80" w:type="dxa"/>
              <w:end w:w="80" w:type="dxa"/>
            </w:tcMar>
            <w:vAlign w:val="top"/>
          </w:tcPr>
          <w:p>
            <w:pPr>
              <w:spacing w:after="0"/>
            </w:pPr>
            <w:r>
              <w:rPr>
                <w:sz w:val="16"/>
              </w:rPr>
              <w:t>User, recipient, joint, external effects.</w:t>
            </w:r>
          </w:p>
        </w:tc>
      </w:tr>
      <w:tr>
        <w:tc>
          <w:tcPr>
            <w:tcW w:type="dxa" w:w="2880"/>
            <w:tcMar>
              <w:top w:w="80" w:type="dxa"/>
              <w:start w:w="80" w:type="dxa"/>
              <w:bottom w:w="80" w:type="dxa"/>
              <w:end w:w="80" w:type="dxa"/>
            </w:tcMar>
            <w:vAlign w:val="top"/>
          </w:tcPr>
          <w:p>
            <w:pPr>
              <w:spacing w:after="0"/>
            </w:pPr>
            <w:r>
              <w:rPr>
                <w:sz w:val="16"/>
              </w:rPr>
              <w:t>reviewCondition</w:t>
            </w:r>
          </w:p>
        </w:tc>
        <w:tc>
          <w:tcPr>
            <w:tcW w:type="dxa" w:w="6912"/>
            <w:tcMar>
              <w:top w:w="80" w:type="dxa"/>
              <w:start w:w="80" w:type="dxa"/>
              <w:bottom w:w="80" w:type="dxa"/>
              <w:end w:w="80" w:type="dxa"/>
            </w:tcMar>
            <w:vAlign w:val="top"/>
          </w:tcPr>
          <w:p>
            <w:pPr>
              <w:spacing w:after="0"/>
            </w:pPr>
            <w:r>
              <w:rPr>
                <w:sz w:val="16"/>
              </w:rPr>
              <w:t>When or why the branch must be reconsidered.</w:t>
            </w:r>
          </w:p>
        </w:tc>
      </w:tr>
      <w:tr>
        <w:tc>
          <w:tcPr>
            <w:tcW w:type="dxa" w:w="2880"/>
            <w:tcMar>
              <w:top w:w="80" w:type="dxa"/>
              <w:start w:w="80" w:type="dxa"/>
              <w:bottom w:w="80" w:type="dxa"/>
              <w:end w:w="80" w:type="dxa"/>
            </w:tcMar>
            <w:vAlign w:val="top"/>
          </w:tcPr>
          <w:p>
            <w:pPr>
              <w:spacing w:after="0"/>
            </w:pPr>
            <w:r>
              <w:rPr>
                <w:sz w:val="16"/>
              </w:rPr>
              <w:t>reversibility</w:t>
            </w:r>
          </w:p>
        </w:tc>
        <w:tc>
          <w:tcPr>
            <w:tcW w:type="dxa" w:w="6912"/>
            <w:tcMar>
              <w:top w:w="80" w:type="dxa"/>
              <w:start w:w="80" w:type="dxa"/>
              <w:bottom w:w="80" w:type="dxa"/>
              <w:end w:w="80" w:type="dxa"/>
            </w:tcMar>
            <w:vAlign w:val="top"/>
          </w:tcPr>
          <w:p>
            <w:pPr>
              <w:spacing w:after="0"/>
            </w:pPr>
            <w:r>
              <w:rPr>
                <w:sz w:val="16"/>
              </w:rPr>
              <w:t>Reversal or compensation class.</w:t>
            </w:r>
          </w:p>
        </w:tc>
      </w:tr>
      <w:tr>
        <w:tc>
          <w:tcPr>
            <w:tcW w:type="dxa" w:w="2880"/>
            <w:tcMar>
              <w:top w:w="80" w:type="dxa"/>
              <w:start w:w="80" w:type="dxa"/>
              <w:bottom w:w="80" w:type="dxa"/>
              <w:end w:w="80" w:type="dxa"/>
            </w:tcMar>
            <w:vAlign w:val="top"/>
          </w:tcPr>
          <w:p>
            <w:pPr>
              <w:spacing w:after="0"/>
            </w:pPr>
            <w:r>
              <w:rPr>
                <w:sz w:val="16"/>
              </w:rPr>
              <w:t>status</w:t>
            </w:r>
          </w:p>
        </w:tc>
        <w:tc>
          <w:tcPr>
            <w:tcW w:type="dxa" w:w="6912"/>
            <w:tcMar>
              <w:top w:w="80" w:type="dxa"/>
              <w:start w:w="80" w:type="dxa"/>
              <w:bottom w:w="80" w:type="dxa"/>
              <w:end w:w="80" w:type="dxa"/>
            </w:tcMar>
            <w:vAlign w:val="top"/>
          </w:tcPr>
          <w:p>
            <w:pPr>
              <w:spacing w:after="0"/>
            </w:pPr>
            <w:r>
              <w:rPr>
                <w:sz w:val="16"/>
              </w:rPr>
              <w:t>Candidate, selected, committing, active-local, active, superseded, etc.</w:t>
            </w:r>
          </w:p>
        </w:tc>
      </w:tr>
      <w:tr>
        <w:tc>
          <w:tcPr>
            <w:tcW w:type="dxa" w:w="2880"/>
            <w:tcMar>
              <w:top w:w="80" w:type="dxa"/>
              <w:start w:w="80" w:type="dxa"/>
              <w:bottom w:w="80" w:type="dxa"/>
              <w:end w:w="80" w:type="dxa"/>
            </w:tcMar>
            <w:vAlign w:val="top"/>
          </w:tcPr>
          <w:p>
            <w:pPr>
              <w:spacing w:after="0"/>
            </w:pPr>
            <w:r>
              <w:rPr>
                <w:sz w:val="16"/>
              </w:rPr>
              <w:t>lineage</w:t>
            </w:r>
          </w:p>
        </w:tc>
        <w:tc>
          <w:tcPr>
            <w:tcW w:type="dxa" w:w="6912"/>
            <w:tcMar>
              <w:top w:w="80" w:type="dxa"/>
              <w:start w:w="80" w:type="dxa"/>
              <w:bottom w:w="80" w:type="dxa"/>
              <w:end w:w="80" w:type="dxa"/>
            </w:tcMar>
            <w:vAlign w:val="top"/>
          </w:tcPr>
          <w:p>
            <w:pPr>
              <w:spacing w:after="0"/>
            </w:pPr>
            <w:r>
              <w:rPr>
                <w:sz w:val="16"/>
              </w:rPr>
              <w:t>Prior branch, decision, Receipt, and outcome references.</w:t>
            </w:r>
          </w:p>
        </w:tc>
      </w:tr>
    </w:tbl>
    <w:p>
      <w:pPr>
        <w:spacing w:after="0"/>
      </w:pPr>
    </w:p>
    <w:p>
      <w:pPr>
        <w:pStyle w:val="Heading2"/>
        <w:keepNext/>
      </w:pPr>
      <w:r>
        <w:t>6.2 BranchDeltaOperation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tcMar>
              <w:top w:w="80" w:type="dxa"/>
              <w:start w:w="80" w:type="dxa"/>
              <w:bottom w:w="80" w:type="dxa"/>
              <w:end w:w="80" w:type="dxa"/>
            </w:tcMar>
            <w:vAlign w:val="center"/>
          </w:tcPr>
          <w:p>
            <w:pPr>
              <w:jc w:val="center"/>
            </w:pPr>
            <w:r>
              <w:rPr>
                <w:b/>
                <w:color w:val="FFFFFF"/>
                <w:sz w:val="16"/>
              </w:rPr>
              <w:t>Field</w:t>
            </w:r>
          </w:p>
        </w:tc>
        <w:tc>
          <w:tcPr>
            <w:tcW w:type="dxa" w:w="6912"/>
            <w:shd w:fill="17324D"/>
            <w:tcMar>
              <w:top w:w="80" w:type="dxa"/>
              <w:start w:w="80" w:type="dxa"/>
              <w:bottom w:w="80" w:type="dxa"/>
              <w:end w:w="80" w:type="dxa"/>
            </w:tcMar>
            <w:vAlign w:val="center"/>
          </w:tcPr>
          <w:p>
            <w:pPr>
              <w:jc w:val="center"/>
            </w:pPr>
            <w:r>
              <w:rPr>
                <w:b/>
                <w:color w:val="FFFFFF"/>
                <w:sz w:val="16"/>
              </w:rPr>
              <w:t>Purpose / constraint</w:t>
            </w:r>
          </w:p>
        </w:tc>
      </w:tr>
      <w:tr>
        <w:tc>
          <w:tcPr>
            <w:tcW w:type="dxa" w:w="2880"/>
            <w:tcMar>
              <w:top w:w="80" w:type="dxa"/>
              <w:start w:w="80" w:type="dxa"/>
              <w:bottom w:w="80" w:type="dxa"/>
              <w:end w:w="80" w:type="dxa"/>
            </w:tcMar>
            <w:vAlign w:val="top"/>
          </w:tcPr>
          <w:p>
            <w:pPr>
              <w:spacing w:after="0"/>
            </w:pPr>
            <w:r>
              <w:rPr>
                <w:sz w:val="16"/>
              </w:rPr>
              <w:t>id and stableOrder</w:t>
            </w:r>
          </w:p>
        </w:tc>
        <w:tc>
          <w:tcPr>
            <w:tcW w:type="dxa" w:w="6912"/>
            <w:tcMar>
              <w:top w:w="80" w:type="dxa"/>
              <w:start w:w="80" w:type="dxa"/>
              <w:bottom w:w="80" w:type="dxa"/>
              <w:end w:w="80" w:type="dxa"/>
            </w:tcMar>
            <w:vAlign w:val="top"/>
          </w:tcPr>
          <w:p>
            <w:pPr>
              <w:spacing w:after="0"/>
            </w:pPr>
            <w:r>
              <w:rPr>
                <w:sz w:val="16"/>
              </w:rPr>
              <w:t>Deterministic operation identity and sequence.</w:t>
            </w:r>
          </w:p>
        </w:tc>
      </w:tr>
      <w:tr>
        <w:tc>
          <w:tcPr>
            <w:tcW w:type="dxa" w:w="2880"/>
            <w:tcMar>
              <w:top w:w="80" w:type="dxa"/>
              <w:start w:w="80" w:type="dxa"/>
              <w:bottom w:w="80" w:type="dxa"/>
              <w:end w:w="80" w:type="dxa"/>
            </w:tcMar>
            <w:vAlign w:val="top"/>
          </w:tcPr>
          <w:p>
            <w:pPr>
              <w:spacing w:after="0"/>
            </w:pPr>
            <w:r>
              <w:rPr>
                <w:sz w:val="16"/>
              </w:rPr>
              <w:t>kind</w:t>
            </w:r>
          </w:p>
        </w:tc>
        <w:tc>
          <w:tcPr>
            <w:tcW w:type="dxa" w:w="6912"/>
            <w:tcMar>
              <w:top w:w="80" w:type="dxa"/>
              <w:start w:w="80" w:type="dxa"/>
              <w:bottom w:w="80" w:type="dxa"/>
              <w:end w:w="80" w:type="dxa"/>
            </w:tcMar>
            <w:vAlign w:val="top"/>
          </w:tcPr>
          <w:p>
            <w:pPr>
              <w:spacing w:after="0"/>
            </w:pPr>
            <w:r>
              <w:rPr>
                <w:sz w:val="16"/>
              </w:rPr>
              <w:t>Typed domain operation.</w:t>
            </w:r>
          </w:p>
        </w:tc>
      </w:tr>
      <w:tr>
        <w:tc>
          <w:tcPr>
            <w:tcW w:type="dxa" w:w="2880"/>
            <w:tcMar>
              <w:top w:w="80" w:type="dxa"/>
              <w:start w:w="80" w:type="dxa"/>
              <w:bottom w:w="80" w:type="dxa"/>
              <w:end w:w="80" w:type="dxa"/>
            </w:tcMar>
            <w:vAlign w:val="top"/>
          </w:tcPr>
          <w:p>
            <w:pPr>
              <w:spacing w:after="0"/>
            </w:pPr>
            <w:r>
              <w:rPr>
                <w:sz w:val="16"/>
              </w:rPr>
              <w:t>objectKind / objectID</w:t>
            </w:r>
          </w:p>
        </w:tc>
        <w:tc>
          <w:tcPr>
            <w:tcW w:type="dxa" w:w="6912"/>
            <w:tcMar>
              <w:top w:w="80" w:type="dxa"/>
              <w:start w:w="80" w:type="dxa"/>
              <w:bottom w:w="80" w:type="dxa"/>
              <w:end w:w="80" w:type="dxa"/>
            </w:tcMar>
            <w:vAlign w:val="top"/>
          </w:tcPr>
          <w:p>
            <w:pPr>
              <w:spacing w:after="0"/>
            </w:pPr>
            <w:r>
              <w:rPr>
                <w:sz w:val="16"/>
              </w:rPr>
              <w:t>Existing canonical target.</w:t>
            </w:r>
          </w:p>
        </w:tc>
      </w:tr>
      <w:tr>
        <w:tc>
          <w:tcPr>
            <w:tcW w:type="dxa" w:w="2880"/>
            <w:tcMar>
              <w:top w:w="80" w:type="dxa"/>
              <w:start w:w="80" w:type="dxa"/>
              <w:bottom w:w="80" w:type="dxa"/>
              <w:end w:w="80" w:type="dxa"/>
            </w:tcMar>
            <w:vAlign w:val="top"/>
          </w:tcPr>
          <w:p>
            <w:pPr>
              <w:spacing w:after="0"/>
            </w:pPr>
            <w:r>
              <w:rPr>
                <w:sz w:val="16"/>
              </w:rPr>
              <w:t>expectedObjectRevision</w:t>
            </w:r>
          </w:p>
        </w:tc>
        <w:tc>
          <w:tcPr>
            <w:tcW w:type="dxa" w:w="6912"/>
            <w:tcMar>
              <w:top w:w="80" w:type="dxa"/>
              <w:start w:w="80" w:type="dxa"/>
              <w:bottom w:w="80" w:type="dxa"/>
              <w:end w:w="80" w:type="dxa"/>
            </w:tcMar>
            <w:vAlign w:val="top"/>
          </w:tcPr>
          <w:p>
            <w:pPr>
              <w:spacing w:after="0"/>
            </w:pPr>
            <w:r>
              <w:rPr>
                <w:sz w:val="16"/>
              </w:rPr>
              <w:t>Optimistic concurrency.</w:t>
            </w:r>
          </w:p>
        </w:tc>
      </w:tr>
      <w:tr>
        <w:tc>
          <w:tcPr>
            <w:tcW w:type="dxa" w:w="2880"/>
            <w:tcMar>
              <w:top w:w="80" w:type="dxa"/>
              <w:start w:w="80" w:type="dxa"/>
              <w:bottom w:w="80" w:type="dxa"/>
              <w:end w:w="80" w:type="dxa"/>
            </w:tcMar>
            <w:vAlign w:val="top"/>
          </w:tcPr>
          <w:p>
            <w:pPr>
              <w:spacing w:after="0"/>
            </w:pPr>
            <w:r>
              <w:rPr>
                <w:sz w:val="16"/>
              </w:rPr>
              <w:t>typedPayload</w:t>
            </w:r>
          </w:p>
        </w:tc>
        <w:tc>
          <w:tcPr>
            <w:tcW w:type="dxa" w:w="6912"/>
            <w:tcMar>
              <w:top w:w="80" w:type="dxa"/>
              <w:start w:w="80" w:type="dxa"/>
              <w:bottom w:w="80" w:type="dxa"/>
              <w:end w:w="80" w:type="dxa"/>
            </w:tcMar>
            <w:vAlign w:val="top"/>
          </w:tcPr>
          <w:p>
            <w:pPr>
              <w:spacing w:after="0"/>
            </w:pPr>
            <w:r>
              <w:rPr>
                <w:sz w:val="16"/>
              </w:rPr>
              <w:t>Domain-specific payload; no untyped blob in production.</w:t>
            </w:r>
          </w:p>
        </w:tc>
      </w:tr>
      <w:tr>
        <w:tc>
          <w:tcPr>
            <w:tcW w:type="dxa" w:w="2880"/>
            <w:tcMar>
              <w:top w:w="80" w:type="dxa"/>
              <w:start w:w="80" w:type="dxa"/>
              <w:bottom w:w="80" w:type="dxa"/>
              <w:end w:w="80" w:type="dxa"/>
            </w:tcMar>
            <w:vAlign w:val="top"/>
          </w:tcPr>
          <w:p>
            <w:pPr>
              <w:spacing w:after="0"/>
            </w:pPr>
            <w:r>
              <w:rPr>
                <w:sz w:val="16"/>
              </w:rPr>
              <w:t>humanConsequence</w:t>
            </w:r>
          </w:p>
        </w:tc>
        <w:tc>
          <w:tcPr>
            <w:tcW w:type="dxa" w:w="6912"/>
            <w:tcMar>
              <w:top w:w="80" w:type="dxa"/>
              <w:start w:w="80" w:type="dxa"/>
              <w:bottom w:w="80" w:type="dxa"/>
              <w:end w:w="80" w:type="dxa"/>
            </w:tcMar>
            <w:vAlign w:val="top"/>
          </w:tcPr>
          <w:p>
            <w:pPr>
              <w:spacing w:after="0"/>
            </w:pPr>
            <w:r>
              <w:rPr>
                <w:sz w:val="16"/>
              </w:rPr>
              <w:t>Plain-language meaning for inspection.</w:t>
            </w:r>
          </w:p>
        </w:tc>
      </w:tr>
      <w:tr>
        <w:tc>
          <w:tcPr>
            <w:tcW w:type="dxa" w:w="2880"/>
            <w:tcMar>
              <w:top w:w="80" w:type="dxa"/>
              <w:start w:w="80" w:type="dxa"/>
              <w:bottom w:w="80" w:type="dxa"/>
              <w:end w:w="80" w:type="dxa"/>
            </w:tcMar>
            <w:vAlign w:val="top"/>
          </w:tcPr>
          <w:p>
            <w:pPr>
              <w:spacing w:after="0"/>
            </w:pPr>
            <w:r>
              <w:rPr>
                <w:sz w:val="16"/>
              </w:rPr>
              <w:t>protectedInvariantIDs</w:t>
            </w:r>
          </w:p>
        </w:tc>
        <w:tc>
          <w:tcPr>
            <w:tcW w:type="dxa" w:w="6912"/>
            <w:tcMar>
              <w:top w:w="80" w:type="dxa"/>
              <w:start w:w="80" w:type="dxa"/>
              <w:bottom w:w="80" w:type="dxa"/>
              <w:end w:w="80" w:type="dxa"/>
            </w:tcMar>
            <w:vAlign w:val="top"/>
          </w:tcPr>
          <w:p>
            <w:pPr>
              <w:spacing w:after="0"/>
            </w:pPr>
            <w:r>
              <w:rPr>
                <w:sz w:val="16"/>
              </w:rPr>
              <w:t>Invariants operation may not violate.</w:t>
            </w:r>
          </w:p>
        </w:tc>
      </w:tr>
      <w:tr>
        <w:tc>
          <w:tcPr>
            <w:tcW w:type="dxa" w:w="2880"/>
            <w:tcMar>
              <w:top w:w="80" w:type="dxa"/>
              <w:start w:w="80" w:type="dxa"/>
              <w:bottom w:w="80" w:type="dxa"/>
              <w:end w:w="80" w:type="dxa"/>
            </w:tcMar>
            <w:vAlign w:val="top"/>
          </w:tcPr>
          <w:p>
            <w:pPr>
              <w:spacing w:after="0"/>
            </w:pPr>
            <w:r>
              <w:rPr>
                <w:sz w:val="16"/>
              </w:rPr>
              <w:t>dependencyIDs</w:t>
            </w:r>
          </w:p>
        </w:tc>
        <w:tc>
          <w:tcPr>
            <w:tcW w:type="dxa" w:w="6912"/>
            <w:tcMar>
              <w:top w:w="80" w:type="dxa"/>
              <w:start w:w="80" w:type="dxa"/>
              <w:bottom w:w="80" w:type="dxa"/>
              <w:end w:w="80" w:type="dxa"/>
            </w:tcMar>
            <w:vAlign w:val="top"/>
          </w:tcPr>
          <w:p>
            <w:pPr>
              <w:spacing w:after="0"/>
            </w:pPr>
            <w:r>
              <w:rPr>
                <w:sz w:val="16"/>
              </w:rPr>
              <w:t>Source conditions that make operation valid.</w:t>
            </w:r>
          </w:p>
        </w:tc>
      </w:tr>
      <w:tr>
        <w:tc>
          <w:tcPr>
            <w:tcW w:type="dxa" w:w="2880"/>
            <w:tcMar>
              <w:top w:w="80" w:type="dxa"/>
              <w:start w:w="80" w:type="dxa"/>
              <w:bottom w:w="80" w:type="dxa"/>
              <w:end w:w="80" w:type="dxa"/>
            </w:tcMar>
            <w:vAlign w:val="top"/>
          </w:tcPr>
          <w:p>
            <w:pPr>
              <w:spacing w:after="0"/>
            </w:pPr>
            <w:r>
              <w:rPr>
                <w:sz w:val="16"/>
              </w:rPr>
              <w:t>authorityOwnerID</w:t>
            </w:r>
          </w:p>
        </w:tc>
        <w:tc>
          <w:tcPr>
            <w:tcW w:type="dxa" w:w="6912"/>
            <w:tcMar>
              <w:top w:w="80" w:type="dxa"/>
              <w:start w:w="80" w:type="dxa"/>
              <w:bottom w:w="80" w:type="dxa"/>
              <w:end w:w="80" w:type="dxa"/>
            </w:tcMar>
            <w:vAlign w:val="top"/>
          </w:tcPr>
          <w:p>
            <w:pPr>
              <w:spacing w:after="0"/>
            </w:pPr>
            <w:r>
              <w:rPr>
                <w:sz w:val="16"/>
              </w:rPr>
              <w:t>Principal authorized to commit.</w:t>
            </w:r>
          </w:p>
        </w:tc>
      </w:tr>
      <w:tr>
        <w:tc>
          <w:tcPr>
            <w:tcW w:type="dxa" w:w="2880"/>
            <w:tcMar>
              <w:top w:w="80" w:type="dxa"/>
              <w:start w:w="80" w:type="dxa"/>
              <w:bottom w:w="80" w:type="dxa"/>
              <w:end w:w="80" w:type="dxa"/>
            </w:tcMar>
            <w:vAlign w:val="top"/>
          </w:tcPr>
          <w:p>
            <w:pPr>
              <w:spacing w:after="0"/>
            </w:pPr>
            <w:r>
              <w:rPr>
                <w:sz w:val="16"/>
              </w:rPr>
              <w:t>materiality</w:t>
            </w:r>
          </w:p>
        </w:tc>
        <w:tc>
          <w:tcPr>
            <w:tcW w:type="dxa" w:w="6912"/>
            <w:tcMar>
              <w:top w:w="80" w:type="dxa"/>
              <w:start w:w="80" w:type="dxa"/>
              <w:bottom w:w="80" w:type="dxa"/>
              <w:end w:w="80" w:type="dxa"/>
            </w:tcMar>
            <w:vAlign w:val="top"/>
          </w:tcPr>
          <w:p>
            <w:pPr>
              <w:spacing w:after="0"/>
            </w:pPr>
            <w:r>
              <w:rPr>
                <w:sz w:val="16"/>
              </w:rPr>
              <w:t>Confirmation and proof scope.</w:t>
            </w:r>
          </w:p>
        </w:tc>
      </w:tr>
      <w:tr>
        <w:tc>
          <w:tcPr>
            <w:tcW w:type="dxa" w:w="2880"/>
            <w:tcMar>
              <w:top w:w="80" w:type="dxa"/>
              <w:start w:w="80" w:type="dxa"/>
              <w:bottom w:w="80" w:type="dxa"/>
              <w:end w:w="80" w:type="dxa"/>
            </w:tcMar>
            <w:vAlign w:val="top"/>
          </w:tcPr>
          <w:p>
            <w:pPr>
              <w:spacing w:after="0"/>
            </w:pPr>
            <w:r>
              <w:rPr>
                <w:sz w:val="16"/>
              </w:rPr>
              <w:t>reversibility</w:t>
            </w:r>
          </w:p>
        </w:tc>
        <w:tc>
          <w:tcPr>
            <w:tcW w:type="dxa" w:w="6912"/>
            <w:tcMar>
              <w:top w:w="80" w:type="dxa"/>
              <w:start w:w="80" w:type="dxa"/>
              <w:bottom w:w="80" w:type="dxa"/>
              <w:end w:w="80" w:type="dxa"/>
            </w:tcMar>
            <w:vAlign w:val="top"/>
          </w:tcPr>
          <w:p>
            <w:pPr>
              <w:spacing w:after="0"/>
            </w:pPr>
            <w:r>
              <w:rPr>
                <w:sz w:val="16"/>
              </w:rPr>
              <w:t>Literal rollback, compensation, or irreversible.</w:t>
            </w:r>
          </w:p>
        </w:tc>
      </w:tr>
    </w:tbl>
    <w:p>
      <w:pPr>
        <w:spacing w:after="0"/>
      </w:pPr>
    </w:p>
    <w:p>
      <w:pPr>
        <w:pStyle w:val="Heading2"/>
        <w:keepNext/>
      </w:pPr>
      <w:r>
        <w:t>6.3 BranchViabilityCertificate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tcMar>
              <w:top w:w="80" w:type="dxa"/>
              <w:start w:w="80" w:type="dxa"/>
              <w:bottom w:w="80" w:type="dxa"/>
              <w:end w:w="80" w:type="dxa"/>
            </w:tcMar>
            <w:vAlign w:val="center"/>
          </w:tcPr>
          <w:p>
            <w:pPr>
              <w:jc w:val="center"/>
            </w:pPr>
            <w:r>
              <w:rPr>
                <w:b/>
                <w:color w:val="FFFFFF"/>
                <w:sz w:val="16"/>
              </w:rPr>
              <w:t>Field</w:t>
            </w:r>
          </w:p>
        </w:tc>
        <w:tc>
          <w:tcPr>
            <w:tcW w:type="dxa" w:w="6912"/>
            <w:shd w:fill="17324D"/>
            <w:tcMar>
              <w:top w:w="80" w:type="dxa"/>
              <w:start w:w="80" w:type="dxa"/>
              <w:bottom w:w="80" w:type="dxa"/>
              <w:end w:w="80" w:type="dxa"/>
            </w:tcMar>
            <w:vAlign w:val="center"/>
          </w:tcPr>
          <w:p>
            <w:pPr>
              <w:jc w:val="center"/>
            </w:pPr>
            <w:r>
              <w:rPr>
                <w:b/>
                <w:color w:val="FFFFFF"/>
                <w:sz w:val="16"/>
              </w:rPr>
              <w:t>Purpose / constraint</w:t>
            </w:r>
          </w:p>
        </w:tc>
      </w:tr>
      <w:tr>
        <w:tc>
          <w:tcPr>
            <w:tcW w:type="dxa" w:w="2880"/>
            <w:tcMar>
              <w:top w:w="80" w:type="dxa"/>
              <w:start w:w="80" w:type="dxa"/>
              <w:bottom w:w="80" w:type="dxa"/>
              <w:end w:w="80" w:type="dxa"/>
            </w:tcMar>
            <w:vAlign w:val="top"/>
          </w:tcPr>
          <w:p>
            <w:pPr>
              <w:spacing w:after="0"/>
            </w:pPr>
            <w:r>
              <w:rPr>
                <w:sz w:val="16"/>
              </w:rPr>
              <w:t>branchID / baseGraphRevision</w:t>
            </w:r>
          </w:p>
        </w:tc>
        <w:tc>
          <w:tcPr>
            <w:tcW w:type="dxa" w:w="6912"/>
            <w:tcMar>
              <w:top w:w="80" w:type="dxa"/>
              <w:start w:w="80" w:type="dxa"/>
              <w:bottom w:w="80" w:type="dxa"/>
              <w:end w:w="80" w:type="dxa"/>
            </w:tcMar>
            <w:vAlign w:val="top"/>
          </w:tcPr>
          <w:p>
            <w:pPr>
              <w:spacing w:after="0"/>
            </w:pPr>
            <w:r>
              <w:rPr>
                <w:sz w:val="16"/>
              </w:rPr>
              <w:t>Binds certificate to branch and canonical basis.</w:t>
            </w:r>
          </w:p>
        </w:tc>
      </w:tr>
      <w:tr>
        <w:tc>
          <w:tcPr>
            <w:tcW w:type="dxa" w:w="2880"/>
            <w:tcMar>
              <w:top w:w="80" w:type="dxa"/>
              <w:start w:w="80" w:type="dxa"/>
              <w:bottom w:w="80" w:type="dxa"/>
              <w:end w:w="80" w:type="dxa"/>
            </w:tcMar>
            <w:vAlign w:val="top"/>
          </w:tcPr>
          <w:p>
            <w:pPr>
              <w:spacing w:after="0"/>
            </w:pPr>
            <w:r>
              <w:rPr>
                <w:sz w:val="16"/>
              </w:rPr>
              <w:t>evaluatedAt / horizon</w:t>
            </w:r>
          </w:p>
        </w:tc>
        <w:tc>
          <w:tcPr>
            <w:tcW w:type="dxa" w:w="6912"/>
            <w:tcMar>
              <w:top w:w="80" w:type="dxa"/>
              <w:start w:w="80" w:type="dxa"/>
              <w:bottom w:w="80" w:type="dxa"/>
              <w:end w:w="80" w:type="dxa"/>
            </w:tcMar>
            <w:vAlign w:val="top"/>
          </w:tcPr>
          <w:p>
            <w:pPr>
              <w:spacing w:after="0"/>
            </w:pPr>
            <w:r>
              <w:rPr>
                <w:sz w:val="16"/>
              </w:rPr>
              <w:t>Evaluation context.</w:t>
            </w:r>
          </w:p>
        </w:tc>
      </w:tr>
      <w:tr>
        <w:tc>
          <w:tcPr>
            <w:tcW w:type="dxa" w:w="2880"/>
            <w:tcMar>
              <w:top w:w="80" w:type="dxa"/>
              <w:start w:w="80" w:type="dxa"/>
              <w:bottom w:w="80" w:type="dxa"/>
              <w:end w:w="80" w:type="dxa"/>
            </w:tcMar>
            <w:vAlign w:val="top"/>
          </w:tcPr>
          <w:p>
            <w:pPr>
              <w:spacing w:after="0"/>
            </w:pPr>
            <w:r>
              <w:rPr>
                <w:sz w:val="16"/>
              </w:rPr>
              <w:t>factRevisionIDs</w:t>
            </w:r>
          </w:p>
        </w:tc>
        <w:tc>
          <w:tcPr>
            <w:tcW w:type="dxa" w:w="6912"/>
            <w:tcMar>
              <w:top w:w="80" w:type="dxa"/>
              <w:start w:w="80" w:type="dxa"/>
              <w:bottom w:w="80" w:type="dxa"/>
              <w:end w:w="80" w:type="dxa"/>
            </w:tcMar>
            <w:vAlign w:val="top"/>
          </w:tcPr>
          <w:p>
            <w:pPr>
              <w:spacing w:after="0"/>
            </w:pPr>
            <w:r>
              <w:rPr>
                <w:sz w:val="16"/>
              </w:rPr>
              <w:t>Exact revisioned evidence used.</w:t>
            </w:r>
          </w:p>
        </w:tc>
      </w:tr>
      <w:tr>
        <w:tc>
          <w:tcPr>
            <w:tcW w:type="dxa" w:w="2880"/>
            <w:tcMar>
              <w:top w:w="80" w:type="dxa"/>
              <w:start w:w="80" w:type="dxa"/>
              <w:bottom w:w="80" w:type="dxa"/>
              <w:end w:w="80" w:type="dxa"/>
            </w:tcMar>
            <w:vAlign w:val="top"/>
          </w:tcPr>
          <w:p>
            <w:pPr>
              <w:spacing w:after="0"/>
            </w:pPr>
            <w:r>
              <w:rPr>
                <w:sz w:val="16"/>
              </w:rPr>
              <w:t>conditionResults</w:t>
            </w:r>
          </w:p>
        </w:tc>
        <w:tc>
          <w:tcPr>
            <w:tcW w:type="dxa" w:w="6912"/>
            <w:tcMar>
              <w:top w:w="80" w:type="dxa"/>
              <w:start w:w="80" w:type="dxa"/>
              <w:bottom w:w="80" w:type="dxa"/>
              <w:end w:w="80" w:type="dxa"/>
            </w:tcMar>
            <w:vAlign w:val="top"/>
          </w:tcPr>
          <w:p>
            <w:pPr>
              <w:spacing w:after="0"/>
            </w:pPr>
            <w:r>
              <w:rPr>
                <w:sz w:val="16"/>
              </w:rPr>
              <w:t>Machine-evaluated viability conditions.</w:t>
            </w:r>
          </w:p>
        </w:tc>
      </w:tr>
      <w:tr>
        <w:tc>
          <w:tcPr>
            <w:tcW w:type="dxa" w:w="2880"/>
            <w:tcMar>
              <w:top w:w="80" w:type="dxa"/>
              <w:start w:w="80" w:type="dxa"/>
              <w:bottom w:w="80" w:type="dxa"/>
              <w:end w:w="80" w:type="dxa"/>
            </w:tcMar>
            <w:vAlign w:val="top"/>
          </w:tcPr>
          <w:p>
            <w:pPr>
              <w:spacing w:after="0"/>
            </w:pPr>
            <w:r>
              <w:rPr>
                <w:sz w:val="16"/>
              </w:rPr>
              <w:t>lawSatisfaction</w:t>
            </w:r>
          </w:p>
        </w:tc>
        <w:tc>
          <w:tcPr>
            <w:tcW w:type="dxa" w:w="6912"/>
            <w:tcMar>
              <w:top w:w="80" w:type="dxa"/>
              <w:start w:w="80" w:type="dxa"/>
              <w:bottom w:w="80" w:type="dxa"/>
              <w:end w:w="80" w:type="dxa"/>
            </w:tcMar>
            <w:vAlign w:val="top"/>
          </w:tcPr>
          <w:p>
            <w:pPr>
              <w:spacing w:after="0"/>
            </w:pPr>
            <w:r>
              <w:rPr>
                <w:sz w:val="16"/>
              </w:rPr>
              <w:t>Hard, defeasible, preferred, and waived policy results.</w:t>
            </w:r>
          </w:p>
        </w:tc>
      </w:tr>
      <w:tr>
        <w:tc>
          <w:tcPr>
            <w:tcW w:type="dxa" w:w="2880"/>
            <w:tcMar>
              <w:top w:w="80" w:type="dxa"/>
              <w:start w:w="80" w:type="dxa"/>
              <w:bottom w:w="80" w:type="dxa"/>
              <w:end w:w="80" w:type="dxa"/>
            </w:tcMar>
            <w:vAlign w:val="top"/>
          </w:tcPr>
          <w:p>
            <w:pPr>
              <w:spacing w:after="0"/>
            </w:pPr>
            <w:r>
              <w:rPr>
                <w:sz w:val="16"/>
              </w:rPr>
              <w:t>operatingEnvelopeResults</w:t>
            </w:r>
          </w:p>
        </w:tc>
        <w:tc>
          <w:tcPr>
            <w:tcW w:type="dxa" w:w="6912"/>
            <w:tcMar>
              <w:top w:w="80" w:type="dxa"/>
              <w:start w:w="80" w:type="dxa"/>
              <w:bottom w:w="80" w:type="dxa"/>
              <w:end w:w="80" w:type="dxa"/>
            </w:tcMar>
            <w:vAlign w:val="top"/>
          </w:tcPr>
          <w:p>
            <w:pPr>
              <w:spacing w:after="0"/>
            </w:pPr>
            <w:r>
              <w:rPr>
                <w:sz w:val="16"/>
              </w:rPr>
              <w:t>Homeostatic/robustness conditions.</w:t>
            </w:r>
          </w:p>
        </w:tc>
      </w:tr>
      <w:tr>
        <w:tc>
          <w:tcPr>
            <w:tcW w:type="dxa" w:w="2880"/>
            <w:tcMar>
              <w:top w:w="80" w:type="dxa"/>
              <w:start w:w="80" w:type="dxa"/>
              <w:bottom w:w="80" w:type="dxa"/>
              <w:end w:w="80" w:type="dxa"/>
            </w:tcMar>
            <w:vAlign w:val="top"/>
          </w:tcPr>
          <w:p>
            <w:pPr>
              <w:spacing w:after="0"/>
            </w:pPr>
            <w:r>
              <w:rPr>
                <w:sz w:val="16"/>
              </w:rPr>
              <w:t>authorityResult</w:t>
            </w:r>
          </w:p>
        </w:tc>
        <w:tc>
          <w:tcPr>
            <w:tcW w:type="dxa" w:w="6912"/>
            <w:tcMar>
              <w:top w:w="80" w:type="dxa"/>
              <w:start w:w="80" w:type="dxa"/>
              <w:bottom w:w="80" w:type="dxa"/>
              <w:end w:w="80" w:type="dxa"/>
            </w:tcMar>
            <w:vAlign w:val="top"/>
          </w:tcPr>
          <w:p>
            <w:pPr>
              <w:spacing w:after="0"/>
            </w:pPr>
            <w:r>
              <w:rPr>
                <w:sz w:val="16"/>
              </w:rPr>
              <w:t>Resolved, pending, or prohibited effects.</w:t>
            </w:r>
          </w:p>
        </w:tc>
      </w:tr>
      <w:tr>
        <w:tc>
          <w:tcPr>
            <w:tcW w:type="dxa" w:w="2880"/>
            <w:tcMar>
              <w:top w:w="80" w:type="dxa"/>
              <w:start w:w="80" w:type="dxa"/>
              <w:bottom w:w="80" w:type="dxa"/>
              <w:end w:w="80" w:type="dxa"/>
            </w:tcMar>
            <w:vAlign w:val="top"/>
          </w:tcPr>
          <w:p>
            <w:pPr>
              <w:spacing w:after="0"/>
            </w:pPr>
            <w:r>
              <w:rPr>
                <w:sz w:val="16"/>
              </w:rPr>
              <w:t>capacityResult</w:t>
            </w:r>
          </w:p>
        </w:tc>
        <w:tc>
          <w:tcPr>
            <w:tcW w:type="dxa" w:w="6912"/>
            <w:tcMar>
              <w:top w:w="80" w:type="dxa"/>
              <w:start w:w="80" w:type="dxa"/>
              <w:bottom w:w="80" w:type="dxa"/>
              <w:end w:w="80" w:type="dxa"/>
            </w:tcMar>
            <w:vAlign w:val="top"/>
          </w:tcPr>
          <w:p>
            <w:pPr>
              <w:spacing w:after="0"/>
            </w:pPr>
            <w:r>
              <w:rPr>
                <w:sz w:val="16"/>
              </w:rPr>
              <w:t>Scheduling owner’s deterministic fit result.</w:t>
            </w:r>
          </w:p>
        </w:tc>
      </w:tr>
      <w:tr>
        <w:tc>
          <w:tcPr>
            <w:tcW w:type="dxa" w:w="2880"/>
            <w:tcMar>
              <w:top w:w="80" w:type="dxa"/>
              <w:start w:w="80" w:type="dxa"/>
              <w:bottom w:w="80" w:type="dxa"/>
              <w:end w:w="80" w:type="dxa"/>
            </w:tcMar>
            <w:vAlign w:val="top"/>
          </w:tcPr>
          <w:p>
            <w:pPr>
              <w:spacing w:after="0"/>
            </w:pPr>
            <w:r>
              <w:rPr>
                <w:sz w:val="16"/>
              </w:rPr>
              <w:t>protectedInvariantResults</w:t>
            </w:r>
          </w:p>
        </w:tc>
        <w:tc>
          <w:tcPr>
            <w:tcW w:type="dxa" w:w="6912"/>
            <w:tcMar>
              <w:top w:w="80" w:type="dxa"/>
              <w:start w:w="80" w:type="dxa"/>
              <w:bottom w:w="80" w:type="dxa"/>
              <w:end w:w="80" w:type="dxa"/>
            </w:tcMar>
            <w:vAlign w:val="top"/>
          </w:tcPr>
          <w:p>
            <w:pPr>
              <w:spacing w:after="0"/>
            </w:pPr>
            <w:r>
              <w:rPr>
                <w:sz w:val="16"/>
              </w:rPr>
              <w:t>Preservation or disclosed sacrifice.</w:t>
            </w:r>
          </w:p>
        </w:tc>
      </w:tr>
      <w:tr>
        <w:tc>
          <w:tcPr>
            <w:tcW w:type="dxa" w:w="2880"/>
            <w:tcMar>
              <w:top w:w="80" w:type="dxa"/>
              <w:start w:w="80" w:type="dxa"/>
              <w:bottom w:w="80" w:type="dxa"/>
              <w:end w:w="80" w:type="dxa"/>
            </w:tcMar>
            <w:vAlign w:val="top"/>
          </w:tcPr>
          <w:p>
            <w:pPr>
              <w:spacing w:after="0"/>
            </w:pPr>
            <w:r>
              <w:rPr>
                <w:sz w:val="16"/>
              </w:rPr>
              <w:t>robustness</w:t>
            </w:r>
          </w:p>
        </w:tc>
        <w:tc>
          <w:tcPr>
            <w:tcW w:type="dxa" w:w="6912"/>
            <w:tcMar>
              <w:top w:w="80" w:type="dxa"/>
              <w:start w:w="80" w:type="dxa"/>
              <w:bottom w:w="80" w:type="dxa"/>
              <w:end w:w="80" w:type="dxa"/>
            </w:tcMar>
            <w:vAlign w:val="top"/>
          </w:tcPr>
          <w:p>
            <w:pPr>
              <w:spacing w:after="0"/>
            </w:pPr>
            <w:r>
              <w:rPr>
                <w:sz w:val="16"/>
              </w:rPr>
              <w:t>Structured margin, not a life score.</w:t>
            </w:r>
          </w:p>
        </w:tc>
      </w:tr>
      <w:tr>
        <w:tc>
          <w:tcPr>
            <w:tcW w:type="dxa" w:w="2880"/>
            <w:tcMar>
              <w:top w:w="80" w:type="dxa"/>
              <w:start w:w="80" w:type="dxa"/>
              <w:bottom w:w="80" w:type="dxa"/>
              <w:end w:w="80" w:type="dxa"/>
            </w:tcMar>
            <w:vAlign w:val="top"/>
          </w:tcPr>
          <w:p>
            <w:pPr>
              <w:spacing w:after="0"/>
            </w:pPr>
            <w:r>
              <w:rPr>
                <w:sz w:val="16"/>
              </w:rPr>
              <w:t>conflictCore</w:t>
            </w:r>
          </w:p>
        </w:tc>
        <w:tc>
          <w:tcPr>
            <w:tcW w:type="dxa" w:w="6912"/>
            <w:tcMar>
              <w:top w:w="80" w:type="dxa"/>
              <w:start w:w="80" w:type="dxa"/>
              <w:bottom w:w="80" w:type="dxa"/>
              <w:end w:w="80" w:type="dxa"/>
            </w:tcMar>
            <w:vAlign w:val="top"/>
          </w:tcPr>
          <w:p>
            <w:pPr>
              <w:spacing w:after="0"/>
            </w:pPr>
            <w:r>
              <w:rPr>
                <w:sz w:val="16"/>
              </w:rPr>
              <w:t>Sufficient or minimal conflict set when invalid.</w:t>
            </w:r>
          </w:p>
        </w:tc>
      </w:tr>
      <w:tr>
        <w:tc>
          <w:tcPr>
            <w:tcW w:type="dxa" w:w="2880"/>
            <w:tcMar>
              <w:top w:w="80" w:type="dxa"/>
              <w:start w:w="80" w:type="dxa"/>
              <w:bottom w:w="80" w:type="dxa"/>
              <w:end w:w="80" w:type="dxa"/>
            </w:tcMar>
            <w:vAlign w:val="top"/>
          </w:tcPr>
          <w:p>
            <w:pPr>
              <w:spacing w:after="0"/>
            </w:pPr>
            <w:r>
              <w:rPr>
                <w:sz w:val="16"/>
              </w:rPr>
              <w:t>invalidationConditions</w:t>
            </w:r>
          </w:p>
        </w:tc>
        <w:tc>
          <w:tcPr>
            <w:tcW w:type="dxa" w:w="6912"/>
            <w:tcMar>
              <w:top w:w="80" w:type="dxa"/>
              <w:start w:w="80" w:type="dxa"/>
              <w:bottom w:w="80" w:type="dxa"/>
              <w:end w:w="80" w:type="dxa"/>
            </w:tcMar>
            <w:vAlign w:val="top"/>
          </w:tcPr>
          <w:p>
            <w:pPr>
              <w:spacing w:after="0"/>
            </w:pPr>
            <w:r>
              <w:rPr>
                <w:sz w:val="16"/>
              </w:rPr>
              <w:t>What changes would stale or replace certificate.</w:t>
            </w:r>
          </w:p>
        </w:tc>
      </w:tr>
      <w:tr>
        <w:tc>
          <w:tcPr>
            <w:tcW w:type="dxa" w:w="2880"/>
            <w:tcMar>
              <w:top w:w="80" w:type="dxa"/>
              <w:start w:w="80" w:type="dxa"/>
              <w:bottom w:w="80" w:type="dxa"/>
              <w:end w:w="80" w:type="dxa"/>
            </w:tcMar>
            <w:vAlign w:val="top"/>
          </w:tcPr>
          <w:p>
            <w:pPr>
              <w:spacing w:after="0"/>
            </w:pPr>
            <w:r>
              <w:rPr>
                <w:sz w:val="16"/>
              </w:rPr>
              <w:t>status / confidence</w:t>
            </w:r>
          </w:p>
        </w:tc>
        <w:tc>
          <w:tcPr>
            <w:tcW w:type="dxa" w:w="6912"/>
            <w:tcMar>
              <w:top w:w="80" w:type="dxa"/>
              <w:start w:w="80" w:type="dxa"/>
              <w:bottom w:w="80" w:type="dxa"/>
              <w:end w:w="80" w:type="dxa"/>
            </w:tcMar>
            <w:vAlign w:val="top"/>
          </w:tcPr>
          <w:p>
            <w:pPr>
              <w:spacing w:after="0"/>
            </w:pPr>
            <w:r>
              <w:rPr>
                <w:sz w:val="16"/>
              </w:rPr>
              <w:t>Operational gate.</w:t>
            </w:r>
          </w:p>
        </w:tc>
      </w:tr>
      <w:tr>
        <w:tc>
          <w:tcPr>
            <w:tcW w:type="dxa" w:w="2880"/>
            <w:tcMar>
              <w:top w:w="80" w:type="dxa"/>
              <w:start w:w="80" w:type="dxa"/>
              <w:bottom w:w="80" w:type="dxa"/>
              <w:end w:w="80" w:type="dxa"/>
            </w:tcMar>
            <w:vAlign w:val="top"/>
          </w:tcPr>
          <w:p>
            <w:pPr>
              <w:spacing w:after="0"/>
            </w:pPr>
            <w:r>
              <w:rPr>
                <w:sz w:val="16"/>
              </w:rPr>
              <w:t>fingerprint</w:t>
            </w:r>
          </w:p>
        </w:tc>
        <w:tc>
          <w:tcPr>
            <w:tcW w:type="dxa" w:w="6912"/>
            <w:tcMar>
              <w:top w:w="80" w:type="dxa"/>
              <w:start w:w="80" w:type="dxa"/>
              <w:bottom w:w="80" w:type="dxa"/>
              <w:end w:w="80" w:type="dxa"/>
            </w:tcMar>
            <w:vAlign w:val="top"/>
          </w:tcPr>
          <w:p>
            <w:pPr>
              <w:spacing w:after="0"/>
            </w:pPr>
            <w:r>
              <w:rPr>
                <w:sz w:val="16"/>
              </w:rPr>
              <w:t>Canonical hash for selection revalidation.</w:t>
            </w:r>
          </w:p>
        </w:tc>
      </w:tr>
    </w:tbl>
    <w:p>
      <w:pPr>
        <w:spacing w:after="0"/>
      </w:pPr>
    </w:p>
    <w:p>
      <w:pPr>
        <w:pStyle w:val="Heading2"/>
        <w:keepNext/>
      </w:pPr>
      <w:r>
        <w:t>6.4 BranchContingencyPolicy</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tcMar>
              <w:top w:w="80" w:type="dxa"/>
              <w:start w:w="80" w:type="dxa"/>
              <w:bottom w:w="80" w:type="dxa"/>
              <w:end w:w="80" w:type="dxa"/>
            </w:tcMar>
            <w:vAlign w:val="center"/>
          </w:tcPr>
          <w:p>
            <w:pPr>
              <w:jc w:val="center"/>
            </w:pPr>
            <w:r>
              <w:rPr>
                <w:b/>
                <w:color w:val="FFFFFF"/>
                <w:sz w:val="16"/>
              </w:rPr>
              <w:t>Field</w:t>
            </w:r>
          </w:p>
        </w:tc>
        <w:tc>
          <w:tcPr>
            <w:tcW w:type="dxa" w:w="6912"/>
            <w:shd w:fill="17324D"/>
            <w:tcMar>
              <w:top w:w="80" w:type="dxa"/>
              <w:start w:w="80" w:type="dxa"/>
              <w:bottom w:w="80" w:type="dxa"/>
              <w:end w:w="80" w:type="dxa"/>
            </w:tcMar>
            <w:vAlign w:val="center"/>
          </w:tcPr>
          <w:p>
            <w:pPr>
              <w:jc w:val="center"/>
            </w:pPr>
            <w:r>
              <w:rPr>
                <w:b/>
                <w:color w:val="FFFFFF"/>
                <w:sz w:val="16"/>
              </w:rPr>
              <w:t>Purpose / constraint</w:t>
            </w:r>
          </w:p>
        </w:tc>
      </w:tr>
      <w:tr>
        <w:tc>
          <w:tcPr>
            <w:tcW w:type="dxa" w:w="2880"/>
            <w:tcMar>
              <w:top w:w="80" w:type="dxa"/>
              <w:start w:w="80" w:type="dxa"/>
              <w:bottom w:w="80" w:type="dxa"/>
              <w:end w:w="80" w:type="dxa"/>
            </w:tcMar>
            <w:vAlign w:val="top"/>
          </w:tcPr>
          <w:p>
            <w:pPr>
              <w:spacing w:after="0"/>
            </w:pPr>
            <w:r>
              <w:rPr>
                <w:sz w:val="16"/>
              </w:rPr>
              <w:t>triggerPredicate</w:t>
            </w:r>
          </w:p>
        </w:tc>
        <w:tc>
          <w:tcPr>
            <w:tcW w:type="dxa" w:w="6912"/>
            <w:tcMar>
              <w:top w:w="80" w:type="dxa"/>
              <w:start w:w="80" w:type="dxa"/>
              <w:bottom w:w="80" w:type="dxa"/>
              <w:end w:w="80" w:type="dxa"/>
            </w:tcMar>
            <w:vAlign w:val="top"/>
          </w:tcPr>
          <w:p>
            <w:pPr>
              <w:spacing w:after="0"/>
            </w:pPr>
            <w:r>
              <w:rPr>
                <w:sz w:val="16"/>
              </w:rPr>
              <w:t>Condition that makes the policy eligible.</w:t>
            </w:r>
          </w:p>
        </w:tc>
      </w:tr>
      <w:tr>
        <w:tc>
          <w:tcPr>
            <w:tcW w:type="dxa" w:w="2880"/>
            <w:tcMar>
              <w:top w:w="80" w:type="dxa"/>
              <w:start w:w="80" w:type="dxa"/>
              <w:bottom w:w="80" w:type="dxa"/>
              <w:end w:w="80" w:type="dxa"/>
            </w:tcMar>
            <w:vAlign w:val="top"/>
          </w:tcPr>
          <w:p>
            <w:pPr>
              <w:spacing w:after="0"/>
            </w:pPr>
            <w:r>
              <w:rPr>
                <w:sz w:val="16"/>
              </w:rPr>
              <w:t>policyFamily</w:t>
            </w:r>
          </w:p>
        </w:tc>
        <w:tc>
          <w:tcPr>
            <w:tcW w:type="dxa" w:w="6912"/>
            <w:tcMar>
              <w:top w:w="80" w:type="dxa"/>
              <w:start w:w="80" w:type="dxa"/>
              <w:bottom w:w="80" w:type="dxa"/>
              <w:end w:w="80" w:type="dxa"/>
            </w:tcMar>
            <w:vAlign w:val="top"/>
          </w:tcPr>
          <w:p>
            <w:pPr>
              <w:spacing w:after="0"/>
            </w:pPr>
            <w:r>
              <w:rPr>
                <w:sz w:val="16"/>
              </w:rPr>
              <w:t>Strategy family.</w:t>
            </w:r>
          </w:p>
        </w:tc>
      </w:tr>
      <w:tr>
        <w:tc>
          <w:tcPr>
            <w:tcW w:type="dxa" w:w="2880"/>
            <w:tcMar>
              <w:top w:w="80" w:type="dxa"/>
              <w:start w:w="80" w:type="dxa"/>
              <w:bottom w:w="80" w:type="dxa"/>
              <w:end w:w="80" w:type="dxa"/>
            </w:tcMar>
            <w:vAlign w:val="top"/>
          </w:tcPr>
          <w:p>
            <w:pPr>
              <w:spacing w:after="0"/>
            </w:pPr>
            <w:r>
              <w:rPr>
                <w:sz w:val="16"/>
              </w:rPr>
              <w:t>correctionPrecedence</w:t>
            </w:r>
          </w:p>
        </w:tc>
        <w:tc>
          <w:tcPr>
            <w:tcW w:type="dxa" w:w="6912"/>
            <w:tcMar>
              <w:top w:w="80" w:type="dxa"/>
              <w:start w:w="80" w:type="dxa"/>
              <w:bottom w:w="80" w:type="dxa"/>
              <w:end w:w="80" w:type="dxa"/>
            </w:tcMar>
            <w:vAlign w:val="top"/>
          </w:tcPr>
          <w:p>
            <w:pPr>
              <w:spacing w:after="0"/>
            </w:pPr>
            <w:r>
              <w:rPr>
                <w:sz w:val="16"/>
              </w:rPr>
              <w:t>Preferred correction categories.</w:t>
            </w:r>
          </w:p>
        </w:tc>
      </w:tr>
      <w:tr>
        <w:tc>
          <w:tcPr>
            <w:tcW w:type="dxa" w:w="2880"/>
            <w:tcMar>
              <w:top w:w="80" w:type="dxa"/>
              <w:start w:w="80" w:type="dxa"/>
              <w:bottom w:w="80" w:type="dxa"/>
              <w:end w:w="80" w:type="dxa"/>
            </w:tcMar>
            <w:vAlign w:val="top"/>
          </w:tcPr>
          <w:p>
            <w:pPr>
              <w:spacing w:after="0"/>
            </w:pPr>
            <w:r>
              <w:rPr>
                <w:sz w:val="16"/>
              </w:rPr>
              <w:t>protectedInvariantIDs</w:t>
            </w:r>
          </w:p>
        </w:tc>
        <w:tc>
          <w:tcPr>
            <w:tcW w:type="dxa" w:w="6912"/>
            <w:tcMar>
              <w:top w:w="80" w:type="dxa"/>
              <w:start w:w="80" w:type="dxa"/>
              <w:bottom w:w="80" w:type="dxa"/>
              <w:end w:w="80" w:type="dxa"/>
            </w:tcMar>
            <w:vAlign w:val="top"/>
          </w:tcPr>
          <w:p>
            <w:pPr>
              <w:spacing w:after="0"/>
            </w:pPr>
            <w:r>
              <w:rPr>
                <w:sz w:val="16"/>
              </w:rPr>
              <w:t>Must remain protected.</w:t>
            </w:r>
          </w:p>
        </w:tc>
      </w:tr>
      <w:tr>
        <w:tc>
          <w:tcPr>
            <w:tcW w:type="dxa" w:w="2880"/>
            <w:tcMar>
              <w:top w:w="80" w:type="dxa"/>
              <w:start w:w="80" w:type="dxa"/>
              <w:bottom w:w="80" w:type="dxa"/>
              <w:end w:w="80" w:type="dxa"/>
            </w:tcMar>
            <w:vAlign w:val="top"/>
          </w:tcPr>
          <w:p>
            <w:pPr>
              <w:spacing w:after="0"/>
            </w:pPr>
            <w:r>
              <w:rPr>
                <w:sz w:val="16"/>
              </w:rPr>
              <w:t>allowedDegradationLadders</w:t>
            </w:r>
          </w:p>
        </w:tc>
        <w:tc>
          <w:tcPr>
            <w:tcW w:type="dxa" w:w="6912"/>
            <w:tcMar>
              <w:top w:w="80" w:type="dxa"/>
              <w:start w:w="80" w:type="dxa"/>
              <w:bottom w:w="80" w:type="dxa"/>
              <w:end w:w="80" w:type="dxa"/>
            </w:tcMar>
            <w:vAlign w:val="top"/>
          </w:tcPr>
          <w:p>
            <w:pPr>
              <w:spacing w:after="0"/>
            </w:pPr>
            <w:r>
              <w:rPr>
                <w:sz w:val="16"/>
              </w:rPr>
              <w:t>User-authorized lower-cost forms.</w:t>
            </w:r>
          </w:p>
        </w:tc>
      </w:tr>
      <w:tr>
        <w:tc>
          <w:tcPr>
            <w:tcW w:type="dxa" w:w="2880"/>
            <w:tcMar>
              <w:top w:w="80" w:type="dxa"/>
              <w:start w:w="80" w:type="dxa"/>
              <w:bottom w:w="80" w:type="dxa"/>
              <w:end w:w="80" w:type="dxa"/>
            </w:tcMar>
            <w:vAlign w:val="top"/>
          </w:tcPr>
          <w:p>
            <w:pPr>
              <w:spacing w:after="0"/>
            </w:pPr>
            <w:r>
              <w:rPr>
                <w:sz w:val="16"/>
              </w:rPr>
              <w:t>disallowedEffectKinds</w:t>
            </w:r>
          </w:p>
        </w:tc>
        <w:tc>
          <w:tcPr>
            <w:tcW w:type="dxa" w:w="6912"/>
            <w:tcMar>
              <w:top w:w="80" w:type="dxa"/>
              <w:start w:w="80" w:type="dxa"/>
              <w:bottom w:w="80" w:type="dxa"/>
              <w:end w:w="80" w:type="dxa"/>
            </w:tcMar>
            <w:vAlign w:val="top"/>
          </w:tcPr>
          <w:p>
            <w:pPr>
              <w:spacing w:after="0"/>
            </w:pPr>
            <w:r>
              <w:rPr>
                <w:sz w:val="16"/>
              </w:rPr>
              <w:t>Effects policy cannot propose.</w:t>
            </w:r>
          </w:p>
        </w:tc>
      </w:tr>
      <w:tr>
        <w:tc>
          <w:tcPr>
            <w:tcW w:type="dxa" w:w="2880"/>
            <w:tcMar>
              <w:top w:w="80" w:type="dxa"/>
              <w:start w:w="80" w:type="dxa"/>
              <w:bottom w:w="80" w:type="dxa"/>
              <w:end w:w="80" w:type="dxa"/>
            </w:tcMar>
            <w:vAlign w:val="top"/>
          </w:tcPr>
          <w:p>
            <w:pPr>
              <w:spacing w:after="0"/>
            </w:pPr>
            <w:r>
              <w:rPr>
                <w:sz w:val="16"/>
              </w:rPr>
              <w:t>validityInterval / enabled</w:t>
            </w:r>
          </w:p>
        </w:tc>
        <w:tc>
          <w:tcPr>
            <w:tcW w:type="dxa" w:w="6912"/>
            <w:tcMar>
              <w:top w:w="80" w:type="dxa"/>
              <w:start w:w="80" w:type="dxa"/>
              <w:bottom w:w="80" w:type="dxa"/>
              <w:end w:w="80" w:type="dxa"/>
            </w:tcMar>
            <w:vAlign w:val="top"/>
          </w:tcPr>
          <w:p>
            <w:pPr>
              <w:spacing w:after="0"/>
            </w:pPr>
            <w:r>
              <w:rPr>
                <w:sz w:val="16"/>
              </w:rPr>
              <w:t>Scope and lifecycle.</w:t>
            </w:r>
          </w:p>
        </w:tc>
      </w:tr>
    </w:tbl>
    <w:p>
      <w:pPr>
        <w:spacing w:after="0"/>
      </w:pPr>
    </w:p>
    <w:p>
      <w:pPr>
        <w:pStyle w:val="Heading2"/>
        <w:keepNext/>
      </w:pPr>
      <w:r>
        <w:t>6.5 ConflictCore and CorrectionSet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tcMar>
              <w:top w:w="80" w:type="dxa"/>
              <w:start w:w="80" w:type="dxa"/>
              <w:bottom w:w="80" w:type="dxa"/>
              <w:end w:w="80" w:type="dxa"/>
            </w:tcMar>
            <w:vAlign w:val="center"/>
          </w:tcPr>
          <w:p>
            <w:pPr>
              <w:jc w:val="center"/>
            </w:pPr>
            <w:r>
              <w:rPr>
                <w:b/>
                <w:color w:val="FFFFFF"/>
                <w:sz w:val="16"/>
              </w:rPr>
              <w:t>Field</w:t>
            </w:r>
          </w:p>
        </w:tc>
        <w:tc>
          <w:tcPr>
            <w:tcW w:type="dxa" w:w="6912"/>
            <w:shd w:fill="17324D"/>
            <w:tcMar>
              <w:top w:w="80" w:type="dxa"/>
              <w:start w:w="80" w:type="dxa"/>
              <w:bottom w:w="80" w:type="dxa"/>
              <w:end w:w="80" w:type="dxa"/>
            </w:tcMar>
            <w:vAlign w:val="center"/>
          </w:tcPr>
          <w:p>
            <w:pPr>
              <w:jc w:val="center"/>
            </w:pPr>
            <w:r>
              <w:rPr>
                <w:b/>
                <w:color w:val="FFFFFF"/>
                <w:sz w:val="16"/>
              </w:rPr>
              <w:t>Purpose / constraint</w:t>
            </w:r>
          </w:p>
        </w:tc>
      </w:tr>
      <w:tr>
        <w:tc>
          <w:tcPr>
            <w:tcW w:type="dxa" w:w="2880"/>
            <w:tcMar>
              <w:top w:w="80" w:type="dxa"/>
              <w:start w:w="80" w:type="dxa"/>
              <w:bottom w:w="80" w:type="dxa"/>
              <w:end w:w="80" w:type="dxa"/>
            </w:tcMar>
            <w:vAlign w:val="top"/>
          </w:tcPr>
          <w:p>
            <w:pPr>
              <w:spacing w:after="0"/>
            </w:pPr>
            <w:r>
              <w:rPr>
                <w:sz w:val="16"/>
              </w:rPr>
              <w:t>conditionIDs</w:t>
            </w:r>
          </w:p>
        </w:tc>
        <w:tc>
          <w:tcPr>
            <w:tcW w:type="dxa" w:w="6912"/>
            <w:tcMar>
              <w:top w:w="80" w:type="dxa"/>
              <w:start w:w="80" w:type="dxa"/>
              <w:bottom w:w="80" w:type="dxa"/>
              <w:end w:w="80" w:type="dxa"/>
            </w:tcMar>
            <w:vAlign w:val="top"/>
          </w:tcPr>
          <w:p>
            <w:pPr>
              <w:spacing w:after="0"/>
            </w:pPr>
            <w:r>
              <w:rPr>
                <w:sz w:val="16"/>
              </w:rPr>
              <w:t>Jointly conflicting conditions.</w:t>
            </w:r>
          </w:p>
        </w:tc>
      </w:tr>
      <w:tr>
        <w:tc>
          <w:tcPr>
            <w:tcW w:type="dxa" w:w="2880"/>
            <w:tcMar>
              <w:top w:w="80" w:type="dxa"/>
              <w:start w:w="80" w:type="dxa"/>
              <w:bottom w:w="80" w:type="dxa"/>
              <w:end w:w="80" w:type="dxa"/>
            </w:tcMar>
            <w:vAlign w:val="top"/>
          </w:tcPr>
          <w:p>
            <w:pPr>
              <w:spacing w:after="0"/>
            </w:pPr>
            <w:r>
              <w:rPr>
                <w:sz w:val="16"/>
              </w:rPr>
              <w:t>fixedConditionIDs</w:t>
            </w:r>
          </w:p>
        </w:tc>
        <w:tc>
          <w:tcPr>
            <w:tcW w:type="dxa" w:w="6912"/>
            <w:tcMar>
              <w:top w:w="80" w:type="dxa"/>
              <w:start w:w="80" w:type="dxa"/>
              <w:bottom w:w="80" w:type="dxa"/>
              <w:end w:w="80" w:type="dxa"/>
            </w:tcMar>
            <w:vAlign w:val="top"/>
          </w:tcPr>
          <w:p>
            <w:pPr>
              <w:spacing w:after="0"/>
            </w:pPr>
            <w:r>
              <w:rPr>
                <w:sz w:val="16"/>
              </w:rPr>
              <w:t>Non-relaxable facts/laws.</w:t>
            </w:r>
          </w:p>
        </w:tc>
      </w:tr>
      <w:tr>
        <w:tc>
          <w:tcPr>
            <w:tcW w:type="dxa" w:w="2880"/>
            <w:tcMar>
              <w:top w:w="80" w:type="dxa"/>
              <w:start w:w="80" w:type="dxa"/>
              <w:bottom w:w="80" w:type="dxa"/>
              <w:end w:w="80" w:type="dxa"/>
            </w:tcMar>
            <w:vAlign w:val="top"/>
          </w:tcPr>
          <w:p>
            <w:pPr>
              <w:spacing w:after="0"/>
            </w:pPr>
            <w:r>
              <w:rPr>
                <w:sz w:val="16"/>
              </w:rPr>
              <w:t>relaxableConditionIDs</w:t>
            </w:r>
          </w:p>
        </w:tc>
        <w:tc>
          <w:tcPr>
            <w:tcW w:type="dxa" w:w="6912"/>
            <w:tcMar>
              <w:top w:w="80" w:type="dxa"/>
              <w:start w:w="80" w:type="dxa"/>
              <w:bottom w:w="80" w:type="dxa"/>
              <w:end w:w="80" w:type="dxa"/>
            </w:tcMar>
            <w:vAlign w:val="top"/>
          </w:tcPr>
          <w:p>
            <w:pPr>
              <w:spacing w:after="0"/>
            </w:pPr>
            <w:r>
              <w:rPr>
                <w:sz w:val="16"/>
              </w:rPr>
              <w:t>Eligible for waiver, reduction, substitution, or deferral.</w:t>
            </w:r>
          </w:p>
        </w:tc>
      </w:tr>
      <w:tr>
        <w:tc>
          <w:tcPr>
            <w:tcW w:type="dxa" w:w="2880"/>
            <w:tcMar>
              <w:top w:w="80" w:type="dxa"/>
              <w:start w:w="80" w:type="dxa"/>
              <w:bottom w:w="80" w:type="dxa"/>
              <w:end w:w="80" w:type="dxa"/>
            </w:tcMar>
            <w:vAlign w:val="top"/>
          </w:tcPr>
          <w:p>
            <w:pPr>
              <w:spacing w:after="0"/>
            </w:pPr>
            <w:r>
              <w:rPr>
                <w:sz w:val="16"/>
              </w:rPr>
              <w:t>minimality</w:t>
            </w:r>
          </w:p>
        </w:tc>
        <w:tc>
          <w:tcPr>
            <w:tcW w:type="dxa" w:w="6912"/>
            <w:tcMar>
              <w:top w:w="80" w:type="dxa"/>
              <w:start w:w="80" w:type="dxa"/>
              <w:bottom w:w="80" w:type="dxa"/>
              <w:end w:w="80" w:type="dxa"/>
            </w:tcMar>
            <w:vAlign w:val="top"/>
          </w:tcPr>
          <w:p>
            <w:pPr>
              <w:spacing w:after="0"/>
            </w:pPr>
            <w:r>
              <w:rPr>
                <w:sz w:val="16"/>
              </w:rPr>
              <w:t>Sufficient, irreducible, or proven minimal.</w:t>
            </w:r>
          </w:p>
        </w:tc>
      </w:tr>
      <w:tr>
        <w:tc>
          <w:tcPr>
            <w:tcW w:type="dxa" w:w="2880"/>
            <w:tcMar>
              <w:top w:w="80" w:type="dxa"/>
              <w:start w:w="80" w:type="dxa"/>
              <w:bottom w:w="80" w:type="dxa"/>
              <w:end w:w="80" w:type="dxa"/>
            </w:tcMar>
            <w:vAlign w:val="top"/>
          </w:tcPr>
          <w:p>
            <w:pPr>
              <w:spacing w:after="0"/>
            </w:pPr>
            <w:r>
              <w:rPr>
                <w:sz w:val="16"/>
              </w:rPr>
              <w:t>correctionSet.policyFamily</w:t>
            </w:r>
          </w:p>
        </w:tc>
        <w:tc>
          <w:tcPr>
            <w:tcW w:type="dxa" w:w="6912"/>
            <w:tcMar>
              <w:top w:w="80" w:type="dxa"/>
              <w:start w:w="80" w:type="dxa"/>
              <w:bottom w:w="80" w:type="dxa"/>
              <w:end w:w="80" w:type="dxa"/>
            </w:tcMar>
            <w:vAlign w:val="top"/>
          </w:tcPr>
          <w:p>
            <w:pPr>
              <w:spacing w:after="0"/>
            </w:pPr>
            <w:r>
              <w:rPr>
                <w:sz w:val="16"/>
              </w:rPr>
              <w:t>Meaningful strategy difference.</w:t>
            </w:r>
          </w:p>
        </w:tc>
      </w:tr>
      <w:tr>
        <w:tc>
          <w:tcPr>
            <w:tcW w:type="dxa" w:w="2880"/>
            <w:tcMar>
              <w:top w:w="80" w:type="dxa"/>
              <w:start w:w="80" w:type="dxa"/>
              <w:bottom w:w="80" w:type="dxa"/>
              <w:end w:w="80" w:type="dxa"/>
            </w:tcMar>
            <w:vAlign w:val="top"/>
          </w:tcPr>
          <w:p>
            <w:pPr>
              <w:spacing w:after="0"/>
            </w:pPr>
            <w:r>
              <w:rPr>
                <w:sz w:val="16"/>
              </w:rPr>
              <w:t>relaxations</w:t>
            </w:r>
          </w:p>
        </w:tc>
        <w:tc>
          <w:tcPr>
            <w:tcW w:type="dxa" w:w="6912"/>
            <w:tcMar>
              <w:top w:w="80" w:type="dxa"/>
              <w:start w:w="80" w:type="dxa"/>
              <w:bottom w:w="80" w:type="dxa"/>
              <w:end w:w="80" w:type="dxa"/>
            </w:tcMar>
            <w:vAlign w:val="top"/>
          </w:tcPr>
          <w:p>
            <w:pPr>
              <w:spacing w:after="0"/>
            </w:pPr>
            <w:r>
              <w:rPr>
                <w:sz w:val="16"/>
              </w:rPr>
              <w:t>Exact changes restoring certification.</w:t>
            </w:r>
          </w:p>
        </w:tc>
      </w:tr>
      <w:tr>
        <w:tc>
          <w:tcPr>
            <w:tcW w:type="dxa" w:w="2880"/>
            <w:tcMar>
              <w:top w:w="80" w:type="dxa"/>
              <w:start w:w="80" w:type="dxa"/>
              <w:bottom w:w="80" w:type="dxa"/>
              <w:end w:w="80" w:type="dxa"/>
            </w:tcMar>
            <w:vAlign w:val="top"/>
          </w:tcPr>
          <w:p>
            <w:pPr>
              <w:spacing w:after="0"/>
            </w:pPr>
            <w:r>
              <w:rPr>
                <w:sz w:val="16"/>
              </w:rPr>
              <w:t>protected / sacrificed invariants</w:t>
            </w:r>
          </w:p>
        </w:tc>
        <w:tc>
          <w:tcPr>
            <w:tcW w:type="dxa" w:w="6912"/>
            <w:tcMar>
              <w:top w:w="80" w:type="dxa"/>
              <w:start w:w="80" w:type="dxa"/>
              <w:bottom w:w="80" w:type="dxa"/>
              <w:end w:w="80" w:type="dxa"/>
            </w:tcMar>
            <w:vAlign w:val="top"/>
          </w:tcPr>
          <w:p>
            <w:pPr>
              <w:spacing w:after="0"/>
            </w:pPr>
            <w:r>
              <w:rPr>
                <w:sz w:val="16"/>
              </w:rPr>
              <w:t>Visible trade-off.</w:t>
            </w:r>
          </w:p>
        </w:tc>
      </w:tr>
      <w:tr>
        <w:tc>
          <w:tcPr>
            <w:tcW w:type="dxa" w:w="2880"/>
            <w:tcMar>
              <w:top w:w="80" w:type="dxa"/>
              <w:start w:w="80" w:type="dxa"/>
              <w:bottom w:w="80" w:type="dxa"/>
              <w:end w:w="80" w:type="dxa"/>
            </w:tcMar>
            <w:vAlign w:val="top"/>
          </w:tcPr>
          <w:p>
            <w:pPr>
              <w:spacing w:after="0"/>
            </w:pPr>
            <w:r>
              <w:rPr>
                <w:sz w:val="16"/>
              </w:rPr>
              <w:t>semanticFingerprint</w:t>
            </w:r>
          </w:p>
        </w:tc>
        <w:tc>
          <w:tcPr>
            <w:tcW w:type="dxa" w:w="6912"/>
            <w:tcMar>
              <w:top w:w="80" w:type="dxa"/>
              <w:start w:w="80" w:type="dxa"/>
              <w:bottom w:w="80" w:type="dxa"/>
              <w:end w:w="80" w:type="dxa"/>
            </w:tcMar>
            <w:vAlign w:val="top"/>
          </w:tcPr>
          <w:p>
            <w:pPr>
              <w:spacing w:after="0"/>
            </w:pPr>
            <w:r>
              <w:rPr>
                <w:sz w:val="16"/>
              </w:rPr>
              <w:t>Duplicate suppression.</w:t>
            </w:r>
          </w:p>
        </w:tc>
      </w:tr>
    </w:tbl>
    <w:p>
      <w:pPr>
        <w:spacing w:after="0"/>
      </w:pPr>
    </w:p>
    <w:p>
      <w:pPr>
        <w:pStyle w:val="Heading2"/>
        <w:keepNext/>
      </w:pPr>
      <w:r>
        <w:t>6.6 BranchPromotionTransaction</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tcMar>
              <w:top w:w="80" w:type="dxa"/>
              <w:start w:w="80" w:type="dxa"/>
              <w:bottom w:w="80" w:type="dxa"/>
              <w:end w:w="80" w:type="dxa"/>
            </w:tcMar>
            <w:vAlign w:val="center"/>
          </w:tcPr>
          <w:p>
            <w:pPr>
              <w:jc w:val="center"/>
            </w:pPr>
            <w:r>
              <w:rPr>
                <w:b/>
                <w:color w:val="FFFFFF"/>
                <w:sz w:val="16"/>
              </w:rPr>
              <w:t>Field</w:t>
            </w:r>
          </w:p>
        </w:tc>
        <w:tc>
          <w:tcPr>
            <w:tcW w:type="dxa" w:w="6912"/>
            <w:shd w:fill="17324D"/>
            <w:tcMar>
              <w:top w:w="80" w:type="dxa"/>
              <w:start w:w="80" w:type="dxa"/>
              <w:bottom w:w="80" w:type="dxa"/>
              <w:end w:w="80" w:type="dxa"/>
            </w:tcMar>
            <w:vAlign w:val="center"/>
          </w:tcPr>
          <w:p>
            <w:pPr>
              <w:jc w:val="center"/>
            </w:pPr>
            <w:r>
              <w:rPr>
                <w:b/>
                <w:color w:val="FFFFFF"/>
                <w:sz w:val="16"/>
              </w:rPr>
              <w:t>Purpose / constraint</w:t>
            </w:r>
          </w:p>
        </w:tc>
      </w:tr>
      <w:tr>
        <w:tc>
          <w:tcPr>
            <w:tcW w:type="dxa" w:w="2880"/>
            <w:tcMar>
              <w:top w:w="80" w:type="dxa"/>
              <w:start w:w="80" w:type="dxa"/>
              <w:bottom w:w="80" w:type="dxa"/>
              <w:end w:w="80" w:type="dxa"/>
            </w:tcMar>
            <w:vAlign w:val="top"/>
          </w:tcPr>
          <w:p>
            <w:pPr>
              <w:spacing w:after="0"/>
            </w:pPr>
            <w:r>
              <w:rPr>
                <w:sz w:val="16"/>
              </w:rPr>
              <w:t>selectedBranchID / priorActiveBranchID</w:t>
            </w:r>
          </w:p>
        </w:tc>
        <w:tc>
          <w:tcPr>
            <w:tcW w:type="dxa" w:w="6912"/>
            <w:tcMar>
              <w:top w:w="80" w:type="dxa"/>
              <w:start w:w="80" w:type="dxa"/>
              <w:bottom w:w="80" w:type="dxa"/>
              <w:end w:w="80" w:type="dxa"/>
            </w:tcMar>
            <w:vAlign w:val="top"/>
          </w:tcPr>
          <w:p>
            <w:pPr>
              <w:spacing w:after="0"/>
            </w:pPr>
            <w:r>
              <w:rPr>
                <w:sz w:val="16"/>
              </w:rPr>
              <w:t>Parent decision identity.</w:t>
            </w:r>
          </w:p>
        </w:tc>
      </w:tr>
      <w:tr>
        <w:tc>
          <w:tcPr>
            <w:tcW w:type="dxa" w:w="2880"/>
            <w:tcMar>
              <w:top w:w="80" w:type="dxa"/>
              <w:start w:w="80" w:type="dxa"/>
              <w:bottom w:w="80" w:type="dxa"/>
              <w:end w:w="80" w:type="dxa"/>
            </w:tcMar>
            <w:vAlign w:val="top"/>
          </w:tcPr>
          <w:p>
            <w:pPr>
              <w:spacing w:after="0"/>
            </w:pPr>
            <w:r>
              <w:rPr>
                <w:sz w:val="16"/>
              </w:rPr>
              <w:t>expectedBaseGraphRevision</w:t>
            </w:r>
          </w:p>
        </w:tc>
        <w:tc>
          <w:tcPr>
            <w:tcW w:type="dxa" w:w="6912"/>
            <w:tcMar>
              <w:top w:w="80" w:type="dxa"/>
              <w:start w:w="80" w:type="dxa"/>
              <w:bottom w:w="80" w:type="dxa"/>
              <w:end w:w="80" w:type="dxa"/>
            </w:tcMar>
            <w:vAlign w:val="top"/>
          </w:tcPr>
          <w:p>
            <w:pPr>
              <w:spacing w:after="0"/>
            </w:pPr>
            <w:r>
              <w:rPr>
                <w:sz w:val="16"/>
              </w:rPr>
              <w:t>Staleness check.</w:t>
            </w:r>
          </w:p>
        </w:tc>
      </w:tr>
      <w:tr>
        <w:tc>
          <w:tcPr>
            <w:tcW w:type="dxa" w:w="2880"/>
            <w:tcMar>
              <w:top w:w="80" w:type="dxa"/>
              <w:start w:w="80" w:type="dxa"/>
              <w:bottom w:w="80" w:type="dxa"/>
              <w:end w:w="80" w:type="dxa"/>
            </w:tcMar>
            <w:vAlign w:val="top"/>
          </w:tcPr>
          <w:p>
            <w:pPr>
              <w:spacing w:after="0"/>
            </w:pPr>
            <w:r>
              <w:rPr>
                <w:sz w:val="16"/>
              </w:rPr>
              <w:t>expectedCertificateFingerprint</w:t>
            </w:r>
          </w:p>
        </w:tc>
        <w:tc>
          <w:tcPr>
            <w:tcW w:type="dxa" w:w="6912"/>
            <w:tcMar>
              <w:top w:w="80" w:type="dxa"/>
              <w:start w:w="80" w:type="dxa"/>
              <w:bottom w:w="80" w:type="dxa"/>
              <w:end w:w="80" w:type="dxa"/>
            </w:tcMar>
            <w:vAlign w:val="top"/>
          </w:tcPr>
          <w:p>
            <w:pPr>
              <w:spacing w:after="0"/>
            </w:pPr>
            <w:r>
              <w:rPr>
                <w:sz w:val="16"/>
              </w:rPr>
              <w:t>Certificate revalidation.</w:t>
            </w:r>
          </w:p>
        </w:tc>
      </w:tr>
      <w:tr>
        <w:tc>
          <w:tcPr>
            <w:tcW w:type="dxa" w:w="2880"/>
            <w:tcMar>
              <w:top w:w="80" w:type="dxa"/>
              <w:start w:w="80" w:type="dxa"/>
              <w:bottom w:w="80" w:type="dxa"/>
              <w:end w:w="80" w:type="dxa"/>
            </w:tcMar>
            <w:vAlign w:val="top"/>
          </w:tcPr>
          <w:p>
            <w:pPr>
              <w:spacing w:after="0"/>
            </w:pPr>
            <w:r>
              <w:rPr>
                <w:sz w:val="16"/>
              </w:rPr>
              <w:t>readSet</w:t>
            </w:r>
          </w:p>
        </w:tc>
        <w:tc>
          <w:tcPr>
            <w:tcW w:type="dxa" w:w="6912"/>
            <w:tcMar>
              <w:top w:w="80" w:type="dxa"/>
              <w:start w:w="80" w:type="dxa"/>
              <w:bottom w:w="80" w:type="dxa"/>
              <w:end w:w="80" w:type="dxa"/>
            </w:tcMar>
            <w:vAlign w:val="top"/>
          </w:tcPr>
          <w:p>
            <w:pPr>
              <w:spacing w:after="0"/>
            </w:pPr>
            <w:r>
              <w:rPr>
                <w:sz w:val="16"/>
              </w:rPr>
              <w:t>Revisioned facts relied on.</w:t>
            </w:r>
          </w:p>
        </w:tc>
      </w:tr>
      <w:tr>
        <w:tc>
          <w:tcPr>
            <w:tcW w:type="dxa" w:w="2880"/>
            <w:tcMar>
              <w:top w:w="80" w:type="dxa"/>
              <w:start w:w="80" w:type="dxa"/>
              <w:bottom w:w="80" w:type="dxa"/>
              <w:end w:w="80" w:type="dxa"/>
            </w:tcMar>
            <w:vAlign w:val="top"/>
          </w:tcPr>
          <w:p>
            <w:pPr>
              <w:spacing w:after="0"/>
            </w:pPr>
            <w:r>
              <w:rPr>
                <w:sz w:val="16"/>
              </w:rPr>
              <w:t>writeSet</w:t>
            </w:r>
          </w:p>
        </w:tc>
        <w:tc>
          <w:tcPr>
            <w:tcW w:type="dxa" w:w="6912"/>
            <w:tcMar>
              <w:top w:w="80" w:type="dxa"/>
              <w:start w:w="80" w:type="dxa"/>
              <w:bottom w:w="80" w:type="dxa"/>
              <w:end w:w="80" w:type="dxa"/>
            </w:tcMar>
            <w:vAlign w:val="top"/>
          </w:tcPr>
          <w:p>
            <w:pPr>
              <w:spacing w:after="0"/>
            </w:pPr>
            <w:r>
              <w:rPr>
                <w:sz w:val="16"/>
              </w:rPr>
              <w:t>User-owned typed operations.</w:t>
            </w:r>
          </w:p>
        </w:tc>
      </w:tr>
      <w:tr>
        <w:tc>
          <w:tcPr>
            <w:tcW w:type="dxa" w:w="2880"/>
            <w:tcMar>
              <w:top w:w="80" w:type="dxa"/>
              <w:start w:w="80" w:type="dxa"/>
              <w:bottom w:w="80" w:type="dxa"/>
              <w:end w:w="80" w:type="dxa"/>
            </w:tcMar>
            <w:vAlign w:val="top"/>
          </w:tcPr>
          <w:p>
            <w:pPr>
              <w:spacing w:after="0"/>
            </w:pPr>
            <w:r>
              <w:rPr>
                <w:sz w:val="16"/>
              </w:rPr>
              <w:t>meaningSet</w:t>
            </w:r>
          </w:p>
        </w:tc>
        <w:tc>
          <w:tcPr>
            <w:tcW w:type="dxa" w:w="6912"/>
            <w:tcMar>
              <w:top w:w="80" w:type="dxa"/>
              <w:start w:w="80" w:type="dxa"/>
              <w:bottom w:w="80" w:type="dxa"/>
              <w:end w:w="80" w:type="dxa"/>
            </w:tcMar>
            <w:vAlign w:val="top"/>
          </w:tcPr>
          <w:p>
            <w:pPr>
              <w:spacing w:after="0"/>
            </w:pPr>
            <w:r>
              <w:rPr>
                <w:sz w:val="16"/>
              </w:rPr>
              <w:t>Human consequences.</w:t>
            </w:r>
          </w:p>
        </w:tc>
      </w:tr>
      <w:tr>
        <w:tc>
          <w:tcPr>
            <w:tcW w:type="dxa" w:w="2880"/>
            <w:tcMar>
              <w:top w:w="80" w:type="dxa"/>
              <w:start w:w="80" w:type="dxa"/>
              <w:bottom w:w="80" w:type="dxa"/>
              <w:end w:w="80" w:type="dxa"/>
            </w:tcMar>
            <w:vAlign w:val="top"/>
          </w:tcPr>
          <w:p>
            <w:pPr>
              <w:spacing w:after="0"/>
            </w:pPr>
            <w:r>
              <w:rPr>
                <w:sz w:val="16"/>
              </w:rPr>
              <w:t>authoritySet</w:t>
            </w:r>
          </w:p>
        </w:tc>
        <w:tc>
          <w:tcPr>
            <w:tcW w:type="dxa" w:w="6912"/>
            <w:tcMar>
              <w:top w:w="80" w:type="dxa"/>
              <w:start w:w="80" w:type="dxa"/>
              <w:bottom w:w="80" w:type="dxa"/>
              <w:end w:w="80" w:type="dxa"/>
            </w:tcMar>
            <w:vAlign w:val="top"/>
          </w:tcPr>
          <w:p>
            <w:pPr>
              <w:spacing w:after="0"/>
            </w:pPr>
            <w:r>
              <w:rPr>
                <w:sz w:val="16"/>
              </w:rPr>
              <w:t>Required principals and permissions.</w:t>
            </w:r>
          </w:p>
        </w:tc>
      </w:tr>
      <w:tr>
        <w:tc>
          <w:tcPr>
            <w:tcW w:type="dxa" w:w="2880"/>
            <w:tcMar>
              <w:top w:w="80" w:type="dxa"/>
              <w:start w:w="80" w:type="dxa"/>
              <w:bottom w:w="80" w:type="dxa"/>
              <w:end w:w="80" w:type="dxa"/>
            </w:tcMar>
            <w:vAlign w:val="top"/>
          </w:tcPr>
          <w:p>
            <w:pPr>
              <w:spacing w:after="0"/>
            </w:pPr>
            <w:r>
              <w:rPr>
                <w:sz w:val="16"/>
              </w:rPr>
              <w:t>childProposalIDs</w:t>
            </w:r>
          </w:p>
        </w:tc>
        <w:tc>
          <w:tcPr>
            <w:tcW w:type="dxa" w:w="6912"/>
            <w:tcMar>
              <w:top w:w="80" w:type="dxa"/>
              <w:start w:w="80" w:type="dxa"/>
              <w:bottom w:w="80" w:type="dxa"/>
              <w:end w:w="80" w:type="dxa"/>
            </w:tcMar>
            <w:vAlign w:val="top"/>
          </w:tcPr>
          <w:p>
            <w:pPr>
              <w:spacing w:after="0"/>
            </w:pPr>
            <w:r>
              <w:rPr>
                <w:sz w:val="16"/>
              </w:rPr>
              <w:t>Recipient-owned effects.</w:t>
            </w:r>
          </w:p>
        </w:tc>
      </w:tr>
      <w:tr>
        <w:tc>
          <w:tcPr>
            <w:tcW w:type="dxa" w:w="2880"/>
            <w:tcMar>
              <w:top w:w="80" w:type="dxa"/>
              <w:start w:w="80" w:type="dxa"/>
              <w:bottom w:w="80" w:type="dxa"/>
              <w:end w:w="80" w:type="dxa"/>
            </w:tcMar>
            <w:vAlign w:val="top"/>
          </w:tcPr>
          <w:p>
            <w:pPr>
              <w:spacing w:after="0"/>
            </w:pPr>
            <w:r>
              <w:rPr>
                <w:sz w:val="16"/>
              </w:rPr>
              <w:t>externalEffectIntentIDs</w:t>
            </w:r>
          </w:p>
        </w:tc>
        <w:tc>
          <w:tcPr>
            <w:tcW w:type="dxa" w:w="6912"/>
            <w:tcMar>
              <w:top w:w="80" w:type="dxa"/>
              <w:start w:w="80" w:type="dxa"/>
              <w:bottom w:w="80" w:type="dxa"/>
              <w:end w:w="80" w:type="dxa"/>
            </w:tcMar>
            <w:vAlign w:val="top"/>
          </w:tcPr>
          <w:p>
            <w:pPr>
              <w:spacing w:after="0"/>
            </w:pPr>
            <w:r>
              <w:rPr>
                <w:sz w:val="16"/>
              </w:rPr>
              <w:t>Outbox effects after local commit.</w:t>
            </w:r>
          </w:p>
        </w:tc>
      </w:tr>
      <w:tr>
        <w:tc>
          <w:tcPr>
            <w:tcW w:type="dxa" w:w="2880"/>
            <w:tcMar>
              <w:top w:w="80" w:type="dxa"/>
              <w:start w:w="80" w:type="dxa"/>
              <w:bottom w:w="80" w:type="dxa"/>
              <w:end w:w="80" w:type="dxa"/>
            </w:tcMar>
            <w:vAlign w:val="top"/>
          </w:tcPr>
          <w:p>
            <w:pPr>
              <w:spacing w:after="0"/>
            </w:pPr>
            <w:r>
              <w:rPr>
                <w:sz w:val="16"/>
              </w:rPr>
              <w:t>rollbackPlanID</w:t>
            </w:r>
          </w:p>
        </w:tc>
        <w:tc>
          <w:tcPr>
            <w:tcW w:type="dxa" w:w="6912"/>
            <w:tcMar>
              <w:top w:w="80" w:type="dxa"/>
              <w:start w:w="80" w:type="dxa"/>
              <w:bottom w:w="80" w:type="dxa"/>
              <w:end w:w="80" w:type="dxa"/>
            </w:tcMar>
            <w:vAlign w:val="top"/>
          </w:tcPr>
          <w:p>
            <w:pPr>
              <w:spacing w:after="0"/>
            </w:pPr>
            <w:r>
              <w:rPr>
                <w:sz w:val="16"/>
              </w:rPr>
              <w:t>Literal reversal or compensation.</w:t>
            </w:r>
          </w:p>
        </w:tc>
      </w:tr>
      <w:tr>
        <w:tc>
          <w:tcPr>
            <w:tcW w:type="dxa" w:w="2880"/>
            <w:tcMar>
              <w:top w:w="80" w:type="dxa"/>
              <w:start w:w="80" w:type="dxa"/>
              <w:bottom w:w="80" w:type="dxa"/>
              <w:end w:w="80" w:type="dxa"/>
            </w:tcMar>
            <w:vAlign w:val="top"/>
          </w:tcPr>
          <w:p>
            <w:pPr>
              <w:spacing w:after="0"/>
            </w:pPr>
            <w:r>
              <w:rPr>
                <w:sz w:val="16"/>
              </w:rPr>
              <w:t>policyRevision / recordedSeed</w:t>
            </w:r>
          </w:p>
        </w:tc>
        <w:tc>
          <w:tcPr>
            <w:tcW w:type="dxa" w:w="6912"/>
            <w:tcMar>
              <w:top w:w="80" w:type="dxa"/>
              <w:start w:w="80" w:type="dxa"/>
              <w:bottom w:w="80" w:type="dxa"/>
              <w:end w:w="80" w:type="dxa"/>
            </w:tcMar>
            <w:vAlign w:val="top"/>
          </w:tcPr>
          <w:p>
            <w:pPr>
              <w:spacing w:after="0"/>
            </w:pPr>
            <w:r>
              <w:rPr>
                <w:sz w:val="16"/>
              </w:rPr>
              <w:t>Deterministic replay.</w:t>
            </w:r>
          </w:p>
        </w:tc>
      </w:tr>
    </w:tbl>
    <w:p>
      <w:pPr>
        <w:spacing w:after="0"/>
      </w:pPr>
    </w:p>
    <w:p>
      <w:pPr>
        <w:pStyle w:val="Heading1"/>
        <w:keepNext/>
      </w:pPr>
      <w:r>
        <w:t>7. State machines</w:t>
      </w:r>
    </w:p>
    <w:p>
      <w:pPr>
        <w:pStyle w:val="Heading2"/>
        <w:keepNext/>
      </w:pPr>
      <w:r>
        <w:t>7.1 Branch lifecycle</w:t>
      </w:r>
    </w:p>
    <w:p>
      <w:pPr>
        <w:pStyle w:val="CEBRCode"/>
        <w:keepLines w:val="0"/>
      </w:pPr>
      <w:r>
        <w:t>materializing</w:t>
        <w:br/>
      </w:r>
      <w:r>
        <w:t xml:space="preserve">   ↓</w:t>
        <w:br/>
      </w:r>
      <w:r>
        <w:t>candidate-feasible / candidate-fragile / candidate-blocked / candidate-infeasible</w:t>
        <w:br/>
      </w:r>
      <w:r>
        <w:t xml:space="preserve">   ↓ user selection</w:t>
        <w:br/>
      </w:r>
      <w:r>
        <w:t>selected</w:t>
        <w:br/>
      </w:r>
      <w:r>
        <w:t xml:space="preserve">   ↓ current-state revalidation</w:t>
        <w:br/>
      </w:r>
      <w:r>
        <w:t>committing</w:t>
        <w:br/>
      </w:r>
      <w:r>
        <w:t xml:space="preserve">   ↓ local commit</w:t>
        <w:br/>
      </w:r>
      <w:r>
        <w:t>active-local</w:t>
        <w:br/>
      </w:r>
      <w:r>
        <w:t xml:space="preserve">   ↓ branch-defining pending authority/effects resolve</w:t>
        <w:br/>
      </w:r>
      <w:r>
        <w:t>active</w:t>
        <w:br/>
      </w:r>
      <w:r>
        <w:t xml:space="preserve">   ↓ later revision or replacement</w:t>
        <w:br/>
      </w:r>
      <w:r>
        <w:t>fragile / stale / superseded / rolled-back / expired</w:t>
      </w:r>
    </w:p>
    <w:p>
      <w:pPr>
        <w:pStyle w:val="Heading2"/>
        <w:keepNext/>
      </w:pPr>
      <w:r>
        <w:t>7.2 Certificate lifecycle</w:t>
      </w:r>
    </w:p>
    <w:p>
      <w:pPr>
        <w:pStyle w:val="CEBRCode"/>
        <w:keepLines w:val="0"/>
      </w:pPr>
      <w:r>
        <w:t>building</w:t>
        <w:br/>
      </w:r>
      <w:r>
        <w:t xml:space="preserve">   ├─&gt; valid</w:t>
        <w:br/>
      </w:r>
      <w:r>
        <w:t xml:space="preserve">   ├─&gt; fragile</w:t>
        <w:br/>
      </w:r>
      <w:r>
        <w:t xml:space="preserve">   ├─&gt; blocked</w:t>
        <w:br/>
      </w:r>
      <w:r>
        <w:t xml:space="preserve">   └─&gt; invalid</w:t>
        <w:br/>
      </w:r>
      <w:r>
        <w:t>revision event -&gt; stale -&gt; replacement certificate</w:t>
        <w:br/>
      </w:r>
      <w:r>
        <w:t>branch replacement -&gt; superseded</w:t>
      </w:r>
    </w:p>
    <w:p>
      <w:pPr>
        <w:pStyle w:val="Heading2"/>
        <w:keepNext/>
      </w:pPr>
      <w:r>
        <w:t>7.3 Contingency lifecycle</w:t>
      </w:r>
    </w:p>
    <w:p>
      <w:pPr>
        <w:pStyle w:val="CEBRCode"/>
        <w:keepLines w:val="0"/>
      </w:pPr>
      <w:r>
        <w:t>latent -&gt; eligible -&gt; materializing -&gt; consumed</w:t>
        <w:br/>
      </w:r>
      <w:r>
        <w:t xml:space="preserve">   |          |             |</w:t>
        <w:br/>
      </w:r>
      <w:r>
        <w:t xml:space="preserve"> disabled    expired        failed / returns latent when appropriate</w:t>
      </w:r>
    </w:p>
    <w:p>
      <w:pPr>
        <w:pStyle w:val="Heading2"/>
        <w:keepNext/>
      </w:pPr>
      <w:r>
        <w:t>7.4 Promotion lifecycle</w:t>
      </w:r>
    </w:p>
    <w:p>
      <w:pPr>
        <w:pStyle w:val="CEBRCode"/>
        <w:keepLines w:val="0"/>
      </w:pPr>
      <w:r>
        <w:t>received -&gt; validated -&gt; prepared -&gt; committed-local -&gt; projected -&gt; receipted</w:t>
        <w:br/>
      </w:r>
      <w:r>
        <w:t xml:space="preserve">   |            |            |               |</w:t>
        <w:br/>
      </w:r>
      <w:r>
        <w:t xml:space="preserve"> rejected       stale        crash-resume    external-pending</w:t>
        <w:br/>
      </w:r>
      <w:r>
        <w:t xml:space="preserve">                                                |</w:t>
        <w:br/>
      </w:r>
      <w:r>
        <w:t xml:space="preserve">                                  reconciled / compensation-required</w:t>
      </w:r>
    </w:p>
    <w:p>
      <w:pPr>
        <w:pStyle w:val="Heading2"/>
        <w:keepNext/>
      </w:pPr>
      <w:r>
        <w:t>7.5 Illegal transitions</w:t>
      </w:r>
    </w:p>
    <w:p>
      <w:pPr>
        <w:pStyle w:val="ListBullet"/>
      </w:pPr>
      <w:r>
        <w:t>Candidate to active without selection, revalidation, parent transaction, and Receipt.</w:t>
      </w:r>
    </w:p>
    <w:p>
      <w:pPr>
        <w:pStyle w:val="ListBullet"/>
      </w:pPr>
      <w:r>
        <w:t>Blocked or invalid certificate to promotion.</w:t>
      </w:r>
    </w:p>
    <w:p>
      <w:pPr>
        <w:pStyle w:val="ListBullet"/>
      </w:pPr>
      <w:r>
        <w:t>Recipient-owned effect to committed without recipient authority.</w:t>
      </w:r>
    </w:p>
    <w:p>
      <w:pPr>
        <w:pStyle w:val="ListBullet"/>
      </w:pPr>
      <w:r>
        <w:t>External success to canonical local authority before local commit.</w:t>
      </w:r>
    </w:p>
    <w:p>
      <w:pPr>
        <w:pStyle w:val="ListBullet"/>
      </w:pPr>
      <w:r>
        <w:t>Superseded branch back to active without a new promotion transaction.</w:t>
      </w:r>
    </w:p>
    <w:p>
      <w:pPr>
        <w:pStyle w:val="Heading1"/>
        <w:keepNext/>
      </w:pPr>
      <w:r>
        <w:t>8. Algorithms and pseudocode</w:t>
      </w:r>
    </w:p>
    <w:p>
      <w:pPr>
        <w:pStyle w:val="Heading2"/>
        <w:keepNext/>
      </w:pPr>
      <w:r>
        <w:t>8.1 Certificate construction</w:t>
      </w:r>
    </w:p>
    <w:p>
      <w:pPr>
        <w:pStyle w:val="CEBRCode"/>
        <w:keepLines w:val="0"/>
      </w:pPr>
      <w:r>
        <w:t>BUILD_CERTIFICATE(branch, canonical, policies, authority, clock, seed):</w:t>
        <w:br/>
      </w:r>
      <w:r>
        <w:t xml:space="preserve">  verify base graph revision</w:t>
        <w:br/>
      </w:r>
      <w:r>
        <w:t xml:space="preserve">  resolve revisioned read set</w:t>
        <w:br/>
      </w:r>
      <w:r>
        <w:t xml:space="preserve">  build viability conditions in stable order</w:t>
        <w:br/>
      </w:r>
      <w:r>
        <w:t xml:space="preserve">  evaluate facts, policies, waivers, envelopes, authority, and capacity</w:t>
        <w:br/>
      </w:r>
      <w:r>
        <w:t xml:space="preserve">  verify protected invariants</w:t>
        <w:br/>
      </w:r>
      <w:r>
        <w:t xml:space="preserve">  derive conflict core if hard failures exist</w:t>
        <w:br/>
      </w:r>
      <w:r>
        <w:t xml:space="preserve">  compute structured robustness</w:t>
        <w:br/>
      </w:r>
      <w:r>
        <w:t xml:space="preserve">  derive certificate status</w:t>
        <w:br/>
      </w:r>
      <w:r>
        <w:t xml:space="preserve">  record invalidation conditions</w:t>
        <w:br/>
      </w:r>
      <w:r>
        <w:t xml:space="preserve">  canonicalize all machine-relevant fields</w:t>
        <w:br/>
      </w:r>
      <w:r>
        <w:t xml:space="preserve">  calculate SHA-256 fingerprint</w:t>
        <w:br/>
      </w:r>
      <w:r>
        <w:t xml:space="preserve">  return immutable certificate</w:t>
      </w:r>
    </w:p>
    <w:p>
      <w:pPr>
        <w:pStyle w:val="Heading2"/>
        <w:keepNext/>
      </w:pPr>
      <w:r>
        <w:t>8.2 Revision handling</w:t>
      </w:r>
    </w:p>
    <w:p>
      <w:pPr>
        <w:pStyle w:val="CEBRCode"/>
        <w:keepLines w:val="0"/>
      </w:pPr>
      <w:r>
        <w:t>HANDLE_REVISION(event):</w:t>
        <w:br/>
      </w:r>
      <w:r>
        <w:t xml:space="preserve">  dependencyIDs = index.lookup(event.sourceRevisionID)</w:t>
        <w:br/>
      </w:r>
      <w:r>
        <w:t xml:space="preserve">  impactCone = stableTraversal(dependencyIDs)</w:t>
        <w:br/>
      </w:r>
      <w:r>
        <w:t xml:space="preserve">  if impactCone is empty:</w:t>
        <w:br/>
      </w:r>
      <w:r>
        <w:t xml:space="preserve">      record no-impact inspection result</w:t>
        <w:br/>
      </w:r>
      <w:r>
        <w:t xml:space="preserve">      return existing certificate</w:t>
        <w:br/>
      </w:r>
      <w:r>
        <w:t xml:space="preserve">  invalidate impacted components</w:t>
        <w:br/>
      </w:r>
      <w:r>
        <w:t xml:space="preserve">  recompute only impacted conditions and operations</w:t>
        <w:br/>
      </w:r>
      <w:r>
        <w:t xml:space="preserve">  merge with unchanged certified components</w:t>
        <w:br/>
      </w:r>
      <w:r>
        <w:t xml:space="preserve">  replace certificate and fingerprint</w:t>
        <w:br/>
      </w:r>
      <w:r>
        <w:t xml:space="preserve">  if valid or fragile: continue active branch</w:t>
        <w:br/>
      </w:r>
      <w:r>
        <w:t xml:space="preserve">  else: trigger bounded materialization</w:t>
      </w:r>
    </w:p>
    <w:p>
      <w:pPr>
        <w:pStyle w:val="Heading2"/>
        <w:keepNext/>
      </w:pPr>
      <w:r>
        <w:t>8.3 Conflict and correction generation</w:t>
      </w:r>
    </w:p>
    <w:p>
      <w:pPr>
        <w:pStyle w:val="CEBRCode"/>
        <w:keepLines w:val="0"/>
      </w:pPr>
      <w:r>
        <w:t>DERIVE_CORRECTION_SETS(failedCertificate):</w:t>
        <w:br/>
      </w:r>
      <w:r>
        <w:t xml:space="preserve">  core = derive sufficient or minimal conflict core</w:t>
        <w:br/>
      </w:r>
      <w:r>
        <w:t xml:space="preserve">  fixed = non-relaxable facts, laws, authority, and external commitments</w:t>
        <w:br/>
      </w:r>
      <w:r>
        <w:t xml:space="preserve">  relaxable = allowed waivers, degradation ladders, deferrals, substitutions</w:t>
        <w:br/>
      </w:r>
      <w:r>
        <w:t xml:space="preserve">  policies = eligible latent contingencies + bounded built-in families</w:t>
        <w:br/>
      </w:r>
      <w:r>
        <w:t xml:space="preserve">  for policy in stable precedence:</w:t>
        <w:br/>
      </w:r>
      <w:r>
        <w:t xml:space="preserve">      set = policy.correct(core, fixed, relaxable)</w:t>
        <w:br/>
      </w:r>
      <w:r>
        <w:t xml:space="preserve">      if set preserves fixed constraints:</w:t>
        <w:br/>
      </w:r>
      <w:r>
        <w:t xml:space="preserve">          normalize and fingerprint</w:t>
        <w:br/>
      </w:r>
      <w:r>
        <w:t xml:space="preserve">          retain</w:t>
        <w:br/>
      </w:r>
      <w:r>
        <w:t xml:space="preserve">  suppress semantic duplicates</w:t>
        <w:br/>
      </w:r>
      <w:r>
        <w:t xml:space="preserve">  cap candidate count</w:t>
        <w:br/>
      </w:r>
      <w:r>
        <w:t xml:space="preserve">  return sets or noHonestFit</w:t>
      </w:r>
    </w:p>
    <w:p>
      <w:pPr>
        <w:pStyle w:val="Heading2"/>
        <w:keepNext/>
      </w:pPr>
      <w:r>
        <w:t>8.4 Candidate materialization</w:t>
      </w:r>
    </w:p>
    <w:p>
      <w:pPr>
        <w:pStyle w:val="CEBRCode"/>
        <w:keepLines w:val="0"/>
      </w:pPr>
      <w:r>
        <w:t>MATERIALIZE(set, activeBranch, canonical):</w:t>
        <w:br/>
      </w:r>
      <w:r>
        <w:t xml:space="preserve">  create overlay from active branch and canonical base</w:t>
        <w:br/>
      </w:r>
      <w:r>
        <w:t xml:space="preserve">  compile typed delta operations</w:t>
        <w:br/>
      </w:r>
      <w:r>
        <w:t xml:space="preserve">  reject direct-write or unsupported owners</w:t>
        <w:br/>
      </w:r>
      <w:r>
        <w:t xml:space="preserve">  compute authority partition</w:t>
        <w:br/>
      </w:r>
      <w:r>
        <w:t xml:space="preserve">  build candidate certificate</w:t>
        <w:br/>
      </w:r>
      <w:r>
        <w:t xml:space="preserve">  produce protects / sacrifices / assumes / authority / review summary</w:t>
        <w:br/>
      </w:r>
      <w:r>
        <w:t xml:space="preserve">  return candidate</w:t>
      </w:r>
    </w:p>
    <w:p>
      <w:pPr>
        <w:pStyle w:val="Heading2"/>
        <w:keepNext/>
      </w:pPr>
      <w:r>
        <w:t>8.5 Promotion</w:t>
      </w:r>
    </w:p>
    <w:p>
      <w:pPr>
        <w:pStyle w:val="CEBRCode"/>
        <w:keepLines w:val="0"/>
      </w:pPr>
      <w:r>
        <w:t>PROMOTE(candidateID, expectedFingerprint):</w:t>
        <w:br/>
      </w:r>
      <w:r>
        <w:t xml:space="preserve">  reload current candidate and certificate</w:t>
        <w:br/>
      </w:r>
      <w:r>
        <w:t xml:space="preserve">  re-read canonical revisions</w:t>
        <w:br/>
      </w:r>
      <w:r>
        <w:t xml:space="preserve">  reject stale basis or invalid certificate</w:t>
        <w:br/>
      </w:r>
      <w:r>
        <w:t xml:space="preserve">  derive confirmation scope</w:t>
        <w:br/>
      </w:r>
      <w:r>
        <w:t xml:space="preserve">  prepare one parent transaction and rollback</w:t>
        <w:br/>
      </w:r>
      <w:r>
        <w:t xml:space="preserve">  atomically commit user-owned events and object changes</w:t>
        <w:br/>
      </w:r>
      <w:r>
        <w:t xml:space="preserve">  append branch promotion and prior-branch supersession lineage</w:t>
        <w:br/>
      </w:r>
      <w:r>
        <w:t xml:space="preserve">  create recipient proposals</w:t>
        <w:br/>
      </w:r>
      <w:r>
        <w:t xml:space="preserve">  queue external effects</w:t>
        <w:br/>
      </w:r>
      <w:r>
        <w:t xml:space="preserve">  materialize projections</w:t>
        <w:br/>
      </w:r>
      <w:r>
        <w:t xml:space="preserve">  issue parent Receipt</w:t>
        <w:br/>
      </w:r>
      <w:r>
        <w:t xml:space="preserve">  set active-local, then reconcile to active when truthfully complete</w:t>
      </w:r>
    </w:p>
    <w:p>
      <w:pPr>
        <w:pStyle w:val="Heading2"/>
        <w:keepNext/>
      </w:pPr>
      <w:r>
        <w:t>8.6 Replay and rollback</w:t>
      </w:r>
    </w:p>
    <w:p>
      <w:pPr>
        <w:pStyle w:val="CEBRCode"/>
        <w:keepLines w:val="0"/>
      </w:pPr>
      <w:r>
        <w:t>REPLAY(promotionReceipt):</w:t>
        <w:br/>
      </w:r>
      <w:r>
        <w:t xml:space="preserve">  load parent decision, branch delta, policy revision, seed, and read-set revisions</w:t>
        <w:br/>
      </w:r>
      <w:r>
        <w:t xml:space="preserve">  verify schemas and fingerprints</w:t>
        <w:br/>
      </w:r>
      <w:r>
        <w:t xml:space="preserve">  rebuild branch result deterministically</w:t>
        <w:br/>
      </w:r>
      <w:r>
        <w:t xml:space="preserve">  reject duplicate application</w:t>
        <w:br/>
      </w:r>
      <w:r>
        <w:br/>
      </w:r>
      <w:r>
        <w:t>ROLLBACK_OR_COMPENSATE(receipt):</w:t>
        <w:br/>
      </w:r>
      <w:r>
        <w:t xml:space="preserve">  revalidate current state and reversibility horizon</w:t>
        <w:br/>
      </w:r>
      <w:r>
        <w:t xml:space="preserve">  literal rollback when safe</w:t>
        <w:br/>
      </w:r>
      <w:r>
        <w:t xml:space="preserve">  otherwise execute declared compensation</w:t>
        <w:br/>
      </w:r>
      <w:r>
        <w:t xml:space="preserve">  preserve original branch and correction history</w:t>
      </w:r>
    </w:p>
    <w:p>
      <w:pPr>
        <w:pStyle w:val="Heading1"/>
        <w:keepNext/>
      </w:pPr>
      <w:r>
        <w:t>9. System invariants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1872"/>
            <w:shd w:fill="17324D"/>
            <w:tcMar>
              <w:top w:w="80" w:type="dxa"/>
              <w:start w:w="80" w:type="dxa"/>
              <w:bottom w:w="80" w:type="dxa"/>
              <w:end w:w="80" w:type="dxa"/>
            </w:tcMar>
            <w:vAlign w:val="center"/>
          </w:tcPr>
          <w:p>
            <w:pPr>
              <w:jc w:val="center"/>
            </w:pPr>
            <w:r>
              <w:rPr>
                <w:b/>
                <w:color w:val="FFFFFF"/>
                <w:sz w:val="16"/>
              </w:rPr>
              <w:t>ID</w:t>
            </w:r>
          </w:p>
        </w:tc>
        <w:tc>
          <w:tcPr>
            <w:tcW w:type="dxa" w:w="7920"/>
            <w:shd w:fill="17324D"/>
            <w:tcMar>
              <w:top w:w="80" w:type="dxa"/>
              <w:start w:w="80" w:type="dxa"/>
              <w:bottom w:w="80" w:type="dxa"/>
              <w:end w:w="80" w:type="dxa"/>
            </w:tcMar>
            <w:vAlign w:val="center"/>
          </w:tcPr>
          <w:p>
            <w:pPr>
              <w:jc w:val="center"/>
            </w:pPr>
            <w:r>
              <w:rPr>
                <w:b/>
                <w:color w:val="FFFFFF"/>
                <w:sz w:val="16"/>
              </w:rPr>
              <w:t>Invariant</w:t>
            </w:r>
          </w:p>
        </w:tc>
      </w:tr>
      <w:tr>
        <w:tc>
          <w:tcPr>
            <w:tcW w:type="dxa" w:w="1872"/>
            <w:tcMar>
              <w:top w:w="80" w:type="dxa"/>
              <w:start w:w="80" w:type="dxa"/>
              <w:bottom w:w="80" w:type="dxa"/>
              <w:end w:w="80" w:type="dxa"/>
            </w:tcMar>
            <w:vAlign w:val="top"/>
          </w:tcPr>
          <w:p>
            <w:pPr>
              <w:spacing w:after="0"/>
            </w:pPr>
            <w:r>
              <w:rPr>
                <w:sz w:val="16"/>
              </w:rPr>
              <w:t>CEBR-INV-001</w:t>
            </w:r>
          </w:p>
        </w:tc>
        <w:tc>
          <w:tcPr>
            <w:tcW w:type="dxa" w:w="7920"/>
            <w:tcMar>
              <w:top w:w="80" w:type="dxa"/>
              <w:start w:w="80" w:type="dxa"/>
              <w:bottom w:w="80" w:type="dxa"/>
              <w:end w:w="80" w:type="dxa"/>
            </w:tcMar>
            <w:vAlign w:val="top"/>
          </w:tcPr>
          <w:p>
            <w:pPr>
              <w:spacing w:after="0"/>
            </w:pPr>
            <w:r>
              <w:rPr>
                <w:sz w:val="16"/>
              </w:rPr>
              <w:t>Exactly one active branch per canonical graph.</w:t>
            </w:r>
          </w:p>
        </w:tc>
      </w:tr>
      <w:tr>
        <w:tc>
          <w:tcPr>
            <w:tcW w:type="dxa" w:w="1872"/>
            <w:tcMar>
              <w:top w:w="80" w:type="dxa"/>
              <w:start w:w="80" w:type="dxa"/>
              <w:bottom w:w="80" w:type="dxa"/>
              <w:end w:w="80" w:type="dxa"/>
            </w:tcMar>
            <w:vAlign w:val="top"/>
          </w:tcPr>
          <w:p>
            <w:pPr>
              <w:spacing w:after="0"/>
            </w:pPr>
            <w:r>
              <w:rPr>
                <w:sz w:val="16"/>
              </w:rPr>
              <w:t>CEBR-INV-002</w:t>
            </w:r>
          </w:p>
        </w:tc>
        <w:tc>
          <w:tcPr>
            <w:tcW w:type="dxa" w:w="7920"/>
            <w:tcMar>
              <w:top w:w="80" w:type="dxa"/>
              <w:start w:w="80" w:type="dxa"/>
              <w:bottom w:w="80" w:type="dxa"/>
              <w:end w:w="80" w:type="dxa"/>
            </w:tcMar>
            <w:vAlign w:val="top"/>
          </w:tcPr>
          <w:p>
            <w:pPr>
              <w:spacing w:after="0"/>
            </w:pPr>
            <w:r>
              <w:rPr>
                <w:sz w:val="16"/>
              </w:rPr>
              <w:t>Branch is a delta, not duplicate object authority.</w:t>
            </w:r>
          </w:p>
        </w:tc>
      </w:tr>
      <w:tr>
        <w:tc>
          <w:tcPr>
            <w:tcW w:type="dxa" w:w="1872"/>
            <w:tcMar>
              <w:top w:w="80" w:type="dxa"/>
              <w:start w:w="80" w:type="dxa"/>
              <w:bottom w:w="80" w:type="dxa"/>
              <w:end w:w="80" w:type="dxa"/>
            </w:tcMar>
            <w:vAlign w:val="top"/>
          </w:tcPr>
          <w:p>
            <w:pPr>
              <w:spacing w:after="0"/>
            </w:pPr>
            <w:r>
              <w:rPr>
                <w:sz w:val="16"/>
              </w:rPr>
              <w:t>CEBR-INV-003</w:t>
            </w:r>
          </w:p>
        </w:tc>
        <w:tc>
          <w:tcPr>
            <w:tcW w:type="dxa" w:w="7920"/>
            <w:tcMar>
              <w:top w:w="80" w:type="dxa"/>
              <w:start w:w="80" w:type="dxa"/>
              <w:bottom w:w="80" w:type="dxa"/>
              <w:end w:w="80" w:type="dxa"/>
            </w:tcMar>
            <w:vAlign w:val="top"/>
          </w:tcPr>
          <w:p>
            <w:pPr>
              <w:spacing w:after="0"/>
            </w:pPr>
            <w:r>
              <w:rPr>
                <w:sz w:val="16"/>
              </w:rPr>
              <w:t>Candidate branches cannot mutate canonical state.</w:t>
            </w:r>
          </w:p>
        </w:tc>
      </w:tr>
      <w:tr>
        <w:tc>
          <w:tcPr>
            <w:tcW w:type="dxa" w:w="1872"/>
            <w:tcMar>
              <w:top w:w="80" w:type="dxa"/>
              <w:start w:w="80" w:type="dxa"/>
              <w:bottom w:w="80" w:type="dxa"/>
              <w:end w:w="80" w:type="dxa"/>
            </w:tcMar>
            <w:vAlign w:val="top"/>
          </w:tcPr>
          <w:p>
            <w:pPr>
              <w:spacing w:after="0"/>
            </w:pPr>
            <w:r>
              <w:rPr>
                <w:sz w:val="16"/>
              </w:rPr>
              <w:t>CEBR-INV-004</w:t>
            </w:r>
          </w:p>
        </w:tc>
        <w:tc>
          <w:tcPr>
            <w:tcW w:type="dxa" w:w="7920"/>
            <w:tcMar>
              <w:top w:w="80" w:type="dxa"/>
              <w:start w:w="80" w:type="dxa"/>
              <w:bottom w:w="80" w:type="dxa"/>
              <w:end w:w="80" w:type="dxa"/>
            </w:tcMar>
            <w:vAlign w:val="top"/>
          </w:tcPr>
          <w:p>
            <w:pPr>
              <w:spacing w:after="0"/>
            </w:pPr>
            <w:r>
              <w:rPr>
                <w:sz w:val="16"/>
              </w:rPr>
              <w:t>Current certificate gates active and promotable status.</w:t>
            </w:r>
          </w:p>
        </w:tc>
      </w:tr>
      <w:tr>
        <w:tc>
          <w:tcPr>
            <w:tcW w:type="dxa" w:w="1872"/>
            <w:tcMar>
              <w:top w:w="80" w:type="dxa"/>
              <w:start w:w="80" w:type="dxa"/>
              <w:bottom w:w="80" w:type="dxa"/>
              <w:end w:w="80" w:type="dxa"/>
            </w:tcMar>
            <w:vAlign w:val="top"/>
          </w:tcPr>
          <w:p>
            <w:pPr>
              <w:spacing w:after="0"/>
            </w:pPr>
            <w:r>
              <w:rPr>
                <w:sz w:val="16"/>
              </w:rPr>
              <w:t>CEBR-INV-005</w:t>
            </w:r>
          </w:p>
        </w:tc>
        <w:tc>
          <w:tcPr>
            <w:tcW w:type="dxa" w:w="7920"/>
            <w:tcMar>
              <w:top w:w="80" w:type="dxa"/>
              <w:start w:w="80" w:type="dxa"/>
              <w:bottom w:w="80" w:type="dxa"/>
              <w:end w:w="80" w:type="dxa"/>
            </w:tcMar>
            <w:vAlign w:val="top"/>
          </w:tcPr>
          <w:p>
            <w:pPr>
              <w:spacing w:after="0"/>
            </w:pPr>
            <w:r>
              <w:rPr>
                <w:sz w:val="16"/>
              </w:rPr>
              <w:t>Equivalent inputs produce replay-equivalent decisions.</w:t>
            </w:r>
          </w:p>
        </w:tc>
      </w:tr>
      <w:tr>
        <w:tc>
          <w:tcPr>
            <w:tcW w:type="dxa" w:w="1872"/>
            <w:tcMar>
              <w:top w:w="80" w:type="dxa"/>
              <w:start w:w="80" w:type="dxa"/>
              <w:bottom w:w="80" w:type="dxa"/>
              <w:end w:w="80" w:type="dxa"/>
            </w:tcMar>
            <w:vAlign w:val="top"/>
          </w:tcPr>
          <w:p>
            <w:pPr>
              <w:spacing w:after="0"/>
            </w:pPr>
            <w:r>
              <w:rPr>
                <w:sz w:val="16"/>
              </w:rPr>
              <w:t>CEBR-INV-006</w:t>
            </w:r>
          </w:p>
        </w:tc>
        <w:tc>
          <w:tcPr>
            <w:tcW w:type="dxa" w:w="7920"/>
            <w:tcMar>
              <w:top w:w="80" w:type="dxa"/>
              <w:start w:w="80" w:type="dxa"/>
              <w:bottom w:w="80" w:type="dxa"/>
              <w:end w:w="80" w:type="dxa"/>
            </w:tcMar>
            <w:vAlign w:val="top"/>
          </w:tcPr>
          <w:p>
            <w:pPr>
              <w:spacing w:after="0"/>
            </w:pPr>
            <w:r>
              <w:rPr>
                <w:sz w:val="16"/>
              </w:rPr>
              <w:t>Revisions affect declared dependencies only unless full rebuild is required.</w:t>
            </w:r>
          </w:p>
        </w:tc>
      </w:tr>
      <w:tr>
        <w:tc>
          <w:tcPr>
            <w:tcW w:type="dxa" w:w="1872"/>
            <w:tcMar>
              <w:top w:w="80" w:type="dxa"/>
              <w:start w:w="80" w:type="dxa"/>
              <w:bottom w:w="80" w:type="dxa"/>
              <w:end w:w="80" w:type="dxa"/>
            </w:tcMar>
            <w:vAlign w:val="top"/>
          </w:tcPr>
          <w:p>
            <w:pPr>
              <w:spacing w:after="0"/>
            </w:pPr>
            <w:r>
              <w:rPr>
                <w:sz w:val="16"/>
              </w:rPr>
              <w:t>CEBR-INV-007</w:t>
            </w:r>
          </w:p>
        </w:tc>
        <w:tc>
          <w:tcPr>
            <w:tcW w:type="dxa" w:w="7920"/>
            <w:tcMar>
              <w:top w:w="80" w:type="dxa"/>
              <w:start w:w="80" w:type="dxa"/>
              <w:bottom w:w="80" w:type="dxa"/>
              <w:end w:w="80" w:type="dxa"/>
            </w:tcMar>
            <w:vAlign w:val="top"/>
          </w:tcPr>
          <w:p>
            <w:pPr>
              <w:spacing w:after="0"/>
            </w:pPr>
            <w:r>
              <w:rPr>
                <w:sz w:val="16"/>
              </w:rPr>
              <w:t>Branches differ by correction semantics, not time slots alone.</w:t>
            </w:r>
          </w:p>
        </w:tc>
      </w:tr>
      <w:tr>
        <w:tc>
          <w:tcPr>
            <w:tcW w:type="dxa" w:w="1872"/>
            <w:tcMar>
              <w:top w:w="80" w:type="dxa"/>
              <w:start w:w="80" w:type="dxa"/>
              <w:bottom w:w="80" w:type="dxa"/>
              <w:end w:w="80" w:type="dxa"/>
            </w:tcMar>
            <w:vAlign w:val="top"/>
          </w:tcPr>
          <w:p>
            <w:pPr>
              <w:spacing w:after="0"/>
            </w:pPr>
            <w:r>
              <w:rPr>
                <w:sz w:val="16"/>
              </w:rPr>
              <w:t>CEBR-INV-008</w:t>
            </w:r>
          </w:p>
        </w:tc>
        <w:tc>
          <w:tcPr>
            <w:tcW w:type="dxa" w:w="7920"/>
            <w:tcMar>
              <w:top w:w="80" w:type="dxa"/>
              <w:start w:w="80" w:type="dxa"/>
              <w:bottom w:w="80" w:type="dxa"/>
              <w:end w:w="80" w:type="dxa"/>
            </w:tcMar>
            <w:vAlign w:val="top"/>
          </w:tcPr>
          <w:p>
            <w:pPr>
              <w:spacing w:after="0"/>
            </w:pPr>
            <w:r>
              <w:rPr>
                <w:sz w:val="16"/>
              </w:rPr>
              <w:t>Selection creates one parent causal transaction.</w:t>
            </w:r>
          </w:p>
        </w:tc>
      </w:tr>
      <w:tr>
        <w:tc>
          <w:tcPr>
            <w:tcW w:type="dxa" w:w="1872"/>
            <w:tcMar>
              <w:top w:w="80" w:type="dxa"/>
              <w:start w:w="80" w:type="dxa"/>
              <w:bottom w:w="80" w:type="dxa"/>
              <w:end w:w="80" w:type="dxa"/>
            </w:tcMar>
            <w:vAlign w:val="top"/>
          </w:tcPr>
          <w:p>
            <w:pPr>
              <w:spacing w:after="0"/>
            </w:pPr>
            <w:r>
              <w:rPr>
                <w:sz w:val="16"/>
              </w:rPr>
              <w:t>CEBR-INV-009</w:t>
            </w:r>
          </w:p>
        </w:tc>
        <w:tc>
          <w:tcPr>
            <w:tcW w:type="dxa" w:w="7920"/>
            <w:tcMar>
              <w:top w:w="80" w:type="dxa"/>
              <w:start w:w="80" w:type="dxa"/>
              <w:bottom w:w="80" w:type="dxa"/>
              <w:end w:w="80" w:type="dxa"/>
            </w:tcMar>
            <w:vAlign w:val="top"/>
          </w:tcPr>
          <w:p>
            <w:pPr>
              <w:spacing w:after="0"/>
            </w:pPr>
            <w:r>
              <w:rPr>
                <w:sz w:val="16"/>
              </w:rPr>
              <w:t>Recipient and external effects remain separately truthful.</w:t>
            </w:r>
          </w:p>
        </w:tc>
      </w:tr>
      <w:tr>
        <w:tc>
          <w:tcPr>
            <w:tcW w:type="dxa" w:w="1872"/>
            <w:tcMar>
              <w:top w:w="80" w:type="dxa"/>
              <w:start w:w="80" w:type="dxa"/>
              <w:bottom w:w="80" w:type="dxa"/>
              <w:end w:w="80" w:type="dxa"/>
            </w:tcMar>
            <w:vAlign w:val="top"/>
          </w:tcPr>
          <w:p>
            <w:pPr>
              <w:spacing w:after="0"/>
            </w:pPr>
            <w:r>
              <w:rPr>
                <w:sz w:val="16"/>
              </w:rPr>
              <w:t>CEBR-INV-010</w:t>
            </w:r>
          </w:p>
        </w:tc>
        <w:tc>
          <w:tcPr>
            <w:tcW w:type="dxa" w:w="7920"/>
            <w:tcMar>
              <w:top w:w="80" w:type="dxa"/>
              <w:start w:w="80" w:type="dxa"/>
              <w:bottom w:w="80" w:type="dxa"/>
              <w:end w:w="80" w:type="dxa"/>
            </w:tcMar>
            <w:vAlign w:val="top"/>
          </w:tcPr>
          <w:p>
            <w:pPr>
              <w:spacing w:after="0"/>
            </w:pPr>
            <w:r>
              <w:rPr>
                <w:sz w:val="16"/>
              </w:rPr>
              <w:t>Prior branch reasoning and lineage are immutable history.</w:t>
            </w:r>
          </w:p>
        </w:tc>
      </w:tr>
      <w:tr>
        <w:tc>
          <w:tcPr>
            <w:tcW w:type="dxa" w:w="1872"/>
            <w:tcMar>
              <w:top w:w="80" w:type="dxa"/>
              <w:start w:w="80" w:type="dxa"/>
              <w:bottom w:w="80" w:type="dxa"/>
              <w:end w:w="80" w:type="dxa"/>
            </w:tcMar>
            <w:vAlign w:val="top"/>
          </w:tcPr>
          <w:p>
            <w:pPr>
              <w:spacing w:after="0"/>
            </w:pPr>
            <w:r>
              <w:rPr>
                <w:sz w:val="16"/>
              </w:rPr>
              <w:t>CEBR-INV-011</w:t>
            </w:r>
          </w:p>
        </w:tc>
        <w:tc>
          <w:tcPr>
            <w:tcW w:type="dxa" w:w="7920"/>
            <w:tcMar>
              <w:top w:w="80" w:type="dxa"/>
              <w:start w:w="80" w:type="dxa"/>
              <w:bottom w:w="80" w:type="dxa"/>
              <w:end w:w="80" w:type="dxa"/>
            </w:tcMar>
            <w:vAlign w:val="top"/>
          </w:tcPr>
          <w:p>
            <w:pPr>
              <w:spacing w:after="0"/>
            </w:pPr>
            <w:r>
              <w:rPr>
                <w:sz w:val="16"/>
              </w:rPr>
              <w:t>Model output cannot certify, authorize, or commit.</w:t>
            </w:r>
          </w:p>
        </w:tc>
      </w:tr>
      <w:tr>
        <w:tc>
          <w:tcPr>
            <w:tcW w:type="dxa" w:w="1872"/>
            <w:tcMar>
              <w:top w:w="80" w:type="dxa"/>
              <w:start w:w="80" w:type="dxa"/>
              <w:bottom w:w="80" w:type="dxa"/>
              <w:end w:w="80" w:type="dxa"/>
            </w:tcMar>
            <w:vAlign w:val="top"/>
          </w:tcPr>
          <w:p>
            <w:pPr>
              <w:spacing w:after="0"/>
            </w:pPr>
            <w:r>
              <w:rPr>
                <w:sz w:val="16"/>
              </w:rPr>
              <w:t>CEBR-INV-012</w:t>
            </w:r>
          </w:p>
        </w:tc>
        <w:tc>
          <w:tcPr>
            <w:tcW w:type="dxa" w:w="7920"/>
            <w:tcMar>
              <w:top w:w="80" w:type="dxa"/>
              <w:start w:w="80" w:type="dxa"/>
              <w:bottom w:w="80" w:type="dxa"/>
              <w:end w:w="80" w:type="dxa"/>
            </w:tcMar>
            <w:vAlign w:val="top"/>
          </w:tcPr>
          <w:p>
            <w:pPr>
              <w:spacing w:after="0"/>
            </w:pPr>
            <w:r>
              <w:rPr>
                <w:sz w:val="16"/>
              </w:rPr>
              <w:t>No universal life score governs recommendations.</w:t>
            </w:r>
          </w:p>
        </w:tc>
      </w:tr>
      <w:tr>
        <w:tc>
          <w:tcPr>
            <w:tcW w:type="dxa" w:w="1872"/>
            <w:tcMar>
              <w:top w:w="80" w:type="dxa"/>
              <w:start w:w="80" w:type="dxa"/>
              <w:bottom w:w="80" w:type="dxa"/>
              <w:end w:w="80" w:type="dxa"/>
            </w:tcMar>
            <w:vAlign w:val="top"/>
          </w:tcPr>
          <w:p>
            <w:pPr>
              <w:spacing w:after="0"/>
            </w:pPr>
            <w:r>
              <w:rPr>
                <w:sz w:val="16"/>
              </w:rPr>
              <w:t>CEBR-INV-013</w:t>
            </w:r>
          </w:p>
        </w:tc>
        <w:tc>
          <w:tcPr>
            <w:tcW w:type="dxa" w:w="7920"/>
            <w:tcMar>
              <w:top w:w="80" w:type="dxa"/>
              <w:start w:w="80" w:type="dxa"/>
              <w:bottom w:w="80" w:type="dxa"/>
              <w:end w:w="80" w:type="dxa"/>
            </w:tcMar>
            <w:vAlign w:val="top"/>
          </w:tcPr>
          <w:p>
            <w:pPr>
              <w:spacing w:after="0"/>
            </w:pPr>
            <w:r>
              <w:rPr>
                <w:sz w:val="16"/>
              </w:rPr>
              <w:t>External failure cannot erase accepted local intent.</w:t>
            </w:r>
          </w:p>
        </w:tc>
      </w:tr>
      <w:tr>
        <w:tc>
          <w:tcPr>
            <w:tcW w:type="dxa" w:w="1872"/>
            <w:tcMar>
              <w:top w:w="80" w:type="dxa"/>
              <w:start w:w="80" w:type="dxa"/>
              <w:bottom w:w="80" w:type="dxa"/>
              <w:end w:w="80" w:type="dxa"/>
            </w:tcMar>
            <w:vAlign w:val="top"/>
          </w:tcPr>
          <w:p>
            <w:pPr>
              <w:spacing w:after="0"/>
            </w:pPr>
            <w:r>
              <w:rPr>
                <w:sz w:val="16"/>
              </w:rPr>
              <w:t>CEBR-INV-014</w:t>
            </w:r>
          </w:p>
        </w:tc>
        <w:tc>
          <w:tcPr>
            <w:tcW w:type="dxa" w:w="7920"/>
            <w:tcMar>
              <w:top w:w="80" w:type="dxa"/>
              <w:start w:w="80" w:type="dxa"/>
              <w:bottom w:w="80" w:type="dxa"/>
              <w:end w:w="80" w:type="dxa"/>
            </w:tcMar>
            <w:vAlign w:val="top"/>
          </w:tcPr>
          <w:p>
            <w:pPr>
              <w:spacing w:after="0"/>
            </w:pPr>
            <w:r>
              <w:rPr>
                <w:sz w:val="16"/>
              </w:rPr>
              <w:t>A smaller continuity expression is not full completion.</w:t>
            </w:r>
          </w:p>
        </w:tc>
      </w:tr>
      <w:tr>
        <w:tc>
          <w:tcPr>
            <w:tcW w:type="dxa" w:w="1872"/>
            <w:tcMar>
              <w:top w:w="80" w:type="dxa"/>
              <w:start w:w="80" w:type="dxa"/>
              <w:bottom w:w="80" w:type="dxa"/>
              <w:end w:w="80" w:type="dxa"/>
            </w:tcMar>
            <w:vAlign w:val="top"/>
          </w:tcPr>
          <w:p>
            <w:pPr>
              <w:spacing w:after="0"/>
            </w:pPr>
            <w:r>
              <w:rPr>
                <w:sz w:val="16"/>
              </w:rPr>
              <w:t>CEBR-INV-015</w:t>
            </w:r>
          </w:p>
        </w:tc>
        <w:tc>
          <w:tcPr>
            <w:tcW w:type="dxa" w:w="7920"/>
            <w:tcMar>
              <w:top w:w="80" w:type="dxa"/>
              <w:start w:w="80" w:type="dxa"/>
              <w:bottom w:w="80" w:type="dxa"/>
              <w:end w:w="80" w:type="dxa"/>
            </w:tcMar>
            <w:vAlign w:val="top"/>
          </w:tcPr>
          <w:p>
            <w:pPr>
              <w:spacing w:after="0"/>
            </w:pPr>
            <w:r>
              <w:rPr>
                <w:sz w:val="16"/>
              </w:rPr>
              <w:t>Unknown authority or unverifiable state fails closed.</w:t>
            </w:r>
          </w:p>
        </w:tc>
      </w:tr>
    </w:tbl>
    <w:p>
      <w:pPr>
        <w:spacing w:after="0"/>
      </w:pPr>
    </w:p>
    <w:p>
      <w:pPr>
        <w:pStyle w:val="Heading1"/>
        <w:keepNext/>
      </w:pPr>
      <w:r>
        <w:t>10. Failure and recovery model</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24D"/>
            <w:tcMar>
              <w:top w:w="80" w:type="dxa"/>
              <w:start w:w="80" w:type="dxa"/>
              <w:bottom w:w="80" w:type="dxa"/>
              <w:end w:w="80" w:type="dxa"/>
            </w:tcMar>
            <w:vAlign w:val="center"/>
          </w:tcPr>
          <w:p>
            <w:pPr>
              <w:jc w:val="center"/>
            </w:pPr>
            <w:r>
              <w:rPr>
                <w:b/>
                <w:color w:val="FFFFFF"/>
                <w:sz w:val="16"/>
              </w:rPr>
              <w:t>Failure</w:t>
            </w:r>
          </w:p>
        </w:tc>
        <w:tc>
          <w:tcPr>
            <w:tcW w:type="dxa" w:w="7200"/>
            <w:shd w:fill="17324D"/>
            <w:tcMar>
              <w:top w:w="80" w:type="dxa"/>
              <w:start w:w="80" w:type="dxa"/>
              <w:bottom w:w="80" w:type="dxa"/>
              <w:end w:w="80" w:type="dxa"/>
            </w:tcMar>
            <w:vAlign w:val="center"/>
          </w:tcPr>
          <w:p>
            <w:pPr>
              <w:jc w:val="center"/>
            </w:pPr>
            <w:r>
              <w:rPr>
                <w:b/>
                <w:color w:val="FFFFFF"/>
                <w:sz w:val="16"/>
              </w:rPr>
              <w:t>Required response</w:t>
            </w:r>
          </w:p>
        </w:tc>
      </w:tr>
      <w:tr>
        <w:tc>
          <w:tcPr>
            <w:tcW w:type="dxa" w:w="2592"/>
            <w:tcMar>
              <w:top w:w="80" w:type="dxa"/>
              <w:start w:w="80" w:type="dxa"/>
              <w:bottom w:w="80" w:type="dxa"/>
              <w:end w:w="80" w:type="dxa"/>
            </w:tcMar>
            <w:vAlign w:val="top"/>
          </w:tcPr>
          <w:p>
            <w:pPr>
              <w:spacing w:after="0"/>
            </w:pPr>
            <w:r>
              <w:rPr>
                <w:sz w:val="16"/>
              </w:rPr>
              <w:t>Unrelated revision</w:t>
            </w:r>
          </w:p>
        </w:tc>
        <w:tc>
          <w:tcPr>
            <w:tcW w:type="dxa" w:w="7200"/>
            <w:tcMar>
              <w:top w:w="80" w:type="dxa"/>
              <w:start w:w="80" w:type="dxa"/>
              <w:bottom w:w="80" w:type="dxa"/>
              <w:end w:w="80" w:type="dxa"/>
            </w:tcMar>
            <w:vAlign w:val="top"/>
          </w:tcPr>
          <w:p>
            <w:pPr>
              <w:spacing w:after="0"/>
            </w:pPr>
            <w:r>
              <w:rPr>
                <w:sz w:val="16"/>
              </w:rPr>
              <w:t>No impact cone; preserve certificate and active branch.</w:t>
            </w:r>
          </w:p>
        </w:tc>
      </w:tr>
      <w:tr>
        <w:tc>
          <w:tcPr>
            <w:tcW w:type="dxa" w:w="2592"/>
            <w:tcMar>
              <w:top w:w="80" w:type="dxa"/>
              <w:start w:w="80" w:type="dxa"/>
              <w:bottom w:w="80" w:type="dxa"/>
              <w:end w:w="80" w:type="dxa"/>
            </w:tcMar>
            <w:vAlign w:val="top"/>
          </w:tcPr>
          <w:p>
            <w:pPr>
              <w:spacing w:after="0"/>
            </w:pPr>
            <w:r>
              <w:rPr>
                <w:sz w:val="16"/>
              </w:rPr>
              <w:t>Stale base revision</w:t>
            </w:r>
          </w:p>
        </w:tc>
        <w:tc>
          <w:tcPr>
            <w:tcW w:type="dxa" w:w="7200"/>
            <w:tcMar>
              <w:top w:w="80" w:type="dxa"/>
              <w:start w:w="80" w:type="dxa"/>
              <w:bottom w:w="80" w:type="dxa"/>
              <w:end w:w="80" w:type="dxa"/>
            </w:tcMar>
            <w:vAlign w:val="top"/>
          </w:tcPr>
          <w:p>
            <w:pPr>
              <w:spacing w:after="0"/>
            </w:pPr>
            <w:r>
              <w:rPr>
                <w:sz w:val="16"/>
              </w:rPr>
              <w:t>Mark candidate stale and require regeneration or current-state revalidation.</w:t>
            </w:r>
          </w:p>
        </w:tc>
      </w:tr>
      <w:tr>
        <w:tc>
          <w:tcPr>
            <w:tcW w:type="dxa" w:w="2592"/>
            <w:tcMar>
              <w:top w:w="80" w:type="dxa"/>
              <w:start w:w="80" w:type="dxa"/>
              <w:bottom w:w="80" w:type="dxa"/>
              <w:end w:w="80" w:type="dxa"/>
            </w:tcMar>
            <w:vAlign w:val="top"/>
          </w:tcPr>
          <w:p>
            <w:pPr>
              <w:spacing w:after="0"/>
            </w:pPr>
            <w:r>
              <w:rPr>
                <w:sz w:val="16"/>
              </w:rPr>
              <w:t>Missing dependency index</w:t>
            </w:r>
          </w:p>
        </w:tc>
        <w:tc>
          <w:tcPr>
            <w:tcW w:type="dxa" w:w="7200"/>
            <w:tcMar>
              <w:top w:w="80" w:type="dxa"/>
              <w:start w:w="80" w:type="dxa"/>
              <w:bottom w:w="80" w:type="dxa"/>
              <w:end w:w="80" w:type="dxa"/>
            </w:tcMar>
            <w:vAlign w:val="top"/>
          </w:tcPr>
          <w:p>
            <w:pPr>
              <w:spacing w:after="0"/>
            </w:pPr>
            <w:r>
              <w:rPr>
                <w:sz w:val="16"/>
              </w:rPr>
              <w:t>Full rebuild or blocked inspection; never assume validity.</w:t>
            </w:r>
          </w:p>
        </w:tc>
      </w:tr>
      <w:tr>
        <w:tc>
          <w:tcPr>
            <w:tcW w:type="dxa" w:w="2592"/>
            <w:tcMar>
              <w:top w:w="80" w:type="dxa"/>
              <w:start w:w="80" w:type="dxa"/>
              <w:bottom w:w="80" w:type="dxa"/>
              <w:end w:w="80" w:type="dxa"/>
            </w:tcMar>
            <w:vAlign w:val="top"/>
          </w:tcPr>
          <w:p>
            <w:pPr>
              <w:spacing w:after="0"/>
            </w:pPr>
            <w:r>
              <w:rPr>
                <w:sz w:val="16"/>
              </w:rPr>
              <w:t>Contradictory facts</w:t>
            </w:r>
          </w:p>
        </w:tc>
        <w:tc>
          <w:tcPr>
            <w:tcW w:type="dxa" w:w="7200"/>
            <w:tcMar>
              <w:top w:w="80" w:type="dxa"/>
              <w:start w:w="80" w:type="dxa"/>
              <w:bottom w:w="80" w:type="dxa"/>
              <w:end w:w="80" w:type="dxa"/>
            </w:tcMar>
            <w:vAlign w:val="top"/>
          </w:tcPr>
          <w:p>
            <w:pPr>
              <w:spacing w:after="0"/>
            </w:pPr>
            <w:r>
              <w:rPr>
                <w:sz w:val="16"/>
              </w:rPr>
              <w:t>Block or invalidate certificate and expose conflict.</w:t>
            </w:r>
          </w:p>
        </w:tc>
      </w:tr>
      <w:tr>
        <w:tc>
          <w:tcPr>
            <w:tcW w:type="dxa" w:w="2592"/>
            <w:tcMar>
              <w:top w:w="80" w:type="dxa"/>
              <w:start w:w="80" w:type="dxa"/>
              <w:bottom w:w="80" w:type="dxa"/>
              <w:end w:w="80" w:type="dxa"/>
            </w:tcMar>
            <w:vAlign w:val="top"/>
          </w:tcPr>
          <w:p>
            <w:pPr>
              <w:spacing w:after="0"/>
            </w:pPr>
            <w:r>
              <w:rPr>
                <w:sz w:val="16"/>
              </w:rPr>
              <w:t>Dependency cycle</w:t>
            </w:r>
          </w:p>
        </w:tc>
        <w:tc>
          <w:tcPr>
            <w:tcW w:type="dxa" w:w="7200"/>
            <w:tcMar>
              <w:top w:w="80" w:type="dxa"/>
              <w:start w:w="80" w:type="dxa"/>
              <w:bottom w:w="80" w:type="dxa"/>
              <w:end w:w="80" w:type="dxa"/>
            </w:tcMar>
            <w:vAlign w:val="top"/>
          </w:tcPr>
          <w:p>
            <w:pPr>
              <w:spacing w:after="0"/>
            </w:pPr>
            <w:r>
              <w:rPr>
                <w:sz w:val="16"/>
              </w:rPr>
              <w:t>Bounded deterministic fixed point; block if convergence fails.</w:t>
            </w:r>
          </w:p>
        </w:tc>
      </w:tr>
      <w:tr>
        <w:tc>
          <w:tcPr>
            <w:tcW w:type="dxa" w:w="2592"/>
            <w:tcMar>
              <w:top w:w="80" w:type="dxa"/>
              <w:start w:w="80" w:type="dxa"/>
              <w:bottom w:w="80" w:type="dxa"/>
              <w:end w:w="80" w:type="dxa"/>
            </w:tcMar>
            <w:vAlign w:val="top"/>
          </w:tcPr>
          <w:p>
            <w:pPr>
              <w:spacing w:after="0"/>
            </w:pPr>
            <w:r>
              <w:rPr>
                <w:sz w:val="16"/>
              </w:rPr>
              <w:t>No correction set</w:t>
            </w:r>
          </w:p>
        </w:tc>
        <w:tc>
          <w:tcPr>
            <w:tcW w:type="dxa" w:w="7200"/>
            <w:tcMar>
              <w:top w:w="80" w:type="dxa"/>
              <w:start w:w="80" w:type="dxa"/>
              <w:bottom w:w="80" w:type="dxa"/>
              <w:end w:w="80" w:type="dxa"/>
            </w:tcMar>
            <w:vAlign w:val="top"/>
          </w:tcPr>
          <w:p>
            <w:pPr>
              <w:spacing w:after="0"/>
            </w:pPr>
            <w:r>
              <w:rPr>
                <w:sz w:val="16"/>
              </w:rPr>
              <w:t>Return “nothing honest fits”; preserve canonical state.</w:t>
            </w:r>
          </w:p>
        </w:tc>
      </w:tr>
      <w:tr>
        <w:tc>
          <w:tcPr>
            <w:tcW w:type="dxa" w:w="2592"/>
            <w:tcMar>
              <w:top w:w="80" w:type="dxa"/>
              <w:start w:w="80" w:type="dxa"/>
              <w:bottom w:w="80" w:type="dxa"/>
              <w:end w:w="80" w:type="dxa"/>
            </w:tcMar>
            <w:vAlign w:val="top"/>
          </w:tcPr>
          <w:p>
            <w:pPr>
              <w:spacing w:after="0"/>
            </w:pPr>
            <w:r>
              <w:rPr>
                <w:sz w:val="16"/>
              </w:rPr>
              <w:t>All candidates infeasible</w:t>
            </w:r>
          </w:p>
        </w:tc>
        <w:tc>
          <w:tcPr>
            <w:tcW w:type="dxa" w:w="7200"/>
            <w:tcMar>
              <w:top w:w="80" w:type="dxa"/>
              <w:start w:w="80" w:type="dxa"/>
              <w:bottom w:w="80" w:type="dxa"/>
              <w:end w:w="80" w:type="dxa"/>
            </w:tcMar>
            <w:vAlign w:val="top"/>
          </w:tcPr>
          <w:p>
            <w:pPr>
              <w:spacing w:after="0"/>
            </w:pPr>
            <w:r>
              <w:rPr>
                <w:sz w:val="16"/>
              </w:rPr>
              <w:t>Expose conflict core and repair levers; no fabricated plan.</w:t>
            </w:r>
          </w:p>
        </w:tc>
      </w:tr>
      <w:tr>
        <w:tc>
          <w:tcPr>
            <w:tcW w:type="dxa" w:w="2592"/>
            <w:tcMar>
              <w:top w:w="80" w:type="dxa"/>
              <w:start w:w="80" w:type="dxa"/>
              <w:bottom w:w="80" w:type="dxa"/>
              <w:end w:w="80" w:type="dxa"/>
            </w:tcMar>
            <w:vAlign w:val="top"/>
          </w:tcPr>
          <w:p>
            <w:pPr>
              <w:spacing w:after="0"/>
            </w:pPr>
            <w:r>
              <w:rPr>
                <w:sz w:val="16"/>
              </w:rPr>
              <w:t>Recipient authority unresolved</w:t>
            </w:r>
          </w:p>
        </w:tc>
        <w:tc>
          <w:tcPr>
            <w:tcW w:type="dxa" w:w="7200"/>
            <w:tcMar>
              <w:top w:w="80" w:type="dxa"/>
              <w:start w:w="80" w:type="dxa"/>
              <w:bottom w:w="80" w:type="dxa"/>
              <w:end w:w="80" w:type="dxa"/>
            </w:tcMar>
            <w:vAlign w:val="top"/>
          </w:tcPr>
          <w:p>
            <w:pPr>
              <w:spacing w:after="0"/>
            </w:pPr>
            <w:r>
              <w:rPr>
                <w:sz w:val="16"/>
              </w:rPr>
              <w:t>Candidate blocked; selected branch may be active-local only.</w:t>
            </w:r>
          </w:p>
        </w:tc>
      </w:tr>
      <w:tr>
        <w:tc>
          <w:tcPr>
            <w:tcW w:type="dxa" w:w="2592"/>
            <w:tcMar>
              <w:top w:w="80" w:type="dxa"/>
              <w:start w:w="80" w:type="dxa"/>
              <w:bottom w:w="80" w:type="dxa"/>
              <w:end w:w="80" w:type="dxa"/>
            </w:tcMar>
            <w:vAlign w:val="top"/>
          </w:tcPr>
          <w:p>
            <w:pPr>
              <w:spacing w:after="0"/>
            </w:pPr>
            <w:r>
              <w:rPr>
                <w:sz w:val="16"/>
              </w:rPr>
              <w:t>External write failure</w:t>
            </w:r>
          </w:p>
        </w:tc>
        <w:tc>
          <w:tcPr>
            <w:tcW w:type="dxa" w:w="7200"/>
            <w:tcMar>
              <w:top w:w="80" w:type="dxa"/>
              <w:start w:w="80" w:type="dxa"/>
              <w:bottom w:w="80" w:type="dxa"/>
              <w:end w:w="80" w:type="dxa"/>
            </w:tcMar>
            <w:vAlign w:val="top"/>
          </w:tcPr>
          <w:p>
            <w:pPr>
              <w:spacing w:after="0"/>
            </w:pPr>
            <w:r>
              <w:rPr>
                <w:sz w:val="16"/>
              </w:rPr>
              <w:t>Preserve local branch; reconcile, retry, undo, or compensate.</w:t>
            </w:r>
          </w:p>
        </w:tc>
      </w:tr>
      <w:tr>
        <w:tc>
          <w:tcPr>
            <w:tcW w:type="dxa" w:w="2592"/>
            <w:tcMar>
              <w:top w:w="80" w:type="dxa"/>
              <w:start w:w="80" w:type="dxa"/>
              <w:bottom w:w="80" w:type="dxa"/>
              <w:end w:w="80" w:type="dxa"/>
            </w:tcMar>
            <w:vAlign w:val="top"/>
          </w:tcPr>
          <w:p>
            <w:pPr>
              <w:spacing w:after="0"/>
            </w:pPr>
            <w:r>
              <w:rPr>
                <w:sz w:val="16"/>
              </w:rPr>
              <w:t>Projection failure</w:t>
            </w:r>
          </w:p>
        </w:tc>
        <w:tc>
          <w:tcPr>
            <w:tcW w:type="dxa" w:w="7200"/>
            <w:tcMar>
              <w:top w:w="80" w:type="dxa"/>
              <w:start w:w="80" w:type="dxa"/>
              <w:bottom w:w="80" w:type="dxa"/>
              <w:end w:w="80" w:type="dxa"/>
            </w:tcMar>
            <w:vAlign w:val="top"/>
          </w:tcPr>
          <w:p>
            <w:pPr>
              <w:spacing w:after="0"/>
            </w:pPr>
            <w:r>
              <w:rPr>
                <w:sz w:val="16"/>
              </w:rPr>
              <w:t>Preserve committed authority; rebuild projections from durable state.</w:t>
            </w:r>
          </w:p>
        </w:tc>
      </w:tr>
      <w:tr>
        <w:tc>
          <w:tcPr>
            <w:tcW w:type="dxa" w:w="2592"/>
            <w:tcMar>
              <w:top w:w="80" w:type="dxa"/>
              <w:start w:w="80" w:type="dxa"/>
              <w:bottom w:w="80" w:type="dxa"/>
              <w:end w:w="80" w:type="dxa"/>
            </w:tcMar>
            <w:vAlign w:val="top"/>
          </w:tcPr>
          <w:p>
            <w:pPr>
              <w:spacing w:after="0"/>
            </w:pPr>
            <w:r>
              <w:rPr>
                <w:sz w:val="16"/>
              </w:rPr>
              <w:t>Crash during promotion</w:t>
            </w:r>
          </w:p>
        </w:tc>
        <w:tc>
          <w:tcPr>
            <w:tcW w:type="dxa" w:w="7200"/>
            <w:tcMar>
              <w:top w:w="80" w:type="dxa"/>
              <w:start w:w="80" w:type="dxa"/>
              <w:bottom w:w="80" w:type="dxa"/>
              <w:end w:w="80" w:type="dxa"/>
            </w:tcMar>
            <w:vAlign w:val="top"/>
          </w:tcPr>
          <w:p>
            <w:pPr>
              <w:spacing w:after="0"/>
            </w:pPr>
            <w:r>
              <w:rPr>
                <w:sz w:val="16"/>
              </w:rPr>
              <w:t>Resume durable phase idempotently; no duplicate acceptance or effect.</w:t>
            </w:r>
          </w:p>
        </w:tc>
      </w:tr>
      <w:tr>
        <w:tc>
          <w:tcPr>
            <w:tcW w:type="dxa" w:w="2592"/>
            <w:tcMar>
              <w:top w:w="80" w:type="dxa"/>
              <w:start w:w="80" w:type="dxa"/>
              <w:bottom w:w="80" w:type="dxa"/>
              <w:end w:w="80" w:type="dxa"/>
            </w:tcMar>
            <w:vAlign w:val="top"/>
          </w:tcPr>
          <w:p>
            <w:pPr>
              <w:spacing w:after="0"/>
            </w:pPr>
            <w:r>
              <w:rPr>
                <w:sz w:val="16"/>
              </w:rPr>
              <w:t>Model unavailable</w:t>
            </w:r>
          </w:p>
        </w:tc>
        <w:tc>
          <w:tcPr>
            <w:tcW w:type="dxa" w:w="7200"/>
            <w:tcMar>
              <w:top w:w="80" w:type="dxa"/>
              <w:start w:w="80" w:type="dxa"/>
              <w:bottom w:w="80" w:type="dxa"/>
              <w:end w:w="80" w:type="dxa"/>
            </w:tcMar>
            <w:vAlign w:val="top"/>
          </w:tcPr>
          <w:p>
            <w:pPr>
              <w:spacing w:after="0"/>
            </w:pPr>
            <w:r>
              <w:rPr>
                <w:sz w:val="16"/>
              </w:rPr>
              <w:t>Use deterministic contingency templates and explanation fallback.</w:t>
            </w:r>
          </w:p>
        </w:tc>
      </w:tr>
      <w:tr>
        <w:tc>
          <w:tcPr>
            <w:tcW w:type="dxa" w:w="2592"/>
            <w:tcMar>
              <w:top w:w="80" w:type="dxa"/>
              <w:start w:w="80" w:type="dxa"/>
              <w:bottom w:w="80" w:type="dxa"/>
              <w:end w:w="80" w:type="dxa"/>
            </w:tcMar>
            <w:vAlign w:val="top"/>
          </w:tcPr>
          <w:p>
            <w:pPr>
              <w:spacing w:after="0"/>
            </w:pPr>
            <w:r>
              <w:rPr>
                <w:sz w:val="16"/>
              </w:rPr>
              <w:t>Certificate corruption</w:t>
            </w:r>
          </w:p>
        </w:tc>
        <w:tc>
          <w:tcPr>
            <w:tcW w:type="dxa" w:w="7200"/>
            <w:tcMar>
              <w:top w:w="80" w:type="dxa"/>
              <w:start w:w="80" w:type="dxa"/>
              <w:bottom w:w="80" w:type="dxa"/>
              <w:end w:w="80" w:type="dxa"/>
            </w:tcMar>
            <w:vAlign w:val="top"/>
          </w:tcPr>
          <w:p>
            <w:pPr>
              <w:spacing w:after="0"/>
            </w:pPr>
            <w:r>
              <w:rPr>
                <w:sz w:val="16"/>
              </w:rPr>
              <w:t>Quarantine, rebuild, and block promotion.</w:t>
            </w:r>
          </w:p>
        </w:tc>
      </w:tr>
      <w:tr>
        <w:tc>
          <w:tcPr>
            <w:tcW w:type="dxa" w:w="2592"/>
            <w:tcMar>
              <w:top w:w="80" w:type="dxa"/>
              <w:start w:w="80" w:type="dxa"/>
              <w:bottom w:w="80" w:type="dxa"/>
              <w:end w:w="80" w:type="dxa"/>
            </w:tcMar>
            <w:vAlign w:val="top"/>
          </w:tcPr>
          <w:p>
            <w:pPr>
              <w:spacing w:after="0"/>
            </w:pPr>
            <w:r>
              <w:rPr>
                <w:sz w:val="16"/>
              </w:rPr>
              <w:t>Performance limit exceeded</w:t>
            </w:r>
          </w:p>
        </w:tc>
        <w:tc>
          <w:tcPr>
            <w:tcW w:type="dxa" w:w="7200"/>
            <w:tcMar>
              <w:top w:w="80" w:type="dxa"/>
              <w:start w:w="80" w:type="dxa"/>
              <w:bottom w:w="80" w:type="dxa"/>
              <w:end w:w="80" w:type="dxa"/>
            </w:tcMar>
            <w:vAlign w:val="top"/>
          </w:tcPr>
          <w:p>
            <w:pPr>
              <w:spacing w:after="0"/>
            </w:pPr>
            <w:r>
              <w:rPr>
                <w:sz w:val="16"/>
              </w:rPr>
              <w:t>Cancel materialization; return bounded safe fallback.</w:t>
            </w:r>
          </w:p>
        </w:tc>
      </w:tr>
    </w:tbl>
    <w:p>
      <w:pPr>
        <w:spacing w:after="0"/>
      </w:pPr>
    </w:p>
    <w:p>
      <w:pPr>
        <w:pStyle w:val="Heading1"/>
        <w:keepNext/>
      </w:pPr>
      <w:r>
        <w:t>11. Worked examples</w:t>
      </w:r>
    </w:p>
    <w:p>
      <w:pPr>
        <w:pStyle w:val="Heading2"/>
        <w:keepNext/>
      </w:pPr>
      <w:r>
        <w:t>11.1 Primary life-transition fixture</w:t>
      </w:r>
    </w:p>
    <w:p>
      <w:r>
        <w:t>The canonical state includes a promoted work role, wedding preparation, pregnancy and baby preparation, relationship continuity, an Ambitions milestone, recovery, and a dormant music path. The active branch is certified under a set of current capacity facts, personal policies, and one shared responsibility assumption.</w:t>
      </w:r>
    </w:p>
    <w:p>
      <w:pPr>
        <w:pStyle w:val="Heading3"/>
        <w:keepNext/>
      </w:pPr>
      <w:r>
        <w:t>11.2 Unrelated revision</w:t>
      </w:r>
    </w:p>
    <w:p>
      <w:r>
        <w:t>A financial note changes but is not referenced by the active branch certificate. The dependency lookup returns an empty impact cone. The certificate fingerprint and branch remain unchanged. No alternatives materialize. This demonstrates stability and selective processing.</w:t>
      </w:r>
    </w:p>
    <w:p>
      <w:pPr>
        <w:pStyle w:val="Heading3"/>
        <w:keepNext/>
      </w:pPr>
      <w:r>
        <w:t>11.3 Dependent revision</w:t>
      </w:r>
    </w:p>
    <w:p>
      <w:r>
        <w:t>Saturday childcare becomes unavailable. The impact cone includes the Saturday Ambitions placement, milestone estimate, a relationship substitute, and a household proposal. Unrelated weekday work, completed wedding work, and dormant music remain untouched. The certificate becomes invalid because the appointment, recovery floor, and milestone scope cannot all fit.</w:t>
      </w:r>
    </w:p>
    <w:p>
      <w:pPr>
        <w:pStyle w:val="Heading3"/>
        <w:keepNext/>
      </w:pPr>
      <w:r>
        <w:t>11.4 Correction-derived alternatives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24D"/>
            <w:tcMar>
              <w:top w:w="80" w:type="dxa"/>
              <w:start w:w="80" w:type="dxa"/>
              <w:bottom w:w="80" w:type="dxa"/>
              <w:end w:w="80" w:type="dxa"/>
            </w:tcMar>
            <w:vAlign w:val="center"/>
          </w:tcPr>
          <w:p>
            <w:pPr>
              <w:jc w:val="center"/>
            </w:pPr>
            <w:r>
              <w:rPr>
                <w:b/>
                <w:color w:val="FFFFFF"/>
                <w:sz w:val="16"/>
              </w:rPr>
              <w:t>Candidate policy</w:t>
            </w:r>
          </w:p>
        </w:tc>
        <w:tc>
          <w:tcPr>
            <w:tcW w:type="dxa" w:w="7344"/>
            <w:shd w:fill="17324D"/>
            <w:tcMar>
              <w:top w:w="80" w:type="dxa"/>
              <w:start w:w="80" w:type="dxa"/>
              <w:bottom w:w="80" w:type="dxa"/>
              <w:end w:w="80" w:type="dxa"/>
            </w:tcMar>
            <w:vAlign w:val="center"/>
          </w:tcPr>
          <w:p>
            <w:pPr>
              <w:jc w:val="center"/>
            </w:pPr>
            <w:r>
              <w:rPr>
                <w:b/>
                <w:color w:val="FFFFFF"/>
                <w:sz w:val="16"/>
              </w:rPr>
              <w:t>Correction semantics</w:t>
            </w:r>
          </w:p>
        </w:tc>
      </w:tr>
      <w:tr>
        <w:tc>
          <w:tcPr>
            <w:tcW w:type="dxa" w:w="2448"/>
            <w:tcMar>
              <w:top w:w="80" w:type="dxa"/>
              <w:start w:w="80" w:type="dxa"/>
              <w:bottom w:w="80" w:type="dxa"/>
              <w:end w:w="80" w:type="dxa"/>
            </w:tcMar>
            <w:vAlign w:val="top"/>
          </w:tcPr>
          <w:p>
            <w:pPr>
              <w:spacing w:after="0"/>
            </w:pPr>
            <w:r>
              <w:rPr>
                <w:sz w:val="16"/>
              </w:rPr>
              <w:t>Preserve continuity</w:t>
            </w:r>
          </w:p>
        </w:tc>
        <w:tc>
          <w:tcPr>
            <w:tcW w:type="dxa" w:w="7344"/>
            <w:tcMar>
              <w:top w:w="80" w:type="dxa"/>
              <w:start w:w="80" w:type="dxa"/>
              <w:bottom w:w="80" w:type="dxa"/>
              <w:end w:w="80" w:type="dxa"/>
            </w:tcMar>
            <w:vAlign w:val="top"/>
          </w:tcPr>
          <w:p>
            <w:pPr>
              <w:spacing w:after="0"/>
            </w:pPr>
            <w:r>
              <w:rPr>
                <w:sz w:val="16"/>
              </w:rPr>
              <w:t>Reduce milestone scope; preserve relationship, recovery, family, and one Ambitions action.</w:t>
            </w:r>
          </w:p>
        </w:tc>
      </w:tr>
      <w:tr>
        <w:tc>
          <w:tcPr>
            <w:tcW w:type="dxa" w:w="2448"/>
            <w:tcMar>
              <w:top w:w="80" w:type="dxa"/>
              <w:start w:w="80" w:type="dxa"/>
              <w:bottom w:w="80" w:type="dxa"/>
              <w:end w:w="80" w:type="dxa"/>
            </w:tcMar>
            <w:vAlign w:val="top"/>
          </w:tcPr>
          <w:p>
            <w:pPr>
              <w:spacing w:after="0"/>
            </w:pPr>
            <w:r>
              <w:rPr>
                <w:sz w:val="16"/>
              </w:rPr>
              <w:t>Temporary concentration</w:t>
            </w:r>
          </w:p>
        </w:tc>
        <w:tc>
          <w:tcPr>
            <w:tcW w:type="dxa" w:w="7344"/>
            <w:tcMar>
              <w:top w:w="80" w:type="dxa"/>
              <w:start w:w="80" w:type="dxa"/>
              <w:bottom w:w="80" w:type="dxa"/>
              <w:end w:w="80" w:type="dxa"/>
            </w:tcMar>
            <w:vAlign w:val="top"/>
          </w:tcPr>
          <w:p>
            <w:pPr>
              <w:spacing w:after="0"/>
            </w:pPr>
            <w:r>
              <w:rPr>
                <w:sz w:val="16"/>
              </w:rPr>
              <w:t>Preserve milestone; reduce optional wedding scope; requires a recipient-owned proposal.</w:t>
            </w:r>
          </w:p>
        </w:tc>
      </w:tr>
      <w:tr>
        <w:tc>
          <w:tcPr>
            <w:tcW w:type="dxa" w:w="2448"/>
            <w:tcMar>
              <w:top w:w="80" w:type="dxa"/>
              <w:start w:w="80" w:type="dxa"/>
              <w:bottom w:w="80" w:type="dxa"/>
              <w:end w:w="80" w:type="dxa"/>
            </w:tcMar>
            <w:vAlign w:val="top"/>
          </w:tcPr>
          <w:p>
            <w:pPr>
              <w:spacing w:after="0"/>
            </w:pPr>
            <w:r>
              <w:rPr>
                <w:sz w:val="16"/>
              </w:rPr>
              <w:t>Reduce or defer</w:t>
            </w:r>
          </w:p>
        </w:tc>
        <w:tc>
          <w:tcPr>
            <w:tcW w:type="dxa" w:w="7344"/>
            <w:tcMar>
              <w:top w:w="80" w:type="dxa"/>
              <w:start w:w="80" w:type="dxa"/>
              <w:bottom w:w="80" w:type="dxa"/>
              <w:end w:w="80" w:type="dxa"/>
            </w:tcMar>
            <w:vAlign w:val="top"/>
          </w:tcPr>
          <w:p>
            <w:pPr>
              <w:spacing w:after="0"/>
            </w:pPr>
            <w:r>
              <w:rPr>
                <w:sz w:val="16"/>
              </w:rPr>
              <w:t>Delay milestone and preserve all continuity floors with high robustness.</w:t>
            </w:r>
          </w:p>
        </w:tc>
      </w:tr>
      <w:tr>
        <w:tc>
          <w:tcPr>
            <w:tcW w:type="dxa" w:w="2448"/>
            <w:tcMar>
              <w:top w:w="80" w:type="dxa"/>
              <w:start w:w="80" w:type="dxa"/>
              <w:bottom w:w="80" w:type="dxa"/>
              <w:end w:w="80" w:type="dxa"/>
            </w:tcMar>
            <w:vAlign w:val="top"/>
          </w:tcPr>
          <w:p>
            <w:pPr>
              <w:spacing w:after="0"/>
            </w:pPr>
            <w:r>
              <w:rPr>
                <w:sz w:val="16"/>
              </w:rPr>
              <w:t>Nothing honest fits</w:t>
            </w:r>
          </w:p>
        </w:tc>
        <w:tc>
          <w:tcPr>
            <w:tcW w:type="dxa" w:w="7344"/>
            <w:tcMar>
              <w:top w:w="80" w:type="dxa"/>
              <w:start w:w="80" w:type="dxa"/>
              <w:bottom w:w="80" w:type="dxa"/>
              <w:end w:w="80" w:type="dxa"/>
            </w:tcMar>
            <w:vAlign w:val="top"/>
          </w:tcPr>
          <w:p>
            <w:pPr>
              <w:spacing w:after="0"/>
            </w:pPr>
            <w:r>
              <w:rPr>
                <w:sz w:val="16"/>
              </w:rPr>
              <w:t>Used when no correction set satisfies hard conditions.</w:t>
            </w:r>
          </w:p>
        </w:tc>
      </w:tr>
    </w:tbl>
    <w:p>
      <w:pPr>
        <w:spacing w:after="0"/>
      </w:pPr>
    </w:p>
    <w:p>
      <w:pPr>
        <w:pStyle w:val="Heading3"/>
        <w:keepNext/>
      </w:pPr>
      <w:r>
        <w:t>11.5 One-time waiver</w:t>
      </w:r>
    </w:p>
    <w:p>
      <w:r>
        <w:t>The user grants a one-week waiver allowing Ambitions continuity to extend from seven to ten days while requiring an exact return point. Candidate certificates are replaced against the new policy revision. The waiver is branch-scoped, expiring, visible, and historically preserved; it does not silently amend the underlying law.</w:t>
      </w:r>
    </w:p>
    <w:p>
      <w:pPr>
        <w:pStyle w:val="Heading3"/>
        <w:keepNext/>
      </w:pPr>
      <w:r>
        <w:t>11.6 Promotion with shared and external effects</w:t>
      </w:r>
    </w:p>
    <w:p>
      <w:r>
        <w:t>The user selects the continuity-preserving branch. User-owned Goal, Path, Step, Time, and Recovery changes commit under one parent transaction. A recipient-owned responsibility remains a proposal. An EventKit write becomes an outbox intent after local commit. The branch reaches active-local; later reconciliation may make it active. External failure does not erase accepted local intent.</w:t>
      </w:r>
    </w:p>
    <w:p>
      <w:pPr>
        <w:pStyle w:val="Heading3"/>
        <w:keepNext/>
      </w:pPr>
      <w:r>
        <w:t>11.7 Rollback</w:t>
      </w:r>
    </w:p>
    <w:p>
      <w:r>
        <w:t>Before an irreversible external consequence, the user may restore the prior arrangement through a new canonical mutation tied to the promotion Receipt. After irreversible effects, the runtime performs declared compensation and truthfully reports that literal reversal is unavailable.</w:t>
      </w:r>
    </w:p>
    <w:p>
      <w:pPr>
        <w:pStyle w:val="Heading1"/>
        <w:keepNext/>
      </w:pPr>
      <w:r>
        <w:t>12. Technical effects and measurement</w:t>
      </w:r>
    </w:p>
    <w:p>
      <w:r>
        <w:t>The invention disclosure should claim only technical effects supported by measured evidence. The following are hypotheses and required measurements, not current results.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24D"/>
            <w:tcMar>
              <w:top w:w="80" w:type="dxa"/>
              <w:start w:w="80" w:type="dxa"/>
              <w:bottom w:w="80" w:type="dxa"/>
              <w:end w:w="80" w:type="dxa"/>
            </w:tcMar>
            <w:vAlign w:val="center"/>
          </w:tcPr>
          <w:p>
            <w:pPr>
              <w:jc w:val="center"/>
            </w:pPr>
            <w:r>
              <w:rPr>
                <w:b/>
                <w:color w:val="FFFFFF"/>
                <w:sz w:val="16"/>
              </w:rPr>
              <w:t>Technical effect</w:t>
            </w:r>
          </w:p>
        </w:tc>
        <w:tc>
          <w:tcPr>
            <w:tcW w:type="dxa" w:w="7344"/>
            <w:shd w:fill="17324D"/>
            <w:tcMar>
              <w:top w:w="80" w:type="dxa"/>
              <w:start w:w="80" w:type="dxa"/>
              <w:bottom w:w="80" w:type="dxa"/>
              <w:end w:w="80" w:type="dxa"/>
            </w:tcMar>
            <w:vAlign w:val="center"/>
          </w:tcPr>
          <w:p>
            <w:pPr>
              <w:jc w:val="center"/>
            </w:pPr>
            <w:r>
              <w:rPr>
                <w:b/>
                <w:color w:val="FFFFFF"/>
                <w:sz w:val="16"/>
              </w:rPr>
              <w:t>Measurement</w:t>
            </w:r>
          </w:p>
        </w:tc>
      </w:tr>
      <w:tr>
        <w:tc>
          <w:tcPr>
            <w:tcW w:type="dxa" w:w="2448"/>
            <w:tcMar>
              <w:top w:w="80" w:type="dxa"/>
              <w:start w:w="80" w:type="dxa"/>
              <w:bottom w:w="80" w:type="dxa"/>
              <w:end w:w="80" w:type="dxa"/>
            </w:tcMar>
            <w:vAlign w:val="top"/>
          </w:tcPr>
          <w:p>
            <w:pPr>
              <w:spacing w:after="0"/>
            </w:pPr>
            <w:r>
              <w:rPr>
                <w:sz w:val="16"/>
              </w:rPr>
              <w:t>Selective computation</w:t>
            </w:r>
          </w:p>
        </w:tc>
        <w:tc>
          <w:tcPr>
            <w:tcW w:type="dxa" w:w="7344"/>
            <w:tcMar>
              <w:top w:w="80" w:type="dxa"/>
              <w:start w:w="80" w:type="dxa"/>
              <w:bottom w:w="80" w:type="dxa"/>
              <w:end w:w="80" w:type="dxa"/>
            </w:tcMar>
            <w:vAlign w:val="top"/>
          </w:tcPr>
          <w:p>
            <w:pPr>
              <w:spacing w:after="0"/>
            </w:pPr>
            <w:r>
              <w:rPr>
                <w:sz w:val="16"/>
              </w:rPr>
              <w:t>Fewer objects and certificate components recomputed after localized revisions compared with full replanning.</w:t>
            </w:r>
          </w:p>
        </w:tc>
      </w:tr>
      <w:tr>
        <w:tc>
          <w:tcPr>
            <w:tcW w:type="dxa" w:w="2448"/>
            <w:tcMar>
              <w:top w:w="80" w:type="dxa"/>
              <w:start w:w="80" w:type="dxa"/>
              <w:bottom w:w="80" w:type="dxa"/>
              <w:end w:w="80" w:type="dxa"/>
            </w:tcMar>
            <w:vAlign w:val="top"/>
          </w:tcPr>
          <w:p>
            <w:pPr>
              <w:spacing w:after="0"/>
            </w:pPr>
            <w:r>
              <w:rPr>
                <w:sz w:val="16"/>
              </w:rPr>
              <w:t>State stability</w:t>
            </w:r>
          </w:p>
        </w:tc>
        <w:tc>
          <w:tcPr>
            <w:tcW w:type="dxa" w:w="7344"/>
            <w:tcMar>
              <w:top w:w="80" w:type="dxa"/>
              <w:start w:w="80" w:type="dxa"/>
              <w:bottom w:w="80" w:type="dxa"/>
              <w:end w:w="80" w:type="dxa"/>
            </w:tcMar>
            <w:vAlign w:val="top"/>
          </w:tcPr>
          <w:p>
            <w:pPr>
              <w:spacing w:after="0"/>
            </w:pPr>
            <w:r>
              <w:rPr>
                <w:sz w:val="16"/>
              </w:rPr>
              <w:t>Fewer unrelated canonical changes and lower branch churn.</w:t>
            </w:r>
          </w:p>
        </w:tc>
      </w:tr>
      <w:tr>
        <w:tc>
          <w:tcPr>
            <w:tcW w:type="dxa" w:w="2448"/>
            <w:tcMar>
              <w:top w:w="80" w:type="dxa"/>
              <w:start w:w="80" w:type="dxa"/>
              <w:bottom w:w="80" w:type="dxa"/>
              <w:end w:w="80" w:type="dxa"/>
            </w:tcMar>
            <w:vAlign w:val="top"/>
          </w:tcPr>
          <w:p>
            <w:pPr>
              <w:spacing w:after="0"/>
            </w:pPr>
            <w:r>
              <w:rPr>
                <w:sz w:val="16"/>
              </w:rPr>
              <w:t>Storage efficiency</w:t>
            </w:r>
          </w:p>
        </w:tc>
        <w:tc>
          <w:tcPr>
            <w:tcW w:type="dxa" w:w="7344"/>
            <w:tcMar>
              <w:top w:w="80" w:type="dxa"/>
              <w:start w:w="80" w:type="dxa"/>
              <w:bottom w:w="80" w:type="dxa"/>
              <w:end w:w="80" w:type="dxa"/>
            </w:tcMar>
            <w:vAlign w:val="top"/>
          </w:tcPr>
          <w:p>
            <w:pPr>
              <w:spacing w:after="0"/>
            </w:pPr>
            <w:r>
              <w:rPr>
                <w:sz w:val="16"/>
              </w:rPr>
              <w:t>Lower storage than maintaining several full future graph copies.</w:t>
            </w:r>
          </w:p>
        </w:tc>
      </w:tr>
      <w:tr>
        <w:tc>
          <w:tcPr>
            <w:tcW w:type="dxa" w:w="2448"/>
            <w:tcMar>
              <w:top w:w="80" w:type="dxa"/>
              <w:start w:w="80" w:type="dxa"/>
              <w:bottom w:w="80" w:type="dxa"/>
              <w:end w:w="80" w:type="dxa"/>
            </w:tcMar>
            <w:vAlign w:val="top"/>
          </w:tcPr>
          <w:p>
            <w:pPr>
              <w:spacing w:after="0"/>
            </w:pPr>
            <w:r>
              <w:rPr>
                <w:sz w:val="16"/>
              </w:rPr>
              <w:t>Consistency</w:t>
            </w:r>
          </w:p>
        </w:tc>
        <w:tc>
          <w:tcPr>
            <w:tcW w:type="dxa" w:w="7344"/>
            <w:tcMar>
              <w:top w:w="80" w:type="dxa"/>
              <w:start w:w="80" w:type="dxa"/>
              <w:bottom w:w="80" w:type="dxa"/>
              <w:end w:w="80" w:type="dxa"/>
            </w:tcMar>
            <w:vAlign w:val="top"/>
          </w:tcPr>
          <w:p>
            <w:pPr>
              <w:spacing w:after="0"/>
            </w:pPr>
            <w:r>
              <w:rPr>
                <w:sz w:val="16"/>
              </w:rPr>
              <w:t>One parent transaction prevents mixed Goal/Path/Time/Recovery state.</w:t>
            </w:r>
          </w:p>
        </w:tc>
      </w:tr>
      <w:tr>
        <w:tc>
          <w:tcPr>
            <w:tcW w:type="dxa" w:w="2448"/>
            <w:tcMar>
              <w:top w:w="80" w:type="dxa"/>
              <w:start w:w="80" w:type="dxa"/>
              <w:bottom w:w="80" w:type="dxa"/>
              <w:end w:w="80" w:type="dxa"/>
            </w:tcMar>
            <w:vAlign w:val="top"/>
          </w:tcPr>
          <w:p>
            <w:pPr>
              <w:spacing w:after="0"/>
            </w:pPr>
            <w:r>
              <w:rPr>
                <w:sz w:val="16"/>
              </w:rPr>
              <w:t>Deterministic recovery</w:t>
            </w:r>
          </w:p>
        </w:tc>
        <w:tc>
          <w:tcPr>
            <w:tcW w:type="dxa" w:w="7344"/>
            <w:tcMar>
              <w:top w:w="80" w:type="dxa"/>
              <w:start w:w="80" w:type="dxa"/>
              <w:bottom w:w="80" w:type="dxa"/>
              <w:end w:w="80" w:type="dxa"/>
            </w:tcMar>
            <w:vAlign w:val="top"/>
          </w:tcPr>
          <w:p>
            <w:pPr>
              <w:spacing w:after="0"/>
            </w:pPr>
            <w:r>
              <w:rPr>
                <w:sz w:val="16"/>
              </w:rPr>
              <w:t>Replay produces equivalent branch, certificate, projections, and Receipt lineage.</w:t>
            </w:r>
          </w:p>
        </w:tc>
      </w:tr>
      <w:tr>
        <w:tc>
          <w:tcPr>
            <w:tcW w:type="dxa" w:w="2448"/>
            <w:tcMar>
              <w:top w:w="80" w:type="dxa"/>
              <w:start w:w="80" w:type="dxa"/>
              <w:bottom w:w="80" w:type="dxa"/>
              <w:end w:w="80" w:type="dxa"/>
            </w:tcMar>
            <w:vAlign w:val="top"/>
          </w:tcPr>
          <w:p>
            <w:pPr>
              <w:spacing w:after="0"/>
            </w:pPr>
            <w:r>
              <w:rPr>
                <w:sz w:val="16"/>
              </w:rPr>
              <w:t>Stale safety</w:t>
            </w:r>
          </w:p>
        </w:tc>
        <w:tc>
          <w:tcPr>
            <w:tcW w:type="dxa" w:w="7344"/>
            <w:tcMar>
              <w:top w:w="80" w:type="dxa"/>
              <w:start w:w="80" w:type="dxa"/>
              <w:bottom w:w="80" w:type="dxa"/>
              <w:end w:w="80" w:type="dxa"/>
            </w:tcMar>
            <w:vAlign w:val="top"/>
          </w:tcPr>
          <w:p>
            <w:pPr>
              <w:spacing w:after="0"/>
            </w:pPr>
            <w:r>
              <w:rPr>
                <w:sz w:val="16"/>
              </w:rPr>
              <w:t>Selection rejects stale candidates and stale certificate fingerprints.</w:t>
            </w:r>
          </w:p>
        </w:tc>
      </w:tr>
      <w:tr>
        <w:tc>
          <w:tcPr>
            <w:tcW w:type="dxa" w:w="2448"/>
            <w:tcMar>
              <w:top w:w="80" w:type="dxa"/>
              <w:start w:w="80" w:type="dxa"/>
              <w:bottom w:w="80" w:type="dxa"/>
              <w:end w:w="80" w:type="dxa"/>
            </w:tcMar>
            <w:vAlign w:val="top"/>
          </w:tcPr>
          <w:p>
            <w:pPr>
              <w:spacing w:after="0"/>
            </w:pPr>
            <w:r>
              <w:rPr>
                <w:sz w:val="16"/>
              </w:rPr>
              <w:t>Explainable diversity</w:t>
            </w:r>
          </w:p>
        </w:tc>
        <w:tc>
          <w:tcPr>
            <w:tcW w:type="dxa" w:w="7344"/>
            <w:tcMar>
              <w:top w:w="80" w:type="dxa"/>
              <w:start w:w="80" w:type="dxa"/>
              <w:bottom w:w="80" w:type="dxa"/>
              <w:end w:w="80" w:type="dxa"/>
            </w:tcMar>
            <w:vAlign w:val="top"/>
          </w:tcPr>
          <w:p>
            <w:pPr>
              <w:spacing w:after="0"/>
            </w:pPr>
            <w:r>
              <w:rPr>
                <w:sz w:val="16"/>
              </w:rPr>
              <w:t>Each branch difference maps to a distinct correction set.</w:t>
            </w:r>
          </w:p>
        </w:tc>
      </w:tr>
      <w:tr>
        <w:tc>
          <w:tcPr>
            <w:tcW w:type="dxa" w:w="2448"/>
            <w:tcMar>
              <w:top w:w="80" w:type="dxa"/>
              <w:start w:w="80" w:type="dxa"/>
              <w:bottom w:w="80" w:type="dxa"/>
              <w:end w:w="80" w:type="dxa"/>
            </w:tcMar>
            <w:vAlign w:val="top"/>
          </w:tcPr>
          <w:p>
            <w:pPr>
              <w:spacing w:after="0"/>
            </w:pPr>
            <w:r>
              <w:rPr>
                <w:sz w:val="16"/>
              </w:rPr>
              <w:t>Authority correctness</w:t>
            </w:r>
          </w:p>
        </w:tc>
        <w:tc>
          <w:tcPr>
            <w:tcW w:type="dxa" w:w="7344"/>
            <w:tcMar>
              <w:top w:w="80" w:type="dxa"/>
              <w:start w:w="80" w:type="dxa"/>
              <w:bottom w:w="80" w:type="dxa"/>
              <w:end w:w="80" w:type="dxa"/>
            </w:tcMar>
            <w:vAlign w:val="top"/>
          </w:tcPr>
          <w:p>
            <w:pPr>
              <w:spacing w:after="0"/>
            </w:pPr>
            <w:r>
              <w:rPr>
                <w:sz w:val="16"/>
              </w:rPr>
              <w:t>Recipient and external effects remain correctly partitioned.</w:t>
            </w:r>
          </w:p>
        </w:tc>
      </w:tr>
      <w:tr>
        <w:tc>
          <w:tcPr>
            <w:tcW w:type="dxa" w:w="2448"/>
            <w:tcMar>
              <w:top w:w="80" w:type="dxa"/>
              <w:start w:w="80" w:type="dxa"/>
              <w:bottom w:w="80" w:type="dxa"/>
              <w:end w:w="80" w:type="dxa"/>
            </w:tcMar>
            <w:vAlign w:val="top"/>
          </w:tcPr>
          <w:p>
            <w:pPr>
              <w:spacing w:after="0"/>
            </w:pPr>
            <w:r>
              <w:rPr>
                <w:sz w:val="16"/>
              </w:rPr>
              <w:t>Interruption safety</w:t>
            </w:r>
          </w:p>
        </w:tc>
        <w:tc>
          <w:tcPr>
            <w:tcW w:type="dxa" w:w="7344"/>
            <w:tcMar>
              <w:top w:w="80" w:type="dxa"/>
              <w:start w:w="80" w:type="dxa"/>
              <w:bottom w:w="80" w:type="dxa"/>
              <w:end w:w="80" w:type="dxa"/>
            </w:tcMar>
            <w:vAlign w:val="top"/>
          </w:tcPr>
          <w:p>
            <w:pPr>
              <w:spacing w:after="0"/>
            </w:pPr>
            <w:r>
              <w:rPr>
                <w:sz w:val="16"/>
              </w:rPr>
              <w:t>Candidate materialization and promotion resume without duplicate mutation.</w:t>
            </w:r>
          </w:p>
        </w:tc>
      </w:tr>
    </w:tbl>
    <w:p>
      <w:pPr>
        <w:spacing w:after="0"/>
      </w:pPr>
    </w:p>
    <w:p>
      <w:pPr>
        <w:pStyle w:val="Heading2"/>
        <w:keepNext/>
      </w:pPr>
      <w:r>
        <w:t>12.1 Required calibration dimensions</w:t>
      </w:r>
    </w:p>
    <w:p>
      <w:pPr>
        <w:pStyle w:val="ListBullet"/>
      </w:pPr>
      <w:r>
        <w:t>Device model, OS version, build configuration, and toolchain.</w:t>
      </w:r>
    </w:p>
    <w:p>
      <w:pPr>
        <w:pStyle w:val="ListBullet"/>
      </w:pPr>
      <w:r>
        <w:t>Canonical graph object count and relation density.</w:t>
      </w:r>
    </w:p>
    <w:p>
      <w:pPr>
        <w:pStyle w:val="ListBullet"/>
      </w:pPr>
      <w:r>
        <w:t>Branch horizon, recurrence expansion, number of policies, conditions, and conflicts.</w:t>
      </w:r>
    </w:p>
    <w:p>
      <w:pPr>
        <w:pStyle w:val="ListBullet"/>
      </w:pPr>
      <w:r>
        <w:t>Warm and cold state, percentile and maximum latency, memory, storage, energy, and cancellation behavior.</w:t>
      </w:r>
    </w:p>
    <w:p>
      <w:pPr>
        <w:pStyle w:val="ListBullet"/>
      </w:pPr>
      <w:r>
        <w:t>Full-replan baseline and fully persisted alternate-future baseline.</w:t>
      </w:r>
    </w:p>
    <w:p>
      <w:pPr>
        <w:pStyle w:val="Heading1"/>
        <w:keepNext/>
      </w:pPr>
      <w:r>
        <w:t>13. Alternative embodiments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736"/>
            <w:shd w:fill="17324D"/>
            <w:tcMar>
              <w:top w:w="80" w:type="dxa"/>
              <w:start w:w="80" w:type="dxa"/>
              <w:bottom w:w="80" w:type="dxa"/>
              <w:end w:w="80" w:type="dxa"/>
            </w:tcMar>
            <w:vAlign w:val="center"/>
          </w:tcPr>
          <w:p>
            <w:pPr>
              <w:jc w:val="center"/>
            </w:pPr>
            <w:r>
              <w:rPr>
                <w:b/>
                <w:color w:val="FFFFFF"/>
                <w:sz w:val="16"/>
              </w:rPr>
              <w:t>Embodiment</w:t>
            </w:r>
          </w:p>
        </w:tc>
        <w:tc>
          <w:tcPr>
            <w:tcW w:type="dxa" w:w="7056"/>
            <w:shd w:fill="17324D"/>
            <w:tcMar>
              <w:top w:w="80" w:type="dxa"/>
              <w:start w:w="80" w:type="dxa"/>
              <w:bottom w:w="80" w:type="dxa"/>
              <w:end w:w="80" w:type="dxa"/>
            </w:tcMar>
            <w:vAlign w:val="center"/>
          </w:tcPr>
          <w:p>
            <w:pPr>
              <w:jc w:val="center"/>
            </w:pPr>
            <w:r>
              <w:rPr>
                <w:b/>
                <w:color w:val="FFFFFF"/>
                <w:sz w:val="16"/>
              </w:rPr>
              <w:t>Description</w:t>
            </w:r>
          </w:p>
        </w:tc>
      </w:tr>
      <w:tr>
        <w:tc>
          <w:tcPr>
            <w:tcW w:type="dxa" w:w="2736"/>
            <w:tcMar>
              <w:top w:w="80" w:type="dxa"/>
              <w:start w:w="80" w:type="dxa"/>
              <w:bottom w:w="80" w:type="dxa"/>
              <w:end w:w="80" w:type="dxa"/>
            </w:tcMar>
            <w:vAlign w:val="top"/>
          </w:tcPr>
          <w:p>
            <w:pPr>
              <w:spacing w:after="0"/>
            </w:pPr>
            <w:r>
              <w:rPr>
                <w:sz w:val="16"/>
              </w:rPr>
              <w:t>Eager certificates</w:t>
            </w:r>
          </w:p>
        </w:tc>
        <w:tc>
          <w:tcPr>
            <w:tcW w:type="dxa" w:w="7056"/>
            <w:tcMar>
              <w:top w:w="80" w:type="dxa"/>
              <w:start w:w="80" w:type="dxa"/>
              <w:bottom w:w="80" w:type="dxa"/>
              <w:end w:w="80" w:type="dxa"/>
            </w:tcMar>
            <w:vAlign w:val="top"/>
          </w:tcPr>
          <w:p>
            <w:pPr>
              <w:spacing w:after="0"/>
            </w:pPr>
            <w:r>
              <w:rPr>
                <w:sz w:val="16"/>
              </w:rPr>
              <w:t>Maintain a fresh certificate after every eligible revision.</w:t>
            </w:r>
          </w:p>
        </w:tc>
      </w:tr>
      <w:tr>
        <w:tc>
          <w:tcPr>
            <w:tcW w:type="dxa" w:w="2736"/>
            <w:tcMar>
              <w:top w:w="80" w:type="dxa"/>
              <w:start w:w="80" w:type="dxa"/>
              <w:bottom w:w="80" w:type="dxa"/>
              <w:end w:w="80" w:type="dxa"/>
            </w:tcMar>
            <w:vAlign w:val="top"/>
          </w:tcPr>
          <w:p>
            <w:pPr>
              <w:spacing w:after="0"/>
            </w:pPr>
            <w:r>
              <w:rPr>
                <w:sz w:val="16"/>
              </w:rPr>
              <w:t>Lazy certificates</w:t>
            </w:r>
          </w:p>
        </w:tc>
        <w:tc>
          <w:tcPr>
            <w:tcW w:type="dxa" w:w="7056"/>
            <w:tcMar>
              <w:top w:w="80" w:type="dxa"/>
              <w:start w:w="80" w:type="dxa"/>
              <w:bottom w:w="80" w:type="dxa"/>
              <w:end w:w="80" w:type="dxa"/>
            </w:tcMar>
            <w:vAlign w:val="top"/>
          </w:tcPr>
          <w:p>
            <w:pPr>
              <w:spacing w:after="0"/>
            </w:pPr>
            <w:r>
              <w:rPr>
                <w:sz w:val="16"/>
              </w:rPr>
              <w:t>Mark stale and rebuild only before comparison or promotion.</w:t>
            </w:r>
          </w:p>
        </w:tc>
      </w:tr>
      <w:tr>
        <w:tc>
          <w:tcPr>
            <w:tcW w:type="dxa" w:w="2736"/>
            <w:tcMar>
              <w:top w:w="80" w:type="dxa"/>
              <w:start w:w="80" w:type="dxa"/>
              <w:bottom w:w="80" w:type="dxa"/>
              <w:end w:w="80" w:type="dxa"/>
            </w:tcMar>
            <w:vAlign w:val="top"/>
          </w:tcPr>
          <w:p>
            <w:pPr>
              <w:spacing w:after="0"/>
            </w:pPr>
            <w:r>
              <w:rPr>
                <w:sz w:val="16"/>
              </w:rPr>
              <w:t>Persisted dependency index</w:t>
            </w:r>
          </w:p>
        </w:tc>
        <w:tc>
          <w:tcPr>
            <w:tcW w:type="dxa" w:w="7056"/>
            <w:tcMar>
              <w:top w:w="80" w:type="dxa"/>
              <w:start w:w="80" w:type="dxa"/>
              <w:bottom w:w="80" w:type="dxa"/>
              <w:end w:w="80" w:type="dxa"/>
            </w:tcMar>
            <w:vAlign w:val="top"/>
          </w:tcPr>
          <w:p>
            <w:pPr>
              <w:spacing w:after="0"/>
            </w:pPr>
            <w:r>
              <w:rPr>
                <w:sz w:val="16"/>
              </w:rPr>
              <w:t>Store indexed dependencies for speed; rebuild on migration.</w:t>
            </w:r>
          </w:p>
        </w:tc>
      </w:tr>
      <w:tr>
        <w:tc>
          <w:tcPr>
            <w:tcW w:type="dxa" w:w="2736"/>
            <w:tcMar>
              <w:top w:w="80" w:type="dxa"/>
              <w:start w:w="80" w:type="dxa"/>
              <w:bottom w:w="80" w:type="dxa"/>
              <w:end w:w="80" w:type="dxa"/>
            </w:tcMar>
            <w:vAlign w:val="top"/>
          </w:tcPr>
          <w:p>
            <w:pPr>
              <w:spacing w:after="0"/>
            </w:pPr>
            <w:r>
              <w:rPr>
                <w:sz w:val="16"/>
              </w:rPr>
              <w:t>Derived dependency index</w:t>
            </w:r>
          </w:p>
        </w:tc>
        <w:tc>
          <w:tcPr>
            <w:tcW w:type="dxa" w:w="7056"/>
            <w:tcMar>
              <w:top w:w="80" w:type="dxa"/>
              <w:start w:w="80" w:type="dxa"/>
              <w:bottom w:w="80" w:type="dxa"/>
              <w:end w:w="80" w:type="dxa"/>
            </w:tcMar>
            <w:vAlign w:val="top"/>
          </w:tcPr>
          <w:p>
            <w:pPr>
              <w:spacing w:after="0"/>
            </w:pPr>
            <w:r>
              <w:rPr>
                <w:sz w:val="16"/>
              </w:rPr>
              <w:t>Rebuild from branch and certificate evidence to reduce durable state.</w:t>
            </w:r>
          </w:p>
        </w:tc>
      </w:tr>
      <w:tr>
        <w:tc>
          <w:tcPr>
            <w:tcW w:type="dxa" w:w="2736"/>
            <w:tcMar>
              <w:top w:w="80" w:type="dxa"/>
              <w:start w:w="80" w:type="dxa"/>
              <w:bottom w:w="80" w:type="dxa"/>
              <w:end w:w="80" w:type="dxa"/>
            </w:tcMar>
            <w:vAlign w:val="top"/>
          </w:tcPr>
          <w:p>
            <w:pPr>
              <w:spacing w:after="0"/>
            </w:pPr>
            <w:r>
              <w:rPr>
                <w:sz w:val="16"/>
              </w:rPr>
              <w:t>Event-referenced delta</w:t>
            </w:r>
          </w:p>
        </w:tc>
        <w:tc>
          <w:tcPr>
            <w:tcW w:type="dxa" w:w="7056"/>
            <w:tcMar>
              <w:top w:w="80" w:type="dxa"/>
              <w:start w:w="80" w:type="dxa"/>
              <w:bottom w:w="80" w:type="dxa"/>
              <w:end w:w="80" w:type="dxa"/>
            </w:tcMar>
            <w:vAlign w:val="top"/>
          </w:tcPr>
          <w:p>
            <w:pPr>
              <w:spacing w:after="0"/>
            </w:pPr>
            <w:r>
              <w:rPr>
                <w:sz w:val="16"/>
              </w:rPr>
              <w:t>Branch operations reference existing domain Events or Commands.</w:t>
            </w:r>
          </w:p>
        </w:tc>
      </w:tr>
      <w:tr>
        <w:tc>
          <w:tcPr>
            <w:tcW w:type="dxa" w:w="2736"/>
            <w:tcMar>
              <w:top w:w="80" w:type="dxa"/>
              <w:start w:w="80" w:type="dxa"/>
              <w:bottom w:w="80" w:type="dxa"/>
              <w:end w:w="80" w:type="dxa"/>
            </w:tcMar>
            <w:vAlign w:val="top"/>
          </w:tcPr>
          <w:p>
            <w:pPr>
              <w:spacing w:after="0"/>
            </w:pPr>
            <w:r>
              <w:rPr>
                <w:sz w:val="16"/>
              </w:rPr>
              <w:t>Typed snapshot delta</w:t>
            </w:r>
          </w:p>
        </w:tc>
        <w:tc>
          <w:tcPr>
            <w:tcW w:type="dxa" w:w="7056"/>
            <w:tcMar>
              <w:top w:w="80" w:type="dxa"/>
              <w:start w:w="80" w:type="dxa"/>
              <w:bottom w:w="80" w:type="dxa"/>
              <w:end w:w="80" w:type="dxa"/>
            </w:tcMar>
            <w:vAlign w:val="top"/>
          </w:tcPr>
          <w:p>
            <w:pPr>
              <w:spacing w:after="0"/>
            </w:pPr>
            <w:r>
              <w:rPr>
                <w:sz w:val="16"/>
              </w:rPr>
              <w:t>Branch stores typed before/after object transformations.</w:t>
            </w:r>
          </w:p>
        </w:tc>
      </w:tr>
      <w:tr>
        <w:tc>
          <w:tcPr>
            <w:tcW w:type="dxa" w:w="2736"/>
            <w:tcMar>
              <w:top w:w="80" w:type="dxa"/>
              <w:start w:w="80" w:type="dxa"/>
              <w:bottom w:w="80" w:type="dxa"/>
              <w:end w:w="80" w:type="dxa"/>
            </w:tcMar>
            <w:vAlign w:val="top"/>
          </w:tcPr>
          <w:p>
            <w:pPr>
              <w:spacing w:after="0"/>
            </w:pPr>
            <w:r>
              <w:rPr>
                <w:sz w:val="16"/>
              </w:rPr>
              <w:t>Model-assisted materialization</w:t>
            </w:r>
          </w:p>
        </w:tc>
        <w:tc>
          <w:tcPr>
            <w:tcW w:type="dxa" w:w="7056"/>
            <w:tcMar>
              <w:top w:w="80" w:type="dxa"/>
              <w:start w:w="80" w:type="dxa"/>
              <w:bottom w:w="80" w:type="dxa"/>
              <w:end w:w="80" w:type="dxa"/>
            </w:tcMar>
            <w:vAlign w:val="top"/>
          </w:tcPr>
          <w:p>
            <w:pPr>
              <w:spacing w:after="0"/>
            </w:pPr>
            <w:r>
              <w:rPr>
                <w:sz w:val="16"/>
              </w:rPr>
              <w:t>Local model proposes correction narratives; deterministic compiler owns operations.</w:t>
            </w:r>
          </w:p>
        </w:tc>
      </w:tr>
      <w:tr>
        <w:tc>
          <w:tcPr>
            <w:tcW w:type="dxa" w:w="2736"/>
            <w:tcMar>
              <w:top w:w="80" w:type="dxa"/>
              <w:start w:w="80" w:type="dxa"/>
              <w:bottom w:w="80" w:type="dxa"/>
              <w:end w:w="80" w:type="dxa"/>
            </w:tcMar>
            <w:vAlign w:val="top"/>
          </w:tcPr>
          <w:p>
            <w:pPr>
              <w:spacing w:after="0"/>
            </w:pPr>
            <w:r>
              <w:rPr>
                <w:sz w:val="16"/>
              </w:rPr>
              <w:t>Deterministic-only materialization</w:t>
            </w:r>
          </w:p>
        </w:tc>
        <w:tc>
          <w:tcPr>
            <w:tcW w:type="dxa" w:w="7056"/>
            <w:tcMar>
              <w:top w:w="80" w:type="dxa"/>
              <w:start w:w="80" w:type="dxa"/>
              <w:bottom w:w="80" w:type="dxa"/>
              <w:end w:w="80" w:type="dxa"/>
            </w:tcMar>
            <w:vAlign w:val="top"/>
          </w:tcPr>
          <w:p>
            <w:pPr>
              <w:spacing w:after="0"/>
            </w:pPr>
            <w:r>
              <w:rPr>
                <w:sz w:val="16"/>
              </w:rPr>
              <w:t>Use bounded policy templates without a generative model.</w:t>
            </w:r>
          </w:p>
        </w:tc>
      </w:tr>
      <w:tr>
        <w:tc>
          <w:tcPr>
            <w:tcW w:type="dxa" w:w="2736"/>
            <w:tcMar>
              <w:top w:w="80" w:type="dxa"/>
              <w:start w:w="80" w:type="dxa"/>
              <w:bottom w:w="80" w:type="dxa"/>
              <w:end w:w="80" w:type="dxa"/>
            </w:tcMar>
            <w:vAlign w:val="top"/>
          </w:tcPr>
          <w:p>
            <w:pPr>
              <w:spacing w:after="0"/>
            </w:pPr>
            <w:r>
              <w:rPr>
                <w:sz w:val="16"/>
              </w:rPr>
              <w:t>Single-principal embodiment</w:t>
            </w:r>
          </w:p>
        </w:tc>
        <w:tc>
          <w:tcPr>
            <w:tcW w:type="dxa" w:w="7056"/>
            <w:tcMar>
              <w:top w:w="80" w:type="dxa"/>
              <w:start w:w="80" w:type="dxa"/>
              <w:bottom w:w="80" w:type="dxa"/>
              <w:end w:w="80" w:type="dxa"/>
            </w:tcMar>
            <w:vAlign w:val="top"/>
          </w:tcPr>
          <w:p>
            <w:pPr>
              <w:spacing w:after="0"/>
            </w:pPr>
            <w:r>
              <w:rPr>
                <w:sz w:val="16"/>
              </w:rPr>
              <w:t>All branch effects belong to one local user.</w:t>
            </w:r>
          </w:p>
        </w:tc>
      </w:tr>
      <w:tr>
        <w:tc>
          <w:tcPr>
            <w:tcW w:type="dxa" w:w="2736"/>
            <w:tcMar>
              <w:top w:w="80" w:type="dxa"/>
              <w:start w:w="80" w:type="dxa"/>
              <w:bottom w:w="80" w:type="dxa"/>
              <w:end w:w="80" w:type="dxa"/>
            </w:tcMar>
            <w:vAlign w:val="top"/>
          </w:tcPr>
          <w:p>
            <w:pPr>
              <w:spacing w:after="0"/>
            </w:pPr>
            <w:r>
              <w:rPr>
                <w:sz w:val="16"/>
              </w:rPr>
              <w:t>Multi-principal embodiment</w:t>
            </w:r>
          </w:p>
        </w:tc>
        <w:tc>
          <w:tcPr>
            <w:tcW w:type="dxa" w:w="7056"/>
            <w:tcMar>
              <w:top w:w="80" w:type="dxa"/>
              <w:start w:w="80" w:type="dxa"/>
              <w:bottom w:w="80" w:type="dxa"/>
              <w:end w:w="80" w:type="dxa"/>
            </w:tcMar>
            <w:vAlign w:val="top"/>
          </w:tcPr>
          <w:p>
            <w:pPr>
              <w:spacing w:after="0"/>
            </w:pPr>
            <w:r>
              <w:rPr>
                <w:sz w:val="16"/>
              </w:rPr>
              <w:t>Branch promotion partitions child effects by independently authenticated owners.</w:t>
            </w:r>
          </w:p>
        </w:tc>
      </w:tr>
      <w:tr>
        <w:tc>
          <w:tcPr>
            <w:tcW w:type="dxa" w:w="2736"/>
            <w:tcMar>
              <w:top w:w="80" w:type="dxa"/>
              <w:start w:w="80" w:type="dxa"/>
              <w:bottom w:w="80" w:type="dxa"/>
              <w:end w:w="80" w:type="dxa"/>
            </w:tcMar>
            <w:vAlign w:val="top"/>
          </w:tcPr>
          <w:p>
            <w:pPr>
              <w:spacing w:after="0"/>
            </w:pPr>
            <w:r>
              <w:rPr>
                <w:sz w:val="16"/>
              </w:rPr>
              <w:t>Short-horizon branch</w:t>
            </w:r>
          </w:p>
        </w:tc>
        <w:tc>
          <w:tcPr>
            <w:tcW w:type="dxa" w:w="7056"/>
            <w:tcMar>
              <w:top w:w="80" w:type="dxa"/>
              <w:start w:w="80" w:type="dxa"/>
              <w:bottom w:w="80" w:type="dxa"/>
              <w:end w:w="80" w:type="dxa"/>
            </w:tcMar>
            <w:vAlign w:val="top"/>
          </w:tcPr>
          <w:p>
            <w:pPr>
              <w:spacing w:after="0"/>
            </w:pPr>
            <w:r>
              <w:rPr>
                <w:sz w:val="16"/>
              </w:rPr>
              <w:t>Four-to-eight-week life arrangement.</w:t>
            </w:r>
          </w:p>
        </w:tc>
      </w:tr>
      <w:tr>
        <w:tc>
          <w:tcPr>
            <w:tcW w:type="dxa" w:w="2736"/>
            <w:tcMar>
              <w:top w:w="80" w:type="dxa"/>
              <w:start w:w="80" w:type="dxa"/>
              <w:bottom w:w="80" w:type="dxa"/>
              <w:end w:w="80" w:type="dxa"/>
            </w:tcMar>
            <w:vAlign w:val="top"/>
          </w:tcPr>
          <w:p>
            <w:pPr>
              <w:spacing w:after="0"/>
            </w:pPr>
            <w:r>
              <w:rPr>
                <w:sz w:val="16"/>
              </w:rPr>
              <w:t>Hierarchical horizon</w:t>
            </w:r>
          </w:p>
        </w:tc>
        <w:tc>
          <w:tcPr>
            <w:tcW w:type="dxa" w:w="7056"/>
            <w:tcMar>
              <w:top w:w="80" w:type="dxa"/>
              <w:start w:w="80" w:type="dxa"/>
              <w:bottom w:w="80" w:type="dxa"/>
              <w:end w:w="80" w:type="dxa"/>
            </w:tcMar>
            <w:vAlign w:val="top"/>
          </w:tcPr>
          <w:p>
            <w:pPr>
              <w:spacing w:after="0"/>
            </w:pPr>
            <w:r>
              <w:rPr>
                <w:sz w:val="16"/>
              </w:rPr>
              <w:t>Near-term executable delta plus longer-term policy and review conditions.</w:t>
            </w:r>
          </w:p>
        </w:tc>
      </w:tr>
      <w:tr>
        <w:tc>
          <w:tcPr>
            <w:tcW w:type="dxa" w:w="2736"/>
            <w:tcMar>
              <w:top w:w="80" w:type="dxa"/>
              <w:start w:w="80" w:type="dxa"/>
              <w:bottom w:w="80" w:type="dxa"/>
              <w:end w:w="80" w:type="dxa"/>
            </w:tcMar>
            <w:vAlign w:val="top"/>
          </w:tcPr>
          <w:p>
            <w:pPr>
              <w:spacing w:after="0"/>
            </w:pPr>
            <w:r>
              <w:rPr>
                <w:sz w:val="16"/>
              </w:rPr>
              <w:t>Sufficient conflict core</w:t>
            </w:r>
          </w:p>
        </w:tc>
        <w:tc>
          <w:tcPr>
            <w:tcW w:type="dxa" w:w="7056"/>
            <w:tcMar>
              <w:top w:w="80" w:type="dxa"/>
              <w:start w:w="80" w:type="dxa"/>
              <w:bottom w:w="80" w:type="dxa"/>
              <w:end w:w="80" w:type="dxa"/>
            </w:tcMar>
            <w:vAlign w:val="top"/>
          </w:tcPr>
          <w:p>
            <w:pPr>
              <w:spacing w:after="0"/>
            </w:pPr>
            <w:r>
              <w:rPr>
                <w:sz w:val="16"/>
              </w:rPr>
              <w:t>Truthful bounded set without mathematical minimality claim.</w:t>
            </w:r>
          </w:p>
        </w:tc>
      </w:tr>
      <w:tr>
        <w:tc>
          <w:tcPr>
            <w:tcW w:type="dxa" w:w="2736"/>
            <w:tcMar>
              <w:top w:w="80" w:type="dxa"/>
              <w:start w:w="80" w:type="dxa"/>
              <w:bottom w:w="80" w:type="dxa"/>
              <w:end w:w="80" w:type="dxa"/>
            </w:tcMar>
            <w:vAlign w:val="top"/>
          </w:tcPr>
          <w:p>
            <w:pPr>
              <w:spacing w:after="0"/>
            </w:pPr>
            <w:r>
              <w:rPr>
                <w:sz w:val="16"/>
              </w:rPr>
              <w:t>Proven-minimal core</w:t>
            </w:r>
          </w:p>
        </w:tc>
        <w:tc>
          <w:tcPr>
            <w:tcW w:type="dxa" w:w="7056"/>
            <w:tcMar>
              <w:top w:w="80" w:type="dxa"/>
              <w:start w:w="80" w:type="dxa"/>
              <w:bottom w:w="80" w:type="dxa"/>
              <w:end w:w="80" w:type="dxa"/>
            </w:tcMar>
            <w:vAlign w:val="top"/>
          </w:tcPr>
          <w:p>
            <w:pPr>
              <w:spacing w:after="0"/>
            </w:pPr>
            <w:r>
              <w:rPr>
                <w:sz w:val="16"/>
              </w:rPr>
              <w:t>Solver-backed irreducible or minimum correction explanation.</w:t>
            </w:r>
          </w:p>
        </w:tc>
      </w:tr>
    </w:tbl>
    <w:p>
      <w:pPr>
        <w:spacing w:after="0"/>
      </w:pPr>
    </w:p>
    <w:p>
      <w:pPr>
        <w:pStyle w:val="Heading1"/>
        <w:keepNext/>
      </w:pPr>
      <w:r>
        <w:t>14. Claim architecture</w:t>
      </w:r>
    </w:p>
    <w:p>
      <w:pPr>
        <w:pStyle w:val="Heading2"/>
        <w:keepNext/>
      </w:pPr>
      <w:r>
        <w:t>14.1 Independent-claim nucleus</w:t>
      </w:r>
    </w:p>
    <w:p>
      <w:pPr>
        <w:pStyle w:val="ListNumber"/>
      </w:pPr>
      <w:r>
        <w:t>Maintain revisioned canonical personal state.</w:t>
      </w:r>
    </w:p>
    <w:p>
      <w:pPr>
        <w:pStyle w:val="ListNumber"/>
      </w:pPr>
      <w:r>
        <w:t>Maintain exactly one active branch as a semantic delta against a specified canonical revision.</w:t>
      </w:r>
    </w:p>
    <w:p>
      <w:pPr>
        <w:pStyle w:val="ListNumber"/>
      </w:pPr>
      <w:r>
        <w:t>Maintain a machine-evaluable certificate containing revisioned conditions and gating branch status.</w:t>
      </w:r>
    </w:p>
    <w:p>
      <w:pPr>
        <w:pStyle w:val="ListNumber"/>
      </w:pPr>
      <w:r>
        <w:t>Receive a revision event and traverse declared dependencies to invalidate only affected certificate components and branch operations.</w:t>
      </w:r>
    </w:p>
    <w:p>
      <w:pPr>
        <w:pStyle w:val="ListNumber"/>
      </w:pPr>
      <w:r>
        <w:t>Incrementally recertify the active branch and determine valid, fragile, blocked, or invalid status.</w:t>
      </w:r>
    </w:p>
    <w:p>
      <w:pPr>
        <w:pStyle w:val="ListNumber"/>
      </w:pPr>
      <w:r>
        <w:t>On certificate failure, activate latent contingency policies and generate materially distinct correction sets.</w:t>
      </w:r>
    </w:p>
    <w:p>
      <w:pPr>
        <w:pStyle w:val="ListNumber"/>
      </w:pPr>
      <w:r>
        <w:t>Materialize candidate branch deltas and candidate-specific certificates.</w:t>
      </w:r>
    </w:p>
    <w:p>
      <w:pPr>
        <w:pStyle w:val="ListNumber"/>
      </w:pPr>
      <w:r>
        <w:t>Receive user selection and revalidate against current revisions.</w:t>
      </w:r>
    </w:p>
    <w:p>
      <w:pPr>
        <w:pStyle w:val="ListNumber"/>
      </w:pPr>
      <w:r>
        <w:t>Promote the selected branch through one parent transaction while preserving prior branch and certificate lineage.</w:t>
      </w:r>
    </w:p>
    <w:p>
      <w:pPr>
        <w:pStyle w:val="Heading2"/>
        <w:keepNext/>
      </w:pPr>
      <w:r>
        <w:t>14.2 Dependent claim families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24D"/>
            <w:tcMar>
              <w:top w:w="80" w:type="dxa"/>
              <w:start w:w="80" w:type="dxa"/>
              <w:bottom w:w="80" w:type="dxa"/>
              <w:end w:w="80" w:type="dxa"/>
            </w:tcMar>
            <w:vAlign w:val="center"/>
          </w:tcPr>
          <w:p>
            <w:pPr>
              <w:jc w:val="center"/>
            </w:pPr>
            <w:r>
              <w:rPr>
                <w:b/>
                <w:color w:val="FFFFFF"/>
                <w:sz w:val="16"/>
              </w:rPr>
              <w:t>Family</w:t>
            </w:r>
          </w:p>
        </w:tc>
        <w:tc>
          <w:tcPr>
            <w:tcW w:type="dxa" w:w="7344"/>
            <w:shd w:fill="17324D"/>
            <w:tcMar>
              <w:top w:w="80" w:type="dxa"/>
              <w:start w:w="80" w:type="dxa"/>
              <w:bottom w:w="80" w:type="dxa"/>
              <w:end w:w="80" w:type="dxa"/>
            </w:tcMar>
            <w:vAlign w:val="center"/>
          </w:tcPr>
          <w:p>
            <w:pPr>
              <w:jc w:val="center"/>
            </w:pPr>
            <w:r>
              <w:rPr>
                <w:b/>
                <w:color w:val="FFFFFF"/>
                <w:sz w:val="16"/>
              </w:rPr>
              <w:t>Potential limitation</w:t>
            </w:r>
          </w:p>
        </w:tc>
      </w:tr>
      <w:tr>
        <w:tc>
          <w:tcPr>
            <w:tcW w:type="dxa" w:w="2448"/>
            <w:tcMar>
              <w:top w:w="80" w:type="dxa"/>
              <w:start w:w="80" w:type="dxa"/>
              <w:bottom w:w="80" w:type="dxa"/>
              <w:end w:w="80" w:type="dxa"/>
            </w:tcMar>
            <w:vAlign w:val="top"/>
          </w:tcPr>
          <w:p>
            <w:pPr>
              <w:spacing w:after="0"/>
            </w:pPr>
            <w:r>
              <w:rPr>
                <w:sz w:val="16"/>
              </w:rPr>
              <w:t>A. Defeasible policy</w:t>
            </w:r>
          </w:p>
        </w:tc>
        <w:tc>
          <w:tcPr>
            <w:tcW w:type="dxa" w:w="7344"/>
            <w:tcMar>
              <w:top w:w="80" w:type="dxa"/>
              <w:start w:w="80" w:type="dxa"/>
              <w:bottom w:w="80" w:type="dxa"/>
              <w:end w:w="80" w:type="dxa"/>
            </w:tcMar>
            <w:vAlign w:val="top"/>
          </w:tcPr>
          <w:p>
            <w:pPr>
              <w:spacing w:after="0"/>
            </w:pPr>
            <w:r>
              <w:rPr>
                <w:sz w:val="16"/>
              </w:rPr>
              <w:t>Obligation, prohibition, preference, permission, review requirement, exception, waiver, precedence, and owner.</w:t>
            </w:r>
          </w:p>
        </w:tc>
      </w:tr>
      <w:tr>
        <w:tc>
          <w:tcPr>
            <w:tcW w:type="dxa" w:w="2448"/>
            <w:tcMar>
              <w:top w:w="80" w:type="dxa"/>
              <w:start w:w="80" w:type="dxa"/>
              <w:bottom w:w="80" w:type="dxa"/>
              <w:end w:w="80" w:type="dxa"/>
            </w:tcMar>
            <w:vAlign w:val="top"/>
          </w:tcPr>
          <w:p>
            <w:pPr>
              <w:spacing w:after="0"/>
            </w:pPr>
            <w:r>
              <w:rPr>
                <w:sz w:val="16"/>
              </w:rPr>
              <w:t>B. Conflict-core diversity</w:t>
            </w:r>
          </w:p>
        </w:tc>
        <w:tc>
          <w:tcPr>
            <w:tcW w:type="dxa" w:w="7344"/>
            <w:tcMar>
              <w:top w:w="80" w:type="dxa"/>
              <w:start w:w="80" w:type="dxa"/>
              <w:bottom w:w="80" w:type="dxa"/>
              <w:end w:w="80" w:type="dxa"/>
            </w:tcMar>
            <w:vAlign w:val="top"/>
          </w:tcPr>
          <w:p>
            <w:pPr>
              <w:spacing w:after="0"/>
            </w:pPr>
            <w:r>
              <w:rPr>
                <w:sz w:val="16"/>
              </w:rPr>
              <w:t>Branches generated from distinct correction sets for one conflict core.</w:t>
            </w:r>
          </w:p>
        </w:tc>
      </w:tr>
      <w:tr>
        <w:tc>
          <w:tcPr>
            <w:tcW w:type="dxa" w:w="2448"/>
            <w:tcMar>
              <w:top w:w="80" w:type="dxa"/>
              <w:start w:w="80" w:type="dxa"/>
              <w:bottom w:w="80" w:type="dxa"/>
              <w:end w:w="80" w:type="dxa"/>
            </w:tcMar>
            <w:vAlign w:val="top"/>
          </w:tcPr>
          <w:p>
            <w:pPr>
              <w:spacing w:after="0"/>
            </w:pPr>
            <w:r>
              <w:rPr>
                <w:sz w:val="16"/>
              </w:rPr>
              <w:t>C. Hybrid materialization</w:t>
            </w:r>
          </w:p>
        </w:tc>
        <w:tc>
          <w:tcPr>
            <w:tcW w:type="dxa" w:w="7344"/>
            <w:tcMar>
              <w:top w:w="80" w:type="dxa"/>
              <w:start w:w="80" w:type="dxa"/>
              <w:bottom w:w="80" w:type="dxa"/>
              <w:end w:w="80" w:type="dxa"/>
            </w:tcMar>
            <w:vAlign w:val="top"/>
          </w:tcPr>
          <w:p>
            <w:pPr>
              <w:spacing w:after="0"/>
            </w:pPr>
            <w:r>
              <w:rPr>
                <w:sz w:val="16"/>
              </w:rPr>
              <w:t>One active full branch plus bounded latent contingencies.</w:t>
            </w:r>
          </w:p>
        </w:tc>
      </w:tr>
      <w:tr>
        <w:tc>
          <w:tcPr>
            <w:tcW w:type="dxa" w:w="2448"/>
            <w:tcMar>
              <w:top w:w="80" w:type="dxa"/>
              <w:start w:w="80" w:type="dxa"/>
              <w:bottom w:w="80" w:type="dxa"/>
              <w:end w:w="80" w:type="dxa"/>
            </w:tcMar>
            <w:vAlign w:val="top"/>
          </w:tcPr>
          <w:p>
            <w:pPr>
              <w:spacing w:after="0"/>
            </w:pPr>
            <w:r>
              <w:rPr>
                <w:sz w:val="16"/>
              </w:rPr>
              <w:t>D. Authority partition</w:t>
            </w:r>
          </w:p>
        </w:tc>
        <w:tc>
          <w:tcPr>
            <w:tcW w:type="dxa" w:w="7344"/>
            <w:tcMar>
              <w:top w:w="80" w:type="dxa"/>
              <w:start w:w="80" w:type="dxa"/>
              <w:bottom w:w="80" w:type="dxa"/>
              <w:end w:w="80" w:type="dxa"/>
            </w:tcMar>
            <w:vAlign w:val="top"/>
          </w:tcPr>
          <w:p>
            <w:pPr>
              <w:spacing w:after="0"/>
            </w:pPr>
            <w:r>
              <w:rPr>
                <w:sz w:val="16"/>
              </w:rPr>
              <w:t>User-owned commit, recipient proposal, joint pending, external outbox.</w:t>
            </w:r>
          </w:p>
        </w:tc>
      </w:tr>
      <w:tr>
        <w:tc>
          <w:tcPr>
            <w:tcW w:type="dxa" w:w="2448"/>
            <w:tcMar>
              <w:top w:w="80" w:type="dxa"/>
              <w:start w:w="80" w:type="dxa"/>
              <w:bottom w:w="80" w:type="dxa"/>
              <w:end w:w="80" w:type="dxa"/>
            </w:tcMar>
            <w:vAlign w:val="top"/>
          </w:tcPr>
          <w:p>
            <w:pPr>
              <w:spacing w:after="0"/>
            </w:pPr>
            <w:r>
              <w:rPr>
                <w:sz w:val="16"/>
              </w:rPr>
              <w:t>E. Historical certificate lineage</w:t>
            </w:r>
          </w:p>
        </w:tc>
        <w:tc>
          <w:tcPr>
            <w:tcW w:type="dxa" w:w="7344"/>
            <w:tcMar>
              <w:top w:w="80" w:type="dxa"/>
              <w:start w:w="80" w:type="dxa"/>
              <w:bottom w:w="80" w:type="dxa"/>
              <w:end w:w="80" w:type="dxa"/>
            </w:tcMar>
            <w:vAlign w:val="top"/>
          </w:tcPr>
          <w:p>
            <w:pPr>
              <w:spacing w:after="0"/>
            </w:pPr>
            <w:r>
              <w:rPr>
                <w:sz w:val="16"/>
              </w:rPr>
              <w:t>Prior fact revisions, policy revision, decision basis, Receipt, and supersession.</w:t>
            </w:r>
          </w:p>
        </w:tc>
      </w:tr>
      <w:tr>
        <w:tc>
          <w:tcPr>
            <w:tcW w:type="dxa" w:w="2448"/>
            <w:tcMar>
              <w:top w:w="80" w:type="dxa"/>
              <w:start w:w="80" w:type="dxa"/>
              <w:bottom w:w="80" w:type="dxa"/>
              <w:end w:w="80" w:type="dxa"/>
            </w:tcMar>
            <w:vAlign w:val="top"/>
          </w:tcPr>
          <w:p>
            <w:pPr>
              <w:spacing w:after="0"/>
            </w:pPr>
            <w:r>
              <w:rPr>
                <w:sz w:val="16"/>
              </w:rPr>
              <w:t>F. Model proposal boundary</w:t>
            </w:r>
          </w:p>
        </w:tc>
        <w:tc>
          <w:tcPr>
            <w:tcW w:type="dxa" w:w="7344"/>
            <w:tcMar>
              <w:top w:w="80" w:type="dxa"/>
              <w:start w:w="80" w:type="dxa"/>
              <w:bottom w:w="80" w:type="dxa"/>
              <w:end w:w="80" w:type="dxa"/>
            </w:tcMar>
            <w:vAlign w:val="top"/>
          </w:tcPr>
          <w:p>
            <w:pPr>
              <w:spacing w:after="0"/>
            </w:pPr>
            <w:r>
              <w:rPr>
                <w:sz w:val="16"/>
              </w:rPr>
              <w:t>Model proposes structure; deterministic code certifies and commits.</w:t>
            </w:r>
          </w:p>
        </w:tc>
      </w:tr>
      <w:tr>
        <w:tc>
          <w:tcPr>
            <w:tcW w:type="dxa" w:w="2448"/>
            <w:tcMar>
              <w:top w:w="80" w:type="dxa"/>
              <w:start w:w="80" w:type="dxa"/>
              <w:bottom w:w="80" w:type="dxa"/>
              <w:end w:w="80" w:type="dxa"/>
            </w:tcMar>
            <w:vAlign w:val="top"/>
          </w:tcPr>
          <w:p>
            <w:pPr>
              <w:spacing w:after="0"/>
            </w:pPr>
            <w:r>
              <w:rPr>
                <w:sz w:val="16"/>
              </w:rPr>
              <w:t>G. Operating envelopes</w:t>
            </w:r>
          </w:p>
        </w:tc>
        <w:tc>
          <w:tcPr>
            <w:tcW w:type="dxa" w:w="7344"/>
            <w:tcMar>
              <w:top w:w="80" w:type="dxa"/>
              <w:start w:w="80" w:type="dxa"/>
              <w:bottom w:w="80" w:type="dxa"/>
              <w:end w:w="80" w:type="dxa"/>
            </w:tcMar>
            <w:vAlign w:val="top"/>
          </w:tcPr>
          <w:p>
            <w:pPr>
              <w:spacing w:after="0"/>
            </w:pPr>
            <w:r>
              <w:rPr>
                <w:sz w:val="16"/>
              </w:rPr>
              <w:t>User-approved conditions with hysteresis and breach triggers.</w:t>
            </w:r>
          </w:p>
        </w:tc>
      </w:tr>
      <w:tr>
        <w:tc>
          <w:tcPr>
            <w:tcW w:type="dxa" w:w="2448"/>
            <w:tcMar>
              <w:top w:w="80" w:type="dxa"/>
              <w:start w:w="80" w:type="dxa"/>
              <w:bottom w:w="80" w:type="dxa"/>
              <w:end w:w="80" w:type="dxa"/>
            </w:tcMar>
            <w:vAlign w:val="top"/>
          </w:tcPr>
          <w:p>
            <w:pPr>
              <w:spacing w:after="0"/>
            </w:pPr>
            <w:r>
              <w:rPr>
                <w:sz w:val="16"/>
              </w:rPr>
              <w:t>H. Rollback and compensation</w:t>
            </w:r>
          </w:p>
        </w:tc>
        <w:tc>
          <w:tcPr>
            <w:tcW w:type="dxa" w:w="7344"/>
            <w:tcMar>
              <w:top w:w="80" w:type="dxa"/>
              <w:start w:w="80" w:type="dxa"/>
              <w:bottom w:w="80" w:type="dxa"/>
              <w:end w:w="80" w:type="dxa"/>
            </w:tcMar>
            <w:vAlign w:val="top"/>
          </w:tcPr>
          <w:p>
            <w:pPr>
              <w:spacing w:after="0"/>
            </w:pPr>
            <w:r>
              <w:rPr>
                <w:sz w:val="16"/>
              </w:rPr>
              <w:t>Literal reversal before horizon; semantic compensation afterward.</w:t>
            </w:r>
          </w:p>
        </w:tc>
      </w:tr>
    </w:tbl>
    <w:p>
      <w:pPr>
        <w:spacing w:after="0"/>
      </w:pPr>
    </w:p>
    <w:p>
      <w:pPr>
        <w:pStyle w:val="Heading2"/>
        <w:keepNext/>
      </w:pPr>
      <w:r>
        <w:t>14.3 Claim language to avoid</w:t>
      </w:r>
    </w:p>
    <w:p>
      <w:pPr>
        <w:pStyle w:val="ListBullet"/>
      </w:pPr>
      <w:r>
        <w:t>AI life planner, alternative lives, digital twin, life balance, homeostasis, personal constitution, intelligent calendar, future-self simulation, autonomous executive assistant.</w:t>
      </w:r>
    </w:p>
    <w:p>
      <w:pPr>
        <w:pStyle w:val="ListBullet"/>
      </w:pPr>
      <w:r>
        <w:t>Pure statements of desired human outcome without concrete branch, certificate, dependency, correction, and promotion data structures.</w:t>
      </w:r>
    </w:p>
    <w:p>
      <w:pPr>
        <w:pStyle w:val="ListBullet"/>
      </w:pPr>
      <w:r>
        <w:t>Claims relying only on “local” or “on-device” processing as novelty.</w:t>
      </w:r>
    </w:p>
    <w:p>
      <w:pPr>
        <w:pStyle w:val="ListBullet"/>
      </w:pPr>
      <w:r>
        <w:t>Claims that merely organize human activity on a generic computer without a concrete runtime improvement. [R4]</w:t>
      </w:r>
    </w:p>
    <w:p>
      <w:pPr>
        <w:pStyle w:val="Heading1"/>
        <w:keepNext/>
      </w:pPr>
      <w:r>
        <w:t>15. Prior-art threat matrix</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304"/>
            <w:shd w:fill="17324D"/>
            <w:tcMar>
              <w:top w:w="80" w:type="dxa"/>
              <w:start w:w="80" w:type="dxa"/>
              <w:bottom w:w="80" w:type="dxa"/>
              <w:end w:w="80" w:type="dxa"/>
            </w:tcMar>
            <w:vAlign w:val="center"/>
          </w:tcPr>
          <w:p>
            <w:pPr>
              <w:jc w:val="center"/>
            </w:pPr>
            <w:r>
              <w:rPr>
                <w:b/>
                <w:color w:val="FFFFFF"/>
                <w:sz w:val="15"/>
              </w:rPr>
              <w:t>Reference</w:t>
            </w:r>
          </w:p>
        </w:tc>
        <w:tc>
          <w:tcPr>
            <w:tcW w:type="dxa" w:w="4320"/>
            <w:shd w:fill="17324D"/>
            <w:tcMar>
              <w:top w:w="80" w:type="dxa"/>
              <w:start w:w="80" w:type="dxa"/>
              <w:bottom w:w="80" w:type="dxa"/>
              <w:end w:w="80" w:type="dxa"/>
            </w:tcMar>
            <w:vAlign w:val="center"/>
          </w:tcPr>
          <w:p>
            <w:pPr>
              <w:jc w:val="center"/>
            </w:pPr>
            <w:r>
              <w:rPr>
                <w:b/>
                <w:color w:val="FFFFFF"/>
                <w:sz w:val="15"/>
              </w:rPr>
              <w:t>Relevant disclosure</w:t>
            </w:r>
          </w:p>
        </w:tc>
        <w:tc>
          <w:tcPr>
            <w:tcW w:type="dxa" w:w="3456"/>
            <w:shd w:fill="17324D"/>
            <w:tcMar>
              <w:top w:w="80" w:type="dxa"/>
              <w:start w:w="80" w:type="dxa"/>
              <w:bottom w:w="80" w:type="dxa"/>
              <w:end w:w="80" w:type="dxa"/>
            </w:tcMar>
            <w:vAlign w:val="center"/>
          </w:tcPr>
          <w:p>
            <w:pPr>
              <w:jc w:val="center"/>
            </w:pPr>
            <w:r>
              <w:rPr>
                <w:b/>
                <w:color w:val="FFFFFF"/>
                <w:sz w:val="15"/>
              </w:rPr>
              <w:t>Threat</w:t>
            </w:r>
          </w:p>
        </w:tc>
      </w:tr>
      <w:tr>
        <w:tc>
          <w:tcPr>
            <w:tcW w:type="dxa" w:w="2304"/>
            <w:tcMar>
              <w:top w:w="80" w:type="dxa"/>
              <w:start w:w="80" w:type="dxa"/>
              <w:bottom w:w="80" w:type="dxa"/>
              <w:end w:w="80" w:type="dxa"/>
            </w:tcMar>
            <w:vAlign w:val="top"/>
          </w:tcPr>
          <w:p>
            <w:pPr>
              <w:spacing w:after="0"/>
            </w:pPr>
            <w:r>
              <w:rPr>
                <w:sz w:val="15"/>
              </w:rPr>
              <w:t>US 12,175,536 family [R6]</w:t>
            </w:r>
          </w:p>
        </w:tc>
        <w:tc>
          <w:tcPr>
            <w:tcW w:type="dxa" w:w="4320"/>
            <w:tcMar>
              <w:top w:w="80" w:type="dxa"/>
              <w:start w:w="80" w:type="dxa"/>
              <w:bottom w:w="80" w:type="dxa"/>
              <w:end w:w="80" w:type="dxa"/>
            </w:tcMar>
            <w:vAlign w:val="top"/>
          </w:tcPr>
          <w:p>
            <w:pPr>
              <w:spacing w:after="0"/>
            </w:pPr>
            <w:r>
              <w:rPr>
                <w:sz w:val="15"/>
              </w:rPr>
              <w:t>Comprehensive life script from aggregated user data, objectives, constraints, weighted importance, and execution.</w:t>
            </w:r>
          </w:p>
        </w:tc>
        <w:tc>
          <w:tcPr>
            <w:tcW w:type="dxa" w:w="3456"/>
            <w:tcMar>
              <w:top w:w="80" w:type="dxa"/>
              <w:start w:w="80" w:type="dxa"/>
              <w:bottom w:w="80" w:type="dxa"/>
              <w:end w:w="80" w:type="dxa"/>
            </w:tcMar>
            <w:vAlign w:val="top"/>
          </w:tcPr>
          <w:p>
            <w:pPr>
              <w:spacing w:after="0"/>
            </w:pPr>
            <w:r>
              <w:rPr>
                <w:sz w:val="15"/>
              </w:rPr>
              <w:t>Kills broad whole-life planning and objective-balancing claims.</w:t>
            </w:r>
          </w:p>
        </w:tc>
      </w:tr>
      <w:tr>
        <w:tc>
          <w:tcPr>
            <w:tcW w:type="dxa" w:w="2304"/>
            <w:tcMar>
              <w:top w:w="80" w:type="dxa"/>
              <w:start w:w="80" w:type="dxa"/>
              <w:bottom w:w="80" w:type="dxa"/>
              <w:end w:w="80" w:type="dxa"/>
            </w:tcMar>
            <w:vAlign w:val="top"/>
          </w:tcPr>
          <w:p>
            <w:pPr>
              <w:spacing w:after="0"/>
            </w:pPr>
            <w:r>
              <w:rPr>
                <w:sz w:val="15"/>
              </w:rPr>
              <w:t>US 2016/0321935 [R7]</w:t>
            </w:r>
          </w:p>
        </w:tc>
        <w:tc>
          <w:tcPr>
            <w:tcW w:type="dxa" w:w="4320"/>
            <w:tcMar>
              <w:top w:w="80" w:type="dxa"/>
              <w:start w:w="80" w:type="dxa"/>
              <w:bottom w:w="80" w:type="dxa"/>
              <w:end w:w="80" w:type="dxa"/>
            </w:tcMar>
            <w:vAlign w:val="top"/>
          </w:tcPr>
          <w:p>
            <w:pPr>
              <w:spacing w:after="0"/>
            </w:pPr>
            <w:r>
              <w:rPr>
                <w:sz w:val="15"/>
              </w:rPr>
              <w:t>Persistent/dormant goals, life-event triggers, priorities, goal thresholds, relationship and health maintenance.</w:t>
            </w:r>
          </w:p>
        </w:tc>
        <w:tc>
          <w:tcPr>
            <w:tcW w:type="dxa" w:w="3456"/>
            <w:tcMar>
              <w:top w:w="80" w:type="dxa"/>
              <w:start w:w="80" w:type="dxa"/>
              <w:bottom w:w="80" w:type="dxa"/>
              <w:end w:w="80" w:type="dxa"/>
            </w:tcMar>
            <w:vAlign w:val="top"/>
          </w:tcPr>
          <w:p>
            <w:pPr>
              <w:spacing w:after="0"/>
            </w:pPr>
            <w:r>
              <w:rPr>
                <w:sz w:val="15"/>
              </w:rPr>
              <w:t>Kills dormant-goal, life-event, and minimum-priority concepts.</w:t>
            </w:r>
          </w:p>
        </w:tc>
      </w:tr>
      <w:tr>
        <w:tc>
          <w:tcPr>
            <w:tcW w:type="dxa" w:w="2304"/>
            <w:tcMar>
              <w:top w:w="80" w:type="dxa"/>
              <w:start w:w="80" w:type="dxa"/>
              <w:bottom w:w="80" w:type="dxa"/>
              <w:end w:w="80" w:type="dxa"/>
            </w:tcMar>
            <w:vAlign w:val="top"/>
          </w:tcPr>
          <w:p>
            <w:pPr>
              <w:spacing w:after="0"/>
            </w:pPr>
            <w:r>
              <w:rPr>
                <w:sz w:val="15"/>
              </w:rPr>
              <w:t>US 7,967,731 [R8]</w:t>
            </w:r>
          </w:p>
        </w:tc>
        <w:tc>
          <w:tcPr>
            <w:tcW w:type="dxa" w:w="4320"/>
            <w:tcMar>
              <w:top w:w="80" w:type="dxa"/>
              <w:start w:w="80" w:type="dxa"/>
              <w:bottom w:w="80" w:type="dxa"/>
              <w:end w:w="80" w:type="dxa"/>
            </w:tcMar>
            <w:vAlign w:val="top"/>
          </w:tcPr>
          <w:p>
            <w:pPr>
              <w:spacing w:after="0"/>
            </w:pPr>
            <w:r>
              <w:rPr>
                <w:sz w:val="15"/>
              </w:rPr>
              <w:t>Continuous analytics, predicted future state, trigger rules, personalized interventions, outcome learning.</w:t>
            </w:r>
          </w:p>
        </w:tc>
        <w:tc>
          <w:tcPr>
            <w:tcW w:type="dxa" w:w="3456"/>
            <w:tcMar>
              <w:top w:w="80" w:type="dxa"/>
              <w:start w:w="80" w:type="dxa"/>
              <w:bottom w:w="80" w:type="dxa"/>
              <w:end w:w="80" w:type="dxa"/>
            </w:tcMar>
            <w:vAlign w:val="top"/>
          </w:tcPr>
          <w:p>
            <w:pPr>
              <w:spacing w:after="0"/>
            </w:pPr>
            <w:r>
              <w:rPr>
                <w:sz w:val="15"/>
              </w:rPr>
              <w:t>Pressures homeostatic monitoring and proactive intervention.</w:t>
            </w:r>
          </w:p>
        </w:tc>
      </w:tr>
      <w:tr>
        <w:tc>
          <w:tcPr>
            <w:tcW w:type="dxa" w:w="2304"/>
            <w:tcMar>
              <w:top w:w="80" w:type="dxa"/>
              <w:start w:w="80" w:type="dxa"/>
              <w:bottom w:w="80" w:type="dxa"/>
              <w:end w:w="80" w:type="dxa"/>
            </w:tcMar>
            <w:vAlign w:val="top"/>
          </w:tcPr>
          <w:p>
            <w:pPr>
              <w:spacing w:after="0"/>
            </w:pPr>
            <w:r>
              <w:rPr>
                <w:sz w:val="15"/>
              </w:rPr>
              <w:t>US 11,276,041 / 2017/0154315 [R9]</w:t>
            </w:r>
          </w:p>
        </w:tc>
        <w:tc>
          <w:tcPr>
            <w:tcW w:type="dxa" w:w="4320"/>
            <w:tcMar>
              <w:top w:w="80" w:type="dxa"/>
              <w:start w:w="80" w:type="dxa"/>
              <w:bottom w:w="80" w:type="dxa"/>
              <w:end w:w="80" w:type="dxa"/>
            </w:tcMar>
            <w:vAlign w:val="top"/>
          </w:tcPr>
          <w:p>
            <w:pPr>
              <w:spacing w:after="0"/>
            </w:pPr>
            <w:r>
              <w:rPr>
                <w:sz w:val="15"/>
              </w:rPr>
              <w:t>Potential calendars, revision by clarifying information, pruning, selection, and promotion.</w:t>
            </w:r>
          </w:p>
        </w:tc>
        <w:tc>
          <w:tcPr>
            <w:tcW w:type="dxa" w:w="3456"/>
            <w:tcMar>
              <w:top w:w="80" w:type="dxa"/>
              <w:start w:w="80" w:type="dxa"/>
              <w:bottom w:w="80" w:type="dxa"/>
              <w:end w:w="80" w:type="dxa"/>
            </w:tcMar>
            <w:vAlign w:val="top"/>
          </w:tcPr>
          <w:p>
            <w:pPr>
              <w:spacing w:after="0"/>
            </w:pPr>
            <w:r>
              <w:rPr>
                <w:sz w:val="15"/>
              </w:rPr>
              <w:t>Pressures latent alternatives and promotion.</w:t>
            </w:r>
          </w:p>
        </w:tc>
      </w:tr>
      <w:tr>
        <w:tc>
          <w:tcPr>
            <w:tcW w:type="dxa" w:w="2304"/>
            <w:tcMar>
              <w:top w:w="80" w:type="dxa"/>
              <w:start w:w="80" w:type="dxa"/>
              <w:bottom w:w="80" w:type="dxa"/>
              <w:end w:w="80" w:type="dxa"/>
            </w:tcMar>
            <w:vAlign w:val="top"/>
          </w:tcPr>
          <w:p>
            <w:pPr>
              <w:spacing w:after="0"/>
            </w:pPr>
            <w:r>
              <w:rPr>
                <w:sz w:val="15"/>
              </w:rPr>
              <w:t>US 8,346,590 / 2011/0184772 [R10]</w:t>
            </w:r>
          </w:p>
        </w:tc>
        <w:tc>
          <w:tcPr>
            <w:tcW w:type="dxa" w:w="4320"/>
            <w:tcMar>
              <w:top w:w="80" w:type="dxa"/>
              <w:start w:w="80" w:type="dxa"/>
              <w:bottom w:w="80" w:type="dxa"/>
              <w:end w:w="80" w:type="dxa"/>
            </w:tcMar>
            <w:vAlign w:val="top"/>
          </w:tcPr>
          <w:p>
            <w:pPr>
              <w:spacing w:after="0"/>
            </w:pPr>
            <w:r>
              <w:rPr>
                <w:sz w:val="15"/>
              </w:rPr>
              <w:t>Candidate scheduling under constraints and preferences; automatic rescheduling.</w:t>
            </w:r>
          </w:p>
        </w:tc>
        <w:tc>
          <w:tcPr>
            <w:tcW w:type="dxa" w:w="3456"/>
            <w:tcMar>
              <w:top w:w="80" w:type="dxa"/>
              <w:start w:w="80" w:type="dxa"/>
              <w:bottom w:w="80" w:type="dxa"/>
              <w:end w:w="80" w:type="dxa"/>
            </w:tcMar>
            <w:vAlign w:val="top"/>
          </w:tcPr>
          <w:p>
            <w:pPr>
              <w:spacing w:after="0"/>
            </w:pPr>
            <w:r>
              <w:rPr>
                <w:sz w:val="15"/>
              </w:rPr>
              <w:t>Pressures candidate generation and adjustment.</w:t>
            </w:r>
          </w:p>
        </w:tc>
      </w:tr>
      <w:tr>
        <w:tc>
          <w:tcPr>
            <w:tcW w:type="dxa" w:w="2304"/>
            <w:tcMar>
              <w:top w:w="80" w:type="dxa"/>
              <w:start w:w="80" w:type="dxa"/>
              <w:bottom w:w="80" w:type="dxa"/>
              <w:end w:w="80" w:type="dxa"/>
            </w:tcMar>
            <w:vAlign w:val="top"/>
          </w:tcPr>
          <w:p>
            <w:pPr>
              <w:spacing w:after="0"/>
            </w:pPr>
            <w:r>
              <w:rPr>
                <w:sz w:val="15"/>
              </w:rPr>
              <w:t>US 4,817,018 [R11]</w:t>
            </w:r>
          </w:p>
        </w:tc>
        <w:tc>
          <w:tcPr>
            <w:tcW w:type="dxa" w:w="4320"/>
            <w:tcMar>
              <w:top w:w="80" w:type="dxa"/>
              <w:start w:w="80" w:type="dxa"/>
              <w:bottom w:w="80" w:type="dxa"/>
              <w:end w:w="80" w:type="dxa"/>
            </w:tcMar>
            <w:vAlign w:val="top"/>
          </w:tcPr>
          <w:p>
            <w:pPr>
              <w:spacing w:after="0"/>
            </w:pPr>
            <w:r>
              <w:rPr>
                <w:sz w:val="15"/>
              </w:rPr>
              <w:t>Calendar alternate assignment and delegation.</w:t>
            </w:r>
          </w:p>
        </w:tc>
        <w:tc>
          <w:tcPr>
            <w:tcW w:type="dxa" w:w="3456"/>
            <w:tcMar>
              <w:top w:w="80" w:type="dxa"/>
              <w:start w:w="80" w:type="dxa"/>
              <w:bottom w:w="80" w:type="dxa"/>
              <w:end w:w="80" w:type="dxa"/>
            </w:tcMar>
            <w:vAlign w:val="top"/>
          </w:tcPr>
          <w:p>
            <w:pPr>
              <w:spacing w:after="0"/>
            </w:pPr>
            <w:r>
              <w:rPr>
                <w:sz w:val="15"/>
              </w:rPr>
              <w:t>Pressures authority and shared-effect claims.</w:t>
            </w:r>
          </w:p>
        </w:tc>
      </w:tr>
      <w:tr>
        <w:tc>
          <w:tcPr>
            <w:tcW w:type="dxa" w:w="2304"/>
            <w:tcMar>
              <w:top w:w="80" w:type="dxa"/>
              <w:start w:w="80" w:type="dxa"/>
              <w:bottom w:w="80" w:type="dxa"/>
              <w:end w:w="80" w:type="dxa"/>
            </w:tcMar>
            <w:vAlign w:val="top"/>
          </w:tcPr>
          <w:p>
            <w:pPr>
              <w:spacing w:after="0"/>
            </w:pPr>
            <w:r>
              <w:rPr>
                <w:sz w:val="15"/>
              </w:rPr>
              <w:t>ATMS [R12]</w:t>
            </w:r>
          </w:p>
        </w:tc>
        <w:tc>
          <w:tcPr>
            <w:tcW w:type="dxa" w:w="4320"/>
            <w:tcMar>
              <w:top w:w="80" w:type="dxa"/>
              <w:start w:w="80" w:type="dxa"/>
              <w:bottom w:w="80" w:type="dxa"/>
              <w:end w:w="80" w:type="dxa"/>
            </w:tcMar>
            <w:vAlign w:val="top"/>
          </w:tcPr>
          <w:p>
            <w:pPr>
              <w:spacing w:after="0"/>
            </w:pPr>
            <w:r>
              <w:rPr>
                <w:sz w:val="15"/>
              </w:rPr>
              <w:t>Assumption contexts, derived conclusions, inconsistency, alternatives.</w:t>
            </w:r>
          </w:p>
        </w:tc>
        <w:tc>
          <w:tcPr>
            <w:tcW w:type="dxa" w:w="3456"/>
            <w:tcMar>
              <w:top w:w="80" w:type="dxa"/>
              <w:start w:w="80" w:type="dxa"/>
              <w:bottom w:w="80" w:type="dxa"/>
              <w:end w:w="80" w:type="dxa"/>
            </w:tcMar>
            <w:vAlign w:val="top"/>
          </w:tcPr>
          <w:p>
            <w:pPr>
              <w:spacing w:after="0"/>
            </w:pPr>
            <w:r>
              <w:rPr>
                <w:sz w:val="15"/>
              </w:rPr>
              <w:t>Pressures certificate assumptions and invalidation.</w:t>
            </w:r>
          </w:p>
        </w:tc>
      </w:tr>
      <w:tr>
        <w:tc>
          <w:tcPr>
            <w:tcW w:type="dxa" w:w="2304"/>
            <w:tcMar>
              <w:top w:w="80" w:type="dxa"/>
              <w:start w:w="80" w:type="dxa"/>
              <w:bottom w:w="80" w:type="dxa"/>
              <w:end w:w="80" w:type="dxa"/>
            </w:tcMar>
            <w:vAlign w:val="top"/>
          </w:tcPr>
          <w:p>
            <w:pPr>
              <w:spacing w:after="0"/>
            </w:pPr>
            <w:r>
              <w:rPr>
                <w:sz w:val="15"/>
              </w:rPr>
              <w:t>Diverse planning [R13]</w:t>
            </w:r>
          </w:p>
        </w:tc>
        <w:tc>
          <w:tcPr>
            <w:tcW w:type="dxa" w:w="4320"/>
            <w:tcMar>
              <w:top w:w="80" w:type="dxa"/>
              <w:start w:w="80" w:type="dxa"/>
              <w:bottom w:w="80" w:type="dxa"/>
              <w:end w:w="80" w:type="dxa"/>
            </w:tcMar>
            <w:vAlign w:val="top"/>
          </w:tcPr>
          <w:p>
            <w:pPr>
              <w:spacing w:after="0"/>
            </w:pPr>
            <w:r>
              <w:rPr>
                <w:sz w:val="15"/>
              </w:rPr>
              <w:t>Semantically distinct alternatives.</w:t>
            </w:r>
          </w:p>
        </w:tc>
        <w:tc>
          <w:tcPr>
            <w:tcW w:type="dxa" w:w="3456"/>
            <w:tcMar>
              <w:top w:w="80" w:type="dxa"/>
              <w:start w:w="80" w:type="dxa"/>
              <w:bottom w:w="80" w:type="dxa"/>
              <w:end w:w="80" w:type="dxa"/>
            </w:tcMar>
            <w:vAlign w:val="top"/>
          </w:tcPr>
          <w:p>
            <w:pPr>
              <w:spacing w:after="0"/>
            </w:pPr>
            <w:r>
              <w:rPr>
                <w:sz w:val="15"/>
              </w:rPr>
              <w:t>Pressures branch diversity.</w:t>
            </w:r>
          </w:p>
        </w:tc>
      </w:tr>
      <w:tr>
        <w:tc>
          <w:tcPr>
            <w:tcW w:type="dxa" w:w="2304"/>
            <w:tcMar>
              <w:top w:w="80" w:type="dxa"/>
              <w:start w:w="80" w:type="dxa"/>
              <w:bottom w:w="80" w:type="dxa"/>
              <w:end w:w="80" w:type="dxa"/>
            </w:tcMar>
            <w:vAlign w:val="top"/>
          </w:tcPr>
          <w:p>
            <w:pPr>
              <w:spacing w:after="0"/>
            </w:pPr>
            <w:r>
              <w:rPr>
                <w:sz w:val="15"/>
              </w:rPr>
              <w:t>Plan repair [R14]</w:t>
            </w:r>
          </w:p>
        </w:tc>
        <w:tc>
          <w:tcPr>
            <w:tcW w:type="dxa" w:w="4320"/>
            <w:tcMar>
              <w:top w:w="80" w:type="dxa"/>
              <w:start w:w="80" w:type="dxa"/>
              <w:bottom w:w="80" w:type="dxa"/>
              <w:end w:w="80" w:type="dxa"/>
            </w:tcMar>
            <w:vAlign w:val="top"/>
          </w:tcPr>
          <w:p>
            <w:pPr>
              <w:spacing w:after="0"/>
            </w:pPr>
            <w:r>
              <w:rPr>
                <w:sz w:val="15"/>
              </w:rPr>
              <w:t>Stable repair after changes.</w:t>
            </w:r>
          </w:p>
        </w:tc>
        <w:tc>
          <w:tcPr>
            <w:tcW w:type="dxa" w:w="3456"/>
            <w:tcMar>
              <w:top w:w="80" w:type="dxa"/>
              <w:start w:w="80" w:type="dxa"/>
              <w:bottom w:w="80" w:type="dxa"/>
              <w:end w:w="80" w:type="dxa"/>
            </w:tcMar>
            <w:vAlign w:val="top"/>
          </w:tcPr>
          <w:p>
            <w:pPr>
              <w:spacing w:after="0"/>
            </w:pPr>
            <w:r>
              <w:rPr>
                <w:sz w:val="15"/>
              </w:rPr>
              <w:t>Pressures impact-cone and minimal-disruption claims.</w:t>
            </w:r>
          </w:p>
        </w:tc>
      </w:tr>
      <w:tr>
        <w:tc>
          <w:tcPr>
            <w:tcW w:type="dxa" w:w="2304"/>
            <w:tcMar>
              <w:top w:w="80" w:type="dxa"/>
              <w:start w:w="80" w:type="dxa"/>
              <w:bottom w:w="80" w:type="dxa"/>
              <w:end w:w="80" w:type="dxa"/>
            </w:tcMar>
            <w:vAlign w:val="top"/>
          </w:tcPr>
          <w:p>
            <w:pPr>
              <w:spacing w:after="0"/>
            </w:pPr>
            <w:r>
              <w:rPr>
                <w:sz w:val="15"/>
              </w:rPr>
              <w:t>Sagas [R15]</w:t>
            </w:r>
          </w:p>
        </w:tc>
        <w:tc>
          <w:tcPr>
            <w:tcW w:type="dxa" w:w="4320"/>
            <w:tcMar>
              <w:top w:w="80" w:type="dxa"/>
              <w:start w:w="80" w:type="dxa"/>
              <w:bottom w:w="80" w:type="dxa"/>
              <w:end w:w="80" w:type="dxa"/>
            </w:tcMar>
            <w:vAlign w:val="top"/>
          </w:tcPr>
          <w:p>
            <w:pPr>
              <w:spacing w:after="0"/>
            </w:pPr>
            <w:r>
              <w:rPr>
                <w:sz w:val="15"/>
              </w:rPr>
              <w:t>Multi-step transaction and compensation.</w:t>
            </w:r>
          </w:p>
        </w:tc>
        <w:tc>
          <w:tcPr>
            <w:tcW w:type="dxa" w:w="3456"/>
            <w:tcMar>
              <w:top w:w="80" w:type="dxa"/>
              <w:start w:w="80" w:type="dxa"/>
              <w:bottom w:w="80" w:type="dxa"/>
              <w:end w:w="80" w:type="dxa"/>
            </w:tcMar>
            <w:vAlign w:val="top"/>
          </w:tcPr>
          <w:p>
            <w:pPr>
              <w:spacing w:after="0"/>
            </w:pPr>
            <w:r>
              <w:rPr>
                <w:sz w:val="15"/>
              </w:rPr>
              <w:t>Pressures promotion and rollback.</w:t>
            </w:r>
          </w:p>
        </w:tc>
      </w:tr>
      <w:tr>
        <w:tc>
          <w:tcPr>
            <w:tcW w:type="dxa" w:w="2304"/>
            <w:tcMar>
              <w:top w:w="80" w:type="dxa"/>
              <w:start w:w="80" w:type="dxa"/>
              <w:bottom w:w="80" w:type="dxa"/>
              <w:end w:w="80" w:type="dxa"/>
            </w:tcMar>
            <w:vAlign w:val="top"/>
          </w:tcPr>
          <w:p>
            <w:pPr>
              <w:spacing w:after="0"/>
            </w:pPr>
            <w:r>
              <w:rPr>
                <w:sz w:val="15"/>
              </w:rPr>
              <w:t>NIST ABAC [R16]</w:t>
            </w:r>
          </w:p>
        </w:tc>
        <w:tc>
          <w:tcPr>
            <w:tcW w:type="dxa" w:w="4320"/>
            <w:tcMar>
              <w:top w:w="80" w:type="dxa"/>
              <w:start w:w="80" w:type="dxa"/>
              <w:bottom w:w="80" w:type="dxa"/>
              <w:end w:w="80" w:type="dxa"/>
            </w:tcMar>
            <w:vAlign w:val="top"/>
          </w:tcPr>
          <w:p>
            <w:pPr>
              <w:spacing w:after="0"/>
            </w:pPr>
            <w:r>
              <w:rPr>
                <w:sz w:val="15"/>
              </w:rPr>
              <w:t>Attribute-based authority and policy evaluation.</w:t>
            </w:r>
          </w:p>
        </w:tc>
        <w:tc>
          <w:tcPr>
            <w:tcW w:type="dxa" w:w="3456"/>
            <w:tcMar>
              <w:top w:w="80" w:type="dxa"/>
              <w:start w:w="80" w:type="dxa"/>
              <w:bottom w:w="80" w:type="dxa"/>
              <w:end w:w="80" w:type="dxa"/>
            </w:tcMar>
            <w:vAlign w:val="top"/>
          </w:tcPr>
          <w:p>
            <w:pPr>
              <w:spacing w:after="0"/>
            </w:pPr>
            <w:r>
              <w:rPr>
                <w:sz w:val="15"/>
              </w:rPr>
              <w:t>Pressures authority partition.</w:t>
            </w:r>
          </w:p>
        </w:tc>
      </w:tr>
    </w:tbl>
    <w:p>
      <w:pPr>
        <w:spacing w:after="0"/>
      </w:pPr>
    </w:p>
    <w:p>
      <w:pPr>
        <w:pStyle w:val="Heading2"/>
        <w:keepNext/>
      </w:pPr>
      <w:r>
        <w:t>15.1 Strongest combination attack</w:t>
      </w:r>
    </w:p>
    <w:p>
      <w:r>
        <w:t>The highest-risk obviousness combination is: comprehensive life planner + assumption/policy reasoning + predictive intervention + incremental plan repair + potential-calendar promotion + Saga transaction. The response cannot rely on different application domains. It must show that the persistent operational certificate, revision-bound branch delta, dependency-indexed recertification, latent contingency compilation, correction-set semantics, and parent promotion lineage produce a concrete runtime behavior not taught or suggested in combination. [R3]</w:t>
      </w:r>
    </w:p>
    <w:p>
      <w:pPr>
        <w:pStyle w:val="Heading1"/>
        <w:keepNext/>
      </w:pPr>
      <w:r>
        <w:t>16. CPC and family-based search plan</w:t>
      </w:r>
    </w:p>
    <w:p>
      <w:r>
        <w:t>The CPC scheme current at the date of this package is version 2026.05. The codes below are candidate search lanes, not a final classification opinion. Counsel should validate definitions and search both main groups and narrower subgroups. [R5]</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448"/>
            <w:shd w:fill="17324D"/>
            <w:tcMar>
              <w:top w:w="80" w:type="dxa"/>
              <w:start w:w="80" w:type="dxa"/>
              <w:bottom w:w="80" w:type="dxa"/>
              <w:end w:w="80" w:type="dxa"/>
            </w:tcMar>
            <w:vAlign w:val="center"/>
          </w:tcPr>
          <w:p>
            <w:pPr>
              <w:jc w:val="center"/>
            </w:pPr>
            <w:r>
              <w:rPr>
                <w:b/>
                <w:color w:val="FFFFFF"/>
                <w:sz w:val="16"/>
              </w:rPr>
              <w:t>Candidate CPC lane</w:t>
            </w:r>
          </w:p>
        </w:tc>
        <w:tc>
          <w:tcPr>
            <w:tcW w:type="dxa" w:w="7344"/>
            <w:shd w:fill="17324D"/>
            <w:tcMar>
              <w:top w:w="80" w:type="dxa"/>
              <w:start w:w="80" w:type="dxa"/>
              <w:bottom w:w="80" w:type="dxa"/>
              <w:end w:w="80" w:type="dxa"/>
            </w:tcMar>
            <w:vAlign w:val="center"/>
          </w:tcPr>
          <w:p>
            <w:pPr>
              <w:jc w:val="center"/>
            </w:pPr>
            <w:r>
              <w:rPr>
                <w:b/>
                <w:color w:val="FFFFFF"/>
                <w:sz w:val="16"/>
              </w:rPr>
              <w:t>Search relevance</w:t>
            </w:r>
          </w:p>
        </w:tc>
      </w:tr>
      <w:tr>
        <w:tc>
          <w:tcPr>
            <w:tcW w:type="dxa" w:w="2448"/>
            <w:tcMar>
              <w:top w:w="80" w:type="dxa"/>
              <w:start w:w="80" w:type="dxa"/>
              <w:bottom w:w="80" w:type="dxa"/>
              <w:end w:w="80" w:type="dxa"/>
            </w:tcMar>
            <w:vAlign w:val="top"/>
          </w:tcPr>
          <w:p>
            <w:pPr>
              <w:spacing w:after="0"/>
            </w:pPr>
            <w:r>
              <w:rPr>
                <w:sz w:val="16"/>
              </w:rPr>
              <w:t>G06Q 10/0631</w:t>
            </w:r>
          </w:p>
        </w:tc>
        <w:tc>
          <w:tcPr>
            <w:tcW w:type="dxa" w:w="7344"/>
            <w:tcMar>
              <w:top w:w="80" w:type="dxa"/>
              <w:start w:w="80" w:type="dxa"/>
              <w:bottom w:w="80" w:type="dxa"/>
              <w:end w:w="80" w:type="dxa"/>
            </w:tcMar>
            <w:vAlign w:val="top"/>
          </w:tcPr>
          <w:p>
            <w:pPr>
              <w:spacing w:after="0"/>
            </w:pPr>
            <w:r>
              <w:rPr>
                <w:sz w:val="16"/>
              </w:rPr>
              <w:t>Resource planning, allocation, or scheduling for a business operation.</w:t>
            </w:r>
          </w:p>
        </w:tc>
      </w:tr>
      <w:tr>
        <w:tc>
          <w:tcPr>
            <w:tcW w:type="dxa" w:w="2448"/>
            <w:tcMar>
              <w:top w:w="80" w:type="dxa"/>
              <w:start w:w="80" w:type="dxa"/>
              <w:bottom w:w="80" w:type="dxa"/>
              <w:end w:w="80" w:type="dxa"/>
            </w:tcMar>
            <w:vAlign w:val="top"/>
          </w:tcPr>
          <w:p>
            <w:pPr>
              <w:spacing w:after="0"/>
            </w:pPr>
            <w:r>
              <w:rPr>
                <w:sz w:val="16"/>
              </w:rPr>
              <w:t>G06Q 10/06311</w:t>
            </w:r>
          </w:p>
        </w:tc>
        <w:tc>
          <w:tcPr>
            <w:tcW w:type="dxa" w:w="7344"/>
            <w:tcMar>
              <w:top w:w="80" w:type="dxa"/>
              <w:start w:w="80" w:type="dxa"/>
              <w:bottom w:w="80" w:type="dxa"/>
              <w:end w:w="80" w:type="dxa"/>
            </w:tcMar>
            <w:vAlign w:val="top"/>
          </w:tcPr>
          <w:p>
            <w:pPr>
              <w:spacing w:after="0"/>
            </w:pPr>
            <w:r>
              <w:rPr>
                <w:sz w:val="16"/>
              </w:rPr>
              <w:t>Scheduling, planning, or task assignment for a person or group.</w:t>
            </w:r>
          </w:p>
        </w:tc>
      </w:tr>
      <w:tr>
        <w:tc>
          <w:tcPr>
            <w:tcW w:type="dxa" w:w="2448"/>
            <w:tcMar>
              <w:top w:w="80" w:type="dxa"/>
              <w:start w:w="80" w:type="dxa"/>
              <w:bottom w:w="80" w:type="dxa"/>
              <w:end w:w="80" w:type="dxa"/>
            </w:tcMar>
            <w:vAlign w:val="top"/>
          </w:tcPr>
          <w:p>
            <w:pPr>
              <w:spacing w:after="0"/>
            </w:pPr>
            <w:r>
              <w:rPr>
                <w:sz w:val="16"/>
              </w:rPr>
              <w:t>G06Q 10/063116</w:t>
            </w:r>
          </w:p>
        </w:tc>
        <w:tc>
          <w:tcPr>
            <w:tcW w:type="dxa" w:w="7344"/>
            <w:tcMar>
              <w:top w:w="80" w:type="dxa"/>
              <w:start w:w="80" w:type="dxa"/>
              <w:bottom w:w="80" w:type="dxa"/>
              <w:end w:w="80" w:type="dxa"/>
            </w:tcMar>
            <w:vAlign w:val="top"/>
          </w:tcPr>
          <w:p>
            <w:pPr>
              <w:spacing w:after="0"/>
            </w:pPr>
            <w:r>
              <w:rPr>
                <w:sz w:val="16"/>
              </w:rPr>
              <w:t>Schedule adjustment for a person or group.</w:t>
            </w:r>
          </w:p>
        </w:tc>
      </w:tr>
      <w:tr>
        <w:tc>
          <w:tcPr>
            <w:tcW w:type="dxa" w:w="2448"/>
            <w:tcMar>
              <w:top w:w="80" w:type="dxa"/>
              <w:start w:w="80" w:type="dxa"/>
              <w:bottom w:w="80" w:type="dxa"/>
              <w:end w:w="80" w:type="dxa"/>
            </w:tcMar>
            <w:vAlign w:val="top"/>
          </w:tcPr>
          <w:p>
            <w:pPr>
              <w:spacing w:after="0"/>
            </w:pPr>
            <w:r>
              <w:rPr>
                <w:sz w:val="16"/>
              </w:rPr>
              <w:t>G06Q 10/06314</w:t>
            </w:r>
          </w:p>
        </w:tc>
        <w:tc>
          <w:tcPr>
            <w:tcW w:type="dxa" w:w="7344"/>
            <w:tcMar>
              <w:top w:w="80" w:type="dxa"/>
              <w:start w:w="80" w:type="dxa"/>
              <w:bottom w:w="80" w:type="dxa"/>
              <w:end w:w="80" w:type="dxa"/>
            </w:tcMar>
            <w:vAlign w:val="top"/>
          </w:tcPr>
          <w:p>
            <w:pPr>
              <w:spacing w:after="0"/>
            </w:pPr>
            <w:r>
              <w:rPr>
                <w:sz w:val="16"/>
              </w:rPr>
              <w:t>Calendaring for a resource.</w:t>
            </w:r>
          </w:p>
        </w:tc>
      </w:tr>
      <w:tr>
        <w:tc>
          <w:tcPr>
            <w:tcW w:type="dxa" w:w="2448"/>
            <w:tcMar>
              <w:top w:w="80" w:type="dxa"/>
              <w:start w:w="80" w:type="dxa"/>
              <w:bottom w:w="80" w:type="dxa"/>
              <w:end w:w="80" w:type="dxa"/>
            </w:tcMar>
            <w:vAlign w:val="top"/>
          </w:tcPr>
          <w:p>
            <w:pPr>
              <w:spacing w:after="0"/>
            </w:pPr>
            <w:r>
              <w:rPr>
                <w:sz w:val="16"/>
              </w:rPr>
              <w:t>G06Q 10/06315</w:t>
            </w:r>
          </w:p>
        </w:tc>
        <w:tc>
          <w:tcPr>
            <w:tcW w:type="dxa" w:w="7344"/>
            <w:tcMar>
              <w:top w:w="80" w:type="dxa"/>
              <w:start w:w="80" w:type="dxa"/>
              <w:bottom w:w="80" w:type="dxa"/>
              <w:end w:w="80" w:type="dxa"/>
            </w:tcMar>
            <w:vAlign w:val="top"/>
          </w:tcPr>
          <w:p>
            <w:pPr>
              <w:spacing w:after="0"/>
            </w:pPr>
            <w:r>
              <w:rPr>
                <w:sz w:val="16"/>
              </w:rPr>
              <w:t>Needs-based resource requirements planning or analysis.</w:t>
            </w:r>
          </w:p>
        </w:tc>
      </w:tr>
      <w:tr>
        <w:tc>
          <w:tcPr>
            <w:tcW w:type="dxa" w:w="2448"/>
            <w:tcMar>
              <w:top w:w="80" w:type="dxa"/>
              <w:start w:w="80" w:type="dxa"/>
              <w:bottom w:w="80" w:type="dxa"/>
              <w:end w:w="80" w:type="dxa"/>
            </w:tcMar>
            <w:vAlign w:val="top"/>
          </w:tcPr>
          <w:p>
            <w:pPr>
              <w:spacing w:after="0"/>
            </w:pPr>
            <w:r>
              <w:rPr>
                <w:sz w:val="16"/>
              </w:rPr>
              <w:t>G06Q 10/0633</w:t>
            </w:r>
          </w:p>
        </w:tc>
        <w:tc>
          <w:tcPr>
            <w:tcW w:type="dxa" w:w="7344"/>
            <w:tcMar>
              <w:top w:w="80" w:type="dxa"/>
              <w:start w:w="80" w:type="dxa"/>
              <w:bottom w:w="80" w:type="dxa"/>
              <w:end w:w="80" w:type="dxa"/>
            </w:tcMar>
            <w:vAlign w:val="top"/>
          </w:tcPr>
          <w:p>
            <w:pPr>
              <w:spacing w:after="0"/>
            </w:pPr>
            <w:r>
              <w:rPr>
                <w:sz w:val="16"/>
              </w:rPr>
              <w:t>Workflow analysis.</w:t>
            </w:r>
          </w:p>
        </w:tc>
      </w:tr>
      <w:tr>
        <w:tc>
          <w:tcPr>
            <w:tcW w:type="dxa" w:w="2448"/>
            <w:tcMar>
              <w:top w:w="80" w:type="dxa"/>
              <w:start w:w="80" w:type="dxa"/>
              <w:bottom w:w="80" w:type="dxa"/>
              <w:end w:w="80" w:type="dxa"/>
            </w:tcMar>
            <w:vAlign w:val="top"/>
          </w:tcPr>
          <w:p>
            <w:pPr>
              <w:spacing w:after="0"/>
            </w:pPr>
            <w:r>
              <w:rPr>
                <w:sz w:val="16"/>
              </w:rPr>
              <w:t>G06Q 10/04</w:t>
            </w:r>
          </w:p>
        </w:tc>
        <w:tc>
          <w:tcPr>
            <w:tcW w:type="dxa" w:w="7344"/>
            <w:tcMar>
              <w:top w:w="80" w:type="dxa"/>
              <w:start w:w="80" w:type="dxa"/>
              <w:bottom w:w="80" w:type="dxa"/>
              <w:end w:w="80" w:type="dxa"/>
            </w:tcMar>
            <w:vAlign w:val="top"/>
          </w:tcPr>
          <w:p>
            <w:pPr>
              <w:spacing w:after="0"/>
            </w:pPr>
            <w:r>
              <w:rPr>
                <w:sz w:val="16"/>
              </w:rPr>
              <w:t>Forecasting or optimization in administrative/managerial contexts.</w:t>
            </w:r>
          </w:p>
        </w:tc>
      </w:tr>
      <w:tr>
        <w:tc>
          <w:tcPr>
            <w:tcW w:type="dxa" w:w="2448"/>
            <w:tcMar>
              <w:top w:w="80" w:type="dxa"/>
              <w:start w:w="80" w:type="dxa"/>
              <w:bottom w:w="80" w:type="dxa"/>
              <w:end w:w="80" w:type="dxa"/>
            </w:tcMar>
            <w:vAlign w:val="top"/>
          </w:tcPr>
          <w:p>
            <w:pPr>
              <w:spacing w:after="0"/>
            </w:pPr>
            <w:r>
              <w:rPr>
                <w:sz w:val="16"/>
              </w:rPr>
              <w:t>G06Q 10/109</w:t>
            </w:r>
          </w:p>
        </w:tc>
        <w:tc>
          <w:tcPr>
            <w:tcW w:type="dxa" w:w="7344"/>
            <w:tcMar>
              <w:top w:w="80" w:type="dxa"/>
              <w:start w:w="80" w:type="dxa"/>
              <w:bottom w:w="80" w:type="dxa"/>
              <w:end w:w="80" w:type="dxa"/>
            </w:tcMar>
            <w:vAlign w:val="top"/>
          </w:tcPr>
          <w:p>
            <w:pPr>
              <w:spacing w:after="0"/>
            </w:pPr>
            <w:r>
              <w:rPr>
                <w:sz w:val="16"/>
              </w:rPr>
              <w:t>Time management / reminders / calendaring lane to validate.</w:t>
            </w:r>
          </w:p>
        </w:tc>
      </w:tr>
      <w:tr>
        <w:tc>
          <w:tcPr>
            <w:tcW w:type="dxa" w:w="2448"/>
            <w:tcMar>
              <w:top w:w="80" w:type="dxa"/>
              <w:start w:w="80" w:type="dxa"/>
              <w:bottom w:w="80" w:type="dxa"/>
              <w:end w:w="80" w:type="dxa"/>
            </w:tcMar>
            <w:vAlign w:val="top"/>
          </w:tcPr>
          <w:p>
            <w:pPr>
              <w:spacing w:after="0"/>
            </w:pPr>
            <w:r>
              <w:rPr>
                <w:sz w:val="16"/>
              </w:rPr>
              <w:t>G06N 5/02</w:t>
            </w:r>
          </w:p>
        </w:tc>
        <w:tc>
          <w:tcPr>
            <w:tcW w:type="dxa" w:w="7344"/>
            <w:tcMar>
              <w:top w:w="80" w:type="dxa"/>
              <w:start w:w="80" w:type="dxa"/>
              <w:bottom w:w="80" w:type="dxa"/>
              <w:end w:w="80" w:type="dxa"/>
            </w:tcMar>
            <w:vAlign w:val="top"/>
          </w:tcPr>
          <w:p>
            <w:pPr>
              <w:spacing w:after="0"/>
            </w:pPr>
            <w:r>
              <w:rPr>
                <w:sz w:val="16"/>
              </w:rPr>
              <w:t>Knowledge representation.</w:t>
            </w:r>
          </w:p>
        </w:tc>
      </w:tr>
      <w:tr>
        <w:tc>
          <w:tcPr>
            <w:tcW w:type="dxa" w:w="2448"/>
            <w:tcMar>
              <w:top w:w="80" w:type="dxa"/>
              <w:start w:w="80" w:type="dxa"/>
              <w:bottom w:w="80" w:type="dxa"/>
              <w:end w:w="80" w:type="dxa"/>
            </w:tcMar>
            <w:vAlign w:val="top"/>
          </w:tcPr>
          <w:p>
            <w:pPr>
              <w:spacing w:after="0"/>
            </w:pPr>
            <w:r>
              <w:rPr>
                <w:sz w:val="16"/>
              </w:rPr>
              <w:t>G06N 5/022</w:t>
            </w:r>
          </w:p>
        </w:tc>
        <w:tc>
          <w:tcPr>
            <w:tcW w:type="dxa" w:w="7344"/>
            <w:tcMar>
              <w:top w:w="80" w:type="dxa"/>
              <w:start w:w="80" w:type="dxa"/>
              <w:bottom w:w="80" w:type="dxa"/>
              <w:end w:w="80" w:type="dxa"/>
            </w:tcMar>
            <w:vAlign w:val="top"/>
          </w:tcPr>
          <w:p>
            <w:pPr>
              <w:spacing w:after="0"/>
            </w:pPr>
            <w:r>
              <w:rPr>
                <w:sz w:val="16"/>
              </w:rPr>
              <w:t>Knowledge engineering or acquisition.</w:t>
            </w:r>
          </w:p>
        </w:tc>
      </w:tr>
      <w:tr>
        <w:tc>
          <w:tcPr>
            <w:tcW w:type="dxa" w:w="2448"/>
            <w:tcMar>
              <w:top w:w="80" w:type="dxa"/>
              <w:start w:w="80" w:type="dxa"/>
              <w:bottom w:w="80" w:type="dxa"/>
              <w:end w:w="80" w:type="dxa"/>
            </w:tcMar>
            <w:vAlign w:val="top"/>
          </w:tcPr>
          <w:p>
            <w:pPr>
              <w:spacing w:after="0"/>
            </w:pPr>
            <w:r>
              <w:rPr>
                <w:sz w:val="16"/>
              </w:rPr>
              <w:t>G06N 5/04</w:t>
            </w:r>
          </w:p>
        </w:tc>
        <w:tc>
          <w:tcPr>
            <w:tcW w:type="dxa" w:w="7344"/>
            <w:tcMar>
              <w:top w:w="80" w:type="dxa"/>
              <w:start w:w="80" w:type="dxa"/>
              <w:bottom w:w="80" w:type="dxa"/>
              <w:end w:w="80" w:type="dxa"/>
            </w:tcMar>
            <w:vAlign w:val="top"/>
          </w:tcPr>
          <w:p>
            <w:pPr>
              <w:spacing w:after="0"/>
            </w:pPr>
            <w:r>
              <w:rPr>
                <w:sz w:val="16"/>
              </w:rPr>
              <w:t>Inference methods or devices.</w:t>
            </w:r>
          </w:p>
        </w:tc>
      </w:tr>
      <w:tr>
        <w:tc>
          <w:tcPr>
            <w:tcW w:type="dxa" w:w="2448"/>
            <w:tcMar>
              <w:top w:w="80" w:type="dxa"/>
              <w:start w:w="80" w:type="dxa"/>
              <w:bottom w:w="80" w:type="dxa"/>
              <w:end w:w="80" w:type="dxa"/>
            </w:tcMar>
            <w:vAlign w:val="top"/>
          </w:tcPr>
          <w:p>
            <w:pPr>
              <w:spacing w:after="0"/>
            </w:pPr>
            <w:r>
              <w:rPr>
                <w:sz w:val="16"/>
              </w:rPr>
              <w:t>G06N 5/047</w:t>
            </w:r>
          </w:p>
        </w:tc>
        <w:tc>
          <w:tcPr>
            <w:tcW w:type="dxa" w:w="7344"/>
            <w:tcMar>
              <w:top w:w="80" w:type="dxa"/>
              <w:start w:w="80" w:type="dxa"/>
              <w:bottom w:w="80" w:type="dxa"/>
              <w:end w:w="80" w:type="dxa"/>
            </w:tcMar>
            <w:vAlign w:val="top"/>
          </w:tcPr>
          <w:p>
            <w:pPr>
              <w:spacing w:after="0"/>
            </w:pPr>
            <w:r>
              <w:rPr>
                <w:sz w:val="16"/>
              </w:rPr>
              <w:t>Pattern-matching / rule-network lane.</w:t>
            </w:r>
          </w:p>
        </w:tc>
      </w:tr>
      <w:tr>
        <w:tc>
          <w:tcPr>
            <w:tcW w:type="dxa" w:w="2448"/>
            <w:tcMar>
              <w:top w:w="80" w:type="dxa"/>
              <w:start w:w="80" w:type="dxa"/>
              <w:bottom w:w="80" w:type="dxa"/>
              <w:end w:w="80" w:type="dxa"/>
            </w:tcMar>
            <w:vAlign w:val="top"/>
          </w:tcPr>
          <w:p>
            <w:pPr>
              <w:spacing w:after="0"/>
            </w:pPr>
            <w:r>
              <w:rPr>
                <w:sz w:val="16"/>
              </w:rPr>
              <w:t>G06F 8/35</w:t>
            </w:r>
          </w:p>
        </w:tc>
        <w:tc>
          <w:tcPr>
            <w:tcW w:type="dxa" w:w="7344"/>
            <w:tcMar>
              <w:top w:w="80" w:type="dxa"/>
              <w:start w:w="80" w:type="dxa"/>
              <w:bottom w:w="80" w:type="dxa"/>
              <w:end w:w="80" w:type="dxa"/>
            </w:tcMar>
            <w:vAlign w:val="top"/>
          </w:tcPr>
          <w:p>
            <w:pPr>
              <w:spacing w:after="0"/>
            </w:pPr>
            <w:r>
              <w:rPr>
                <w:sz w:val="16"/>
              </w:rPr>
              <w:t>Model-driven software lane.</w:t>
            </w:r>
          </w:p>
        </w:tc>
      </w:tr>
      <w:tr>
        <w:tc>
          <w:tcPr>
            <w:tcW w:type="dxa" w:w="2448"/>
            <w:tcMar>
              <w:top w:w="80" w:type="dxa"/>
              <w:start w:w="80" w:type="dxa"/>
              <w:bottom w:w="80" w:type="dxa"/>
              <w:end w:w="80" w:type="dxa"/>
            </w:tcMar>
            <w:vAlign w:val="top"/>
          </w:tcPr>
          <w:p>
            <w:pPr>
              <w:spacing w:after="0"/>
            </w:pPr>
            <w:r>
              <w:rPr>
                <w:sz w:val="16"/>
              </w:rPr>
              <w:t>G06F 9/466</w:t>
            </w:r>
          </w:p>
        </w:tc>
        <w:tc>
          <w:tcPr>
            <w:tcW w:type="dxa" w:w="7344"/>
            <w:tcMar>
              <w:top w:w="80" w:type="dxa"/>
              <w:start w:w="80" w:type="dxa"/>
              <w:bottom w:w="80" w:type="dxa"/>
              <w:end w:w="80" w:type="dxa"/>
            </w:tcMar>
            <w:vAlign w:val="top"/>
          </w:tcPr>
          <w:p>
            <w:pPr>
              <w:spacing w:after="0"/>
            </w:pPr>
            <w:r>
              <w:rPr>
                <w:sz w:val="16"/>
              </w:rPr>
              <w:t>ACID transaction processing. [R18]</w:t>
            </w:r>
          </w:p>
        </w:tc>
      </w:tr>
      <w:tr>
        <w:tc>
          <w:tcPr>
            <w:tcW w:type="dxa" w:w="2448"/>
            <w:tcMar>
              <w:top w:w="80" w:type="dxa"/>
              <w:start w:w="80" w:type="dxa"/>
              <w:bottom w:w="80" w:type="dxa"/>
              <w:end w:w="80" w:type="dxa"/>
            </w:tcMar>
            <w:vAlign w:val="top"/>
          </w:tcPr>
          <w:p>
            <w:pPr>
              <w:spacing w:after="0"/>
            </w:pPr>
            <w:r>
              <w:rPr>
                <w:sz w:val="16"/>
              </w:rPr>
              <w:t>G06F 11/1474</w:t>
            </w:r>
          </w:p>
        </w:tc>
        <w:tc>
          <w:tcPr>
            <w:tcW w:type="dxa" w:w="7344"/>
            <w:tcMar>
              <w:top w:w="80" w:type="dxa"/>
              <w:start w:w="80" w:type="dxa"/>
              <w:bottom w:w="80" w:type="dxa"/>
              <w:end w:w="80" w:type="dxa"/>
            </w:tcMar>
            <w:vAlign w:val="top"/>
          </w:tcPr>
          <w:p>
            <w:pPr>
              <w:spacing w:after="0"/>
            </w:pPr>
            <w:r>
              <w:rPr>
                <w:sz w:val="16"/>
              </w:rPr>
              <w:t>Recovery or rollback in transactions; validate current definition.</w:t>
            </w:r>
          </w:p>
        </w:tc>
      </w:tr>
      <w:tr>
        <w:tc>
          <w:tcPr>
            <w:tcW w:type="dxa" w:w="2448"/>
            <w:tcMar>
              <w:top w:w="80" w:type="dxa"/>
              <w:start w:w="80" w:type="dxa"/>
              <w:bottom w:w="80" w:type="dxa"/>
              <w:end w:w="80" w:type="dxa"/>
            </w:tcMar>
            <w:vAlign w:val="top"/>
          </w:tcPr>
          <w:p>
            <w:pPr>
              <w:spacing w:after="0"/>
            </w:pPr>
            <w:r>
              <w:rPr>
                <w:sz w:val="16"/>
              </w:rPr>
              <w:t>G06F 16/23</w:t>
            </w:r>
          </w:p>
        </w:tc>
        <w:tc>
          <w:tcPr>
            <w:tcW w:type="dxa" w:w="7344"/>
            <w:tcMar>
              <w:top w:w="80" w:type="dxa"/>
              <w:start w:w="80" w:type="dxa"/>
              <w:bottom w:w="80" w:type="dxa"/>
              <w:end w:w="80" w:type="dxa"/>
            </w:tcMar>
            <w:vAlign w:val="top"/>
          </w:tcPr>
          <w:p>
            <w:pPr>
              <w:spacing w:after="0"/>
            </w:pPr>
            <w:r>
              <w:rPr>
                <w:sz w:val="16"/>
              </w:rPr>
              <w:t>Updating database structures; useful for revision and promotion searches.</w:t>
            </w:r>
          </w:p>
        </w:tc>
      </w:tr>
    </w:tbl>
    <w:p>
      <w:pPr>
        <w:spacing w:after="0"/>
      </w:pPr>
    </w:p>
    <w:p>
      <w:pPr>
        <w:pStyle w:val="Heading2"/>
        <w:keepNext/>
      </w:pPr>
      <w:r>
        <w:t>16.1 Family search sequence</w:t>
      </w:r>
    </w:p>
    <w:p>
      <w:pPr>
        <w:pStyle w:val="ListNumber"/>
      </w:pPr>
      <w:r>
        <w:t>Expand the US 12,175,536 family, including US 10,997,660 and US 11,676,211; inspect cited/citing families and prosecution history.</w:t>
      </w:r>
    </w:p>
    <w:p>
      <w:pPr>
        <w:pStyle w:val="ListNumber"/>
      </w:pPr>
      <w:r>
        <w:t>Expand US 2016/0321935 and all priority/continuation/family applications, including classification and examiner search history.</w:t>
      </w:r>
    </w:p>
    <w:p>
      <w:pPr>
        <w:pStyle w:val="ListNumber"/>
      </w:pPr>
      <w:r>
        <w:t>Expand the potential-calendars family around US 11,276,041 / US 2017/0154315.</w:t>
      </w:r>
    </w:p>
    <w:p>
      <w:pPr>
        <w:pStyle w:val="ListNumber"/>
      </w:pPr>
      <w:r>
        <w:t>Expand proactive-intervention, automated rescheduling, shared calendar/delegation, plan repair, workflow transaction, and rule-engine families.</w:t>
      </w:r>
    </w:p>
    <w:p>
      <w:pPr>
        <w:pStyle w:val="ListNumber"/>
      </w:pPr>
      <w:r>
        <w:t>Search assignee and inventor clusters for related continuations with narrower claims omitted from abstracts.</w:t>
      </w:r>
    </w:p>
    <w:p>
      <w:pPr>
        <w:pStyle w:val="ListNumber"/>
      </w:pPr>
      <w:r>
        <w:t>Search forward citations published after the earliest known family dates.</w:t>
      </w:r>
    </w:p>
    <w:p>
      <w:pPr>
        <w:pStyle w:val="Heading2"/>
        <w:keepNext/>
      </w:pPr>
      <w:r>
        <w:t>16.2 Claim-element query families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17324D"/>
            <w:tcMar>
              <w:top w:w="80" w:type="dxa"/>
              <w:start w:w="80" w:type="dxa"/>
              <w:bottom w:w="80" w:type="dxa"/>
              <w:end w:w="80" w:type="dxa"/>
            </w:tcMar>
            <w:vAlign w:val="center"/>
          </w:tcPr>
          <w:p>
            <w:pPr>
              <w:jc w:val="center"/>
            </w:pPr>
            <w:r>
              <w:rPr>
                <w:b/>
                <w:color w:val="FFFFFF"/>
                <w:sz w:val="15"/>
              </w:rPr>
              <w:t>Element</w:t>
            </w:r>
          </w:p>
        </w:tc>
        <w:tc>
          <w:tcPr>
            <w:tcW w:type="dxa" w:w="7200"/>
            <w:shd w:fill="17324D"/>
            <w:tcMar>
              <w:top w:w="80" w:type="dxa"/>
              <w:start w:w="80" w:type="dxa"/>
              <w:bottom w:w="80" w:type="dxa"/>
              <w:end w:w="80" w:type="dxa"/>
            </w:tcMar>
            <w:vAlign w:val="center"/>
          </w:tcPr>
          <w:p>
            <w:pPr>
              <w:jc w:val="center"/>
            </w:pPr>
            <w:r>
              <w:rPr>
                <w:b/>
                <w:color w:val="FFFFFF"/>
                <w:sz w:val="15"/>
              </w:rPr>
              <w:t>Query pattern</w:t>
            </w:r>
          </w:p>
        </w:tc>
      </w:tr>
      <w:tr>
        <w:tc>
          <w:tcPr>
            <w:tcW w:type="dxa" w:w="2592"/>
            <w:tcMar>
              <w:top w:w="80" w:type="dxa"/>
              <w:start w:w="80" w:type="dxa"/>
              <w:bottom w:w="80" w:type="dxa"/>
              <w:end w:w="80" w:type="dxa"/>
            </w:tcMar>
            <w:vAlign w:val="top"/>
          </w:tcPr>
          <w:p>
            <w:pPr>
              <w:spacing w:after="0"/>
            </w:pPr>
            <w:r>
              <w:rPr>
                <w:sz w:val="15"/>
              </w:rPr>
              <w:t>Active branch / delta</w:t>
            </w:r>
          </w:p>
        </w:tc>
        <w:tc>
          <w:tcPr>
            <w:tcW w:type="dxa" w:w="7200"/>
            <w:tcMar>
              <w:top w:w="80" w:type="dxa"/>
              <w:start w:w="80" w:type="dxa"/>
              <w:bottom w:w="80" w:type="dxa"/>
              <w:end w:w="80" w:type="dxa"/>
            </w:tcMar>
            <w:vAlign w:val="top"/>
          </w:tcPr>
          <w:p>
            <w:pPr>
              <w:spacing w:after="0"/>
            </w:pPr>
            <w:r>
              <w:rPr>
                <w:sz w:val="15"/>
              </w:rPr>
              <w:t>"active branch" OR "candidate state delta" OR "prospective state overlay" AND planning</w:t>
            </w:r>
          </w:p>
        </w:tc>
      </w:tr>
      <w:tr>
        <w:tc>
          <w:tcPr>
            <w:tcW w:type="dxa" w:w="2592"/>
            <w:tcMar>
              <w:top w:w="80" w:type="dxa"/>
              <w:start w:w="80" w:type="dxa"/>
              <w:bottom w:w="80" w:type="dxa"/>
              <w:end w:w="80" w:type="dxa"/>
            </w:tcMar>
            <w:vAlign w:val="top"/>
          </w:tcPr>
          <w:p>
            <w:pPr>
              <w:spacing w:after="0"/>
            </w:pPr>
            <w:r>
              <w:rPr>
                <w:sz w:val="15"/>
              </w:rPr>
              <w:t>Operational certificate</w:t>
            </w:r>
          </w:p>
        </w:tc>
        <w:tc>
          <w:tcPr>
            <w:tcW w:type="dxa" w:w="7200"/>
            <w:tcMar>
              <w:top w:w="80" w:type="dxa"/>
              <w:start w:w="80" w:type="dxa"/>
              <w:bottom w:w="80" w:type="dxa"/>
              <w:end w:w="80" w:type="dxa"/>
            </w:tcMar>
            <w:vAlign w:val="top"/>
          </w:tcPr>
          <w:p>
            <w:pPr>
              <w:spacing w:after="0"/>
            </w:pPr>
            <w:r>
              <w:rPr>
                <w:sz w:val="15"/>
              </w:rPr>
              <w:t>"viability certificate" OR "plan certificate" OR "operational certificate" AND revision</w:t>
            </w:r>
          </w:p>
        </w:tc>
      </w:tr>
      <w:tr>
        <w:tc>
          <w:tcPr>
            <w:tcW w:type="dxa" w:w="2592"/>
            <w:tcMar>
              <w:top w:w="80" w:type="dxa"/>
              <w:start w:w="80" w:type="dxa"/>
              <w:bottom w:w="80" w:type="dxa"/>
              <w:end w:w="80" w:type="dxa"/>
            </w:tcMar>
            <w:vAlign w:val="top"/>
          </w:tcPr>
          <w:p>
            <w:pPr>
              <w:spacing w:after="0"/>
            </w:pPr>
            <w:r>
              <w:rPr>
                <w:sz w:val="15"/>
              </w:rPr>
              <w:t>Incremental invalidation</w:t>
            </w:r>
          </w:p>
        </w:tc>
        <w:tc>
          <w:tcPr>
            <w:tcW w:type="dxa" w:w="7200"/>
            <w:tcMar>
              <w:top w:w="80" w:type="dxa"/>
              <w:start w:w="80" w:type="dxa"/>
              <w:bottom w:w="80" w:type="dxa"/>
              <w:end w:w="80" w:type="dxa"/>
            </w:tcMar>
            <w:vAlign w:val="top"/>
          </w:tcPr>
          <w:p>
            <w:pPr>
              <w:spacing w:after="0"/>
            </w:pPr>
            <w:r>
              <w:rPr>
                <w:sz w:val="15"/>
              </w:rPr>
              <w:t>"dependency indexed" AND invalidat* AND plan OR schedule OR workflow</w:t>
            </w:r>
          </w:p>
        </w:tc>
      </w:tr>
      <w:tr>
        <w:tc>
          <w:tcPr>
            <w:tcW w:type="dxa" w:w="2592"/>
            <w:tcMar>
              <w:top w:w="80" w:type="dxa"/>
              <w:start w:w="80" w:type="dxa"/>
              <w:bottom w:w="80" w:type="dxa"/>
              <w:end w:w="80" w:type="dxa"/>
            </w:tcMar>
            <w:vAlign w:val="top"/>
          </w:tcPr>
          <w:p>
            <w:pPr>
              <w:spacing w:after="0"/>
            </w:pPr>
            <w:r>
              <w:rPr>
                <w:sz w:val="15"/>
              </w:rPr>
              <w:t>Latent contingencies</w:t>
            </w:r>
          </w:p>
        </w:tc>
        <w:tc>
          <w:tcPr>
            <w:tcW w:type="dxa" w:w="7200"/>
            <w:tcMar>
              <w:top w:w="80" w:type="dxa"/>
              <w:start w:w="80" w:type="dxa"/>
              <w:bottom w:w="80" w:type="dxa"/>
              <w:end w:w="80" w:type="dxa"/>
            </w:tcMar>
            <w:vAlign w:val="top"/>
          </w:tcPr>
          <w:p>
            <w:pPr>
              <w:spacing w:after="0"/>
            </w:pPr>
            <w:r>
              <w:rPr>
                <w:sz w:val="15"/>
              </w:rPr>
              <w:t>"contingency policy" AND materializ* AND candidate plan</w:t>
            </w:r>
          </w:p>
        </w:tc>
      </w:tr>
      <w:tr>
        <w:tc>
          <w:tcPr>
            <w:tcW w:type="dxa" w:w="2592"/>
            <w:tcMar>
              <w:top w:w="80" w:type="dxa"/>
              <w:start w:w="80" w:type="dxa"/>
              <w:bottom w:w="80" w:type="dxa"/>
              <w:end w:w="80" w:type="dxa"/>
            </w:tcMar>
            <w:vAlign w:val="top"/>
          </w:tcPr>
          <w:p>
            <w:pPr>
              <w:spacing w:after="0"/>
            </w:pPr>
            <w:r>
              <w:rPr>
                <w:sz w:val="15"/>
              </w:rPr>
              <w:t>Correction-derived alternatives</w:t>
            </w:r>
          </w:p>
        </w:tc>
        <w:tc>
          <w:tcPr>
            <w:tcW w:type="dxa" w:w="7200"/>
            <w:tcMar>
              <w:top w:w="80" w:type="dxa"/>
              <w:start w:w="80" w:type="dxa"/>
              <w:bottom w:w="80" w:type="dxa"/>
              <w:end w:w="80" w:type="dxa"/>
            </w:tcMar>
            <w:vAlign w:val="top"/>
          </w:tcPr>
          <w:p>
            <w:pPr>
              <w:spacing w:after="0"/>
            </w:pPr>
            <w:r>
              <w:rPr>
                <w:sz w:val="15"/>
              </w:rPr>
              <w:t>"conflict core" AND "correction set" AND alternative plan</w:t>
            </w:r>
          </w:p>
        </w:tc>
      </w:tr>
      <w:tr>
        <w:tc>
          <w:tcPr>
            <w:tcW w:type="dxa" w:w="2592"/>
            <w:tcMar>
              <w:top w:w="80" w:type="dxa"/>
              <w:start w:w="80" w:type="dxa"/>
              <w:bottom w:w="80" w:type="dxa"/>
              <w:end w:w="80" w:type="dxa"/>
            </w:tcMar>
            <w:vAlign w:val="top"/>
          </w:tcPr>
          <w:p>
            <w:pPr>
              <w:spacing w:after="0"/>
            </w:pPr>
            <w:r>
              <w:rPr>
                <w:sz w:val="15"/>
              </w:rPr>
              <w:t>Promotion</w:t>
            </w:r>
          </w:p>
        </w:tc>
        <w:tc>
          <w:tcPr>
            <w:tcW w:type="dxa" w:w="7200"/>
            <w:tcMar>
              <w:top w:w="80" w:type="dxa"/>
              <w:start w:w="80" w:type="dxa"/>
              <w:bottom w:w="80" w:type="dxa"/>
              <w:end w:w="80" w:type="dxa"/>
            </w:tcMar>
            <w:vAlign w:val="top"/>
          </w:tcPr>
          <w:p>
            <w:pPr>
              <w:spacing w:after="0"/>
            </w:pPr>
            <w:r>
              <w:rPr>
                <w:sz w:val="15"/>
              </w:rPr>
              <w:t>tentative OR potential AND schedule OR plan AND promote AND explicit</w:t>
            </w:r>
          </w:p>
        </w:tc>
      </w:tr>
      <w:tr>
        <w:tc>
          <w:tcPr>
            <w:tcW w:type="dxa" w:w="2592"/>
            <w:tcMar>
              <w:top w:w="80" w:type="dxa"/>
              <w:start w:w="80" w:type="dxa"/>
              <w:bottom w:w="80" w:type="dxa"/>
              <w:end w:w="80" w:type="dxa"/>
            </w:tcMar>
            <w:vAlign w:val="top"/>
          </w:tcPr>
          <w:p>
            <w:pPr>
              <w:spacing w:after="0"/>
            </w:pPr>
            <w:r>
              <w:rPr>
                <w:sz w:val="15"/>
              </w:rPr>
              <w:t>Lineage</w:t>
            </w:r>
          </w:p>
        </w:tc>
        <w:tc>
          <w:tcPr>
            <w:tcW w:type="dxa" w:w="7200"/>
            <w:tcMar>
              <w:top w:w="80" w:type="dxa"/>
              <w:start w:w="80" w:type="dxa"/>
              <w:bottom w:w="80" w:type="dxa"/>
              <w:end w:w="80" w:type="dxa"/>
            </w:tcMar>
            <w:vAlign w:val="top"/>
          </w:tcPr>
          <w:p>
            <w:pPr>
              <w:spacing w:after="0"/>
            </w:pPr>
            <w:r>
              <w:rPr>
                <w:sz w:val="15"/>
              </w:rPr>
              <w:t>branch AND certificate AND supersed* AND replay OR rollback</w:t>
            </w:r>
          </w:p>
        </w:tc>
      </w:tr>
      <w:tr>
        <w:tc>
          <w:tcPr>
            <w:tcW w:type="dxa" w:w="2592"/>
            <w:tcMar>
              <w:top w:w="80" w:type="dxa"/>
              <w:start w:w="80" w:type="dxa"/>
              <w:bottom w:w="80" w:type="dxa"/>
              <w:end w:w="80" w:type="dxa"/>
            </w:tcMar>
            <w:vAlign w:val="top"/>
          </w:tcPr>
          <w:p>
            <w:pPr>
              <w:spacing w:after="0"/>
            </w:pPr>
            <w:r>
              <w:rPr>
                <w:sz w:val="15"/>
              </w:rPr>
              <w:t>Multi-object parent transaction</w:t>
            </w:r>
          </w:p>
        </w:tc>
        <w:tc>
          <w:tcPr>
            <w:tcW w:type="dxa" w:w="7200"/>
            <w:tcMar>
              <w:top w:w="80" w:type="dxa"/>
              <w:start w:w="80" w:type="dxa"/>
              <w:bottom w:w="80" w:type="dxa"/>
              <w:end w:w="80" w:type="dxa"/>
            </w:tcMar>
            <w:vAlign w:val="top"/>
          </w:tcPr>
          <w:p>
            <w:pPr>
              <w:spacing w:after="0"/>
            </w:pPr>
            <w:r>
              <w:rPr>
                <w:sz w:val="15"/>
              </w:rPr>
              <w:t>parent transaction AND child mutation AND plan OR schedule</w:t>
            </w:r>
          </w:p>
        </w:tc>
      </w:tr>
    </w:tbl>
    <w:p>
      <w:pPr>
        <w:spacing w:after="0"/>
      </w:pPr>
    </w:p>
    <w:p>
      <w:pPr>
        <w:pStyle w:val="Heading2"/>
        <w:keepNext/>
      </w:pPr>
      <w:r>
        <w:t>16.3 Nonpatent literature lanes</w:t>
      </w:r>
    </w:p>
    <w:p>
      <w:pPr>
        <w:pStyle w:val="ListBullet"/>
      </w:pPr>
      <w:r>
        <w:t>Assumption-based truth maintenance and dependency-directed backtracking.</w:t>
      </w:r>
    </w:p>
    <w:p>
      <w:pPr>
        <w:pStyle w:val="ListBullet"/>
      </w:pPr>
      <w:r>
        <w:t>Contingent, conformant, policy, and diverse planning.</w:t>
      </w:r>
    </w:p>
    <w:p>
      <w:pPr>
        <w:pStyle w:val="ListBullet"/>
      </w:pPr>
      <w:r>
        <w:t>Incremental plan validation and plan repair.</w:t>
      </w:r>
    </w:p>
    <w:p>
      <w:pPr>
        <w:pStyle w:val="ListBullet"/>
      </w:pPr>
      <w:r>
        <w:t>Irreducible infeasible sets and minimal correction sets.</w:t>
      </w:r>
    </w:p>
    <w:p>
      <w:pPr>
        <w:pStyle w:val="ListBullet"/>
      </w:pPr>
      <w:r>
        <w:t>Model-predictive control and receding-horizon scheduling.</w:t>
      </w:r>
    </w:p>
    <w:p>
      <w:pPr>
        <w:pStyle w:val="ListBullet"/>
      </w:pPr>
      <w:r>
        <w:t>Event sourcing, Sagas, transaction processing, and semantic undo.</w:t>
      </w:r>
    </w:p>
    <w:p>
      <w:pPr>
        <w:pStyle w:val="ListBullet"/>
      </w:pPr>
      <w:r>
        <w:t>Temporal and bitemporal provenance and decision audit.</w:t>
      </w:r>
    </w:p>
    <w:p>
      <w:pPr>
        <w:pStyle w:val="ListBullet"/>
      </w:pPr>
      <w:r>
        <w:t>Policy-as-code, defeasible norms, and authorization systems.</w:t>
      </w:r>
    </w:p>
    <w:p>
      <w:pPr>
        <w:pStyle w:val="Heading1"/>
        <w:keepNext/>
      </w:pPr>
      <w:r>
        <w:t>17. Repository-grounded feasibility</w:t>
      </w:r>
    </w:p>
    <w:p>
      <w:pPr>
        <w:pStyle w:val="Heading2"/>
        <w:keepNext/>
      </w:pPr>
      <w:r>
        <w:t>17.1 Active authority baseline</w:t>
      </w:r>
    </w:p>
    <w:p>
      <w:r>
        <w:t>The active manifest at `7dbf554876c686e62525a85d762fec04b67a4af4` declares canon revision 1 and authority state active. The Codex router requires audit, bounded pack, current task-start authorization, and exact-diff finalize. This package does not amend those rules. [C1][C10][C11]</w:t>
      </w:r>
    </w:p>
    <w:p>
      <w:pPr>
        <w:pStyle w:val="Heading2"/>
        <w:keepNext/>
      </w:pPr>
      <w:r>
        <w:t>17.2 Existing seeds and gaps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17324D"/>
            <w:tcMar>
              <w:top w:w="80" w:type="dxa"/>
              <w:start w:w="80" w:type="dxa"/>
              <w:bottom w:w="80" w:type="dxa"/>
              <w:end w:w="80" w:type="dxa"/>
            </w:tcMar>
            <w:vAlign w:val="center"/>
          </w:tcPr>
          <w:p>
            <w:pPr>
              <w:jc w:val="center"/>
            </w:pPr>
            <w:r>
              <w:rPr>
                <w:b/>
                <w:color w:val="FFFFFF"/>
                <w:sz w:val="15"/>
              </w:rPr>
              <w:t>Area</w:t>
            </w:r>
          </w:p>
        </w:tc>
        <w:tc>
          <w:tcPr>
            <w:tcW w:type="dxa" w:w="4320"/>
            <w:shd w:fill="17324D"/>
            <w:tcMar>
              <w:top w:w="80" w:type="dxa"/>
              <w:start w:w="80" w:type="dxa"/>
              <w:bottom w:w="80" w:type="dxa"/>
              <w:end w:w="80" w:type="dxa"/>
            </w:tcMar>
            <w:vAlign w:val="center"/>
          </w:tcPr>
          <w:p>
            <w:pPr>
              <w:jc w:val="center"/>
            </w:pPr>
            <w:r>
              <w:rPr>
                <w:b/>
                <w:color w:val="FFFFFF"/>
                <w:sz w:val="15"/>
              </w:rPr>
              <w:t>Seed</w:t>
            </w:r>
          </w:p>
        </w:tc>
        <w:tc>
          <w:tcPr>
            <w:tcW w:type="dxa" w:w="3744"/>
            <w:shd w:fill="17324D"/>
            <w:tcMar>
              <w:top w:w="80" w:type="dxa"/>
              <w:start w:w="80" w:type="dxa"/>
              <w:bottom w:w="80" w:type="dxa"/>
              <w:end w:w="80" w:type="dxa"/>
            </w:tcMar>
            <w:vAlign w:val="center"/>
          </w:tcPr>
          <w:p>
            <w:pPr>
              <w:jc w:val="center"/>
            </w:pPr>
            <w:r>
              <w:rPr>
                <w:b/>
                <w:color w:val="FFFFFF"/>
                <w:sz w:val="15"/>
              </w:rPr>
              <w:t>Gap</w:t>
            </w:r>
          </w:p>
        </w:tc>
      </w:tr>
      <w:tr>
        <w:tc>
          <w:tcPr>
            <w:tcW w:type="dxa" w:w="2016"/>
            <w:tcMar>
              <w:top w:w="80" w:type="dxa"/>
              <w:start w:w="80" w:type="dxa"/>
              <w:bottom w:w="80" w:type="dxa"/>
              <w:end w:w="80" w:type="dxa"/>
            </w:tcMar>
            <w:vAlign w:val="top"/>
          </w:tcPr>
          <w:p>
            <w:pPr>
              <w:spacing w:after="0"/>
            </w:pPr>
            <w:r>
              <w:rPr>
                <w:sz w:val="15"/>
              </w:rPr>
              <w:t>Goal candidate semantics</w:t>
            </w:r>
          </w:p>
        </w:tc>
        <w:tc>
          <w:tcPr>
            <w:tcW w:type="dxa" w:w="4320"/>
            <w:tcMar>
              <w:top w:w="80" w:type="dxa"/>
              <w:start w:w="80" w:type="dxa"/>
              <w:bottom w:w="80" w:type="dxa"/>
              <w:end w:w="80" w:type="dxa"/>
            </w:tcMar>
            <w:vAlign w:val="top"/>
          </w:tcPr>
          <w:p>
            <w:pPr>
              <w:spacing w:after="0"/>
            </w:pPr>
            <w:r>
              <w:rPr>
                <w:sz w:val="15"/>
              </w:rPr>
              <w:t>Stages, dependencies, assumptions, branches, risks, blocking reasons, confidence.</w:t>
            </w:r>
          </w:p>
        </w:tc>
        <w:tc>
          <w:tcPr>
            <w:tcW w:type="dxa" w:w="3744"/>
            <w:tcMar>
              <w:top w:w="80" w:type="dxa"/>
              <w:start w:w="80" w:type="dxa"/>
              <w:bottom w:w="80" w:type="dxa"/>
              <w:end w:w="80" w:type="dxa"/>
            </w:tcMar>
            <w:vAlign w:val="top"/>
          </w:tcPr>
          <w:p>
            <w:pPr>
              <w:spacing w:after="0"/>
            </w:pPr>
            <w:r>
              <w:rPr>
                <w:sz w:val="15"/>
              </w:rPr>
              <w:t>Whole-life active branch absent.</w:t>
            </w:r>
          </w:p>
        </w:tc>
      </w:tr>
      <w:tr>
        <w:tc>
          <w:tcPr>
            <w:tcW w:type="dxa" w:w="2016"/>
            <w:tcMar>
              <w:top w:w="80" w:type="dxa"/>
              <w:start w:w="80" w:type="dxa"/>
              <w:bottom w:w="80" w:type="dxa"/>
              <w:end w:w="80" w:type="dxa"/>
            </w:tcMar>
            <w:vAlign w:val="top"/>
          </w:tcPr>
          <w:p>
            <w:pPr>
              <w:spacing w:after="0"/>
            </w:pPr>
            <w:r>
              <w:rPr>
                <w:sz w:val="15"/>
              </w:rPr>
              <w:t>Time reality reflow</w:t>
            </w:r>
          </w:p>
        </w:tc>
        <w:tc>
          <w:tcPr>
            <w:tcW w:type="dxa" w:w="4320"/>
            <w:tcMar>
              <w:top w:w="80" w:type="dxa"/>
              <w:start w:w="80" w:type="dxa"/>
              <w:bottom w:w="80" w:type="dxa"/>
              <w:end w:w="80" w:type="dxa"/>
            </w:tcMar>
            <w:vAlign w:val="top"/>
          </w:tcPr>
          <w:p>
            <w:pPr>
              <w:spacing w:after="0"/>
            </w:pPr>
            <w:r>
              <w:rPr>
                <w:sz w:val="15"/>
              </w:rPr>
              <w:t>Detects overload, fragility, blocked goals, waiting items, missing next steps; proposes protect/shrink/split/move/defer/drop/recover.</w:t>
            </w:r>
          </w:p>
        </w:tc>
        <w:tc>
          <w:tcPr>
            <w:tcW w:type="dxa" w:w="3744"/>
            <w:tcMar>
              <w:top w:w="80" w:type="dxa"/>
              <w:start w:w="80" w:type="dxa"/>
              <w:bottom w:w="80" w:type="dxa"/>
              <w:end w:w="80" w:type="dxa"/>
            </w:tcMar>
            <w:vAlign w:val="top"/>
          </w:tcPr>
          <w:p>
            <w:pPr>
              <w:spacing w:after="0"/>
            </w:pPr>
            <w:r>
              <w:rPr>
                <w:sz w:val="15"/>
              </w:rPr>
              <w:t>Local heuristic interventions, not complete candidate deltas.</w:t>
            </w:r>
          </w:p>
        </w:tc>
      </w:tr>
      <w:tr>
        <w:tc>
          <w:tcPr>
            <w:tcW w:type="dxa" w:w="2016"/>
            <w:tcMar>
              <w:top w:w="80" w:type="dxa"/>
              <w:start w:w="80" w:type="dxa"/>
              <w:bottom w:w="80" w:type="dxa"/>
              <w:end w:w="80" w:type="dxa"/>
            </w:tcMar>
            <w:vAlign w:val="top"/>
          </w:tcPr>
          <w:p>
            <w:pPr>
              <w:spacing w:after="0"/>
            </w:pPr>
            <w:r>
              <w:rPr>
                <w:sz w:val="15"/>
              </w:rPr>
              <w:t>Recovery Thread</w:t>
            </w:r>
          </w:p>
        </w:tc>
        <w:tc>
          <w:tcPr>
            <w:tcW w:type="dxa" w:w="4320"/>
            <w:tcMar>
              <w:top w:w="80" w:type="dxa"/>
              <w:start w:w="80" w:type="dxa"/>
              <w:bottom w:w="80" w:type="dxa"/>
              <w:end w:w="80" w:type="dxa"/>
            </w:tcMar>
            <w:vAlign w:val="top"/>
          </w:tcPr>
          <w:p>
            <w:pPr>
              <w:spacing w:after="0"/>
            </w:pPr>
            <w:r>
              <w:rPr>
                <w:sz w:val="15"/>
              </w:rPr>
              <w:t>Last honest point, Proof, re-entry, changed conditions, smallest commitment, Receipt.</w:t>
            </w:r>
          </w:p>
        </w:tc>
        <w:tc>
          <w:tcPr>
            <w:tcW w:type="dxa" w:w="3744"/>
            <w:tcMar>
              <w:top w:w="80" w:type="dxa"/>
              <w:start w:w="80" w:type="dxa"/>
              <w:bottom w:w="80" w:type="dxa"/>
              <w:end w:w="80" w:type="dxa"/>
            </w:tcMar>
            <w:vAlign w:val="top"/>
          </w:tcPr>
          <w:p>
            <w:pPr>
              <w:spacing w:after="0"/>
            </w:pPr>
            <w:r>
              <w:rPr>
                <w:sz w:val="15"/>
              </w:rPr>
              <w:t>No branch lifecycle binding.</w:t>
            </w:r>
          </w:p>
        </w:tc>
      </w:tr>
      <w:tr>
        <w:tc>
          <w:tcPr>
            <w:tcW w:type="dxa" w:w="2016"/>
            <w:tcMar>
              <w:top w:w="80" w:type="dxa"/>
              <w:start w:w="80" w:type="dxa"/>
              <w:bottom w:w="80" w:type="dxa"/>
              <w:end w:w="80" w:type="dxa"/>
            </w:tcMar>
            <w:vAlign w:val="top"/>
          </w:tcPr>
          <w:p>
            <w:pPr>
              <w:spacing w:after="0"/>
            </w:pPr>
            <w:r>
              <w:rPr>
                <w:sz w:val="15"/>
              </w:rPr>
              <w:t>Personalization Factor Ledger</w:t>
            </w:r>
          </w:p>
        </w:tc>
        <w:tc>
          <w:tcPr>
            <w:tcW w:type="dxa" w:w="4320"/>
            <w:tcMar>
              <w:top w:w="80" w:type="dxa"/>
              <w:start w:w="80" w:type="dxa"/>
              <w:bottom w:w="80" w:type="dxa"/>
              <w:end w:w="80" w:type="dxa"/>
            </w:tcMar>
            <w:vAlign w:val="top"/>
          </w:tcPr>
          <w:p>
            <w:pPr>
              <w:spacing w:after="0"/>
            </w:pPr>
            <w:r>
              <w:rPr>
                <w:sz w:val="15"/>
              </w:rPr>
              <w:t>Freshness, permission, sensitivity, runtime weight, selected/rejected candidates, replay fingerprint.</w:t>
            </w:r>
          </w:p>
        </w:tc>
        <w:tc>
          <w:tcPr>
            <w:tcW w:type="dxa" w:w="3744"/>
            <w:tcMar>
              <w:top w:w="80" w:type="dxa"/>
              <w:start w:w="80" w:type="dxa"/>
              <w:bottom w:w="80" w:type="dxa"/>
              <w:end w:w="80" w:type="dxa"/>
            </w:tcMar>
            <w:vAlign w:val="top"/>
          </w:tcPr>
          <w:p>
            <w:pPr>
              <w:spacing w:after="0"/>
            </w:pPr>
            <w:r>
              <w:rPr>
                <w:sz w:val="15"/>
              </w:rPr>
              <w:t>No operational branch certificate.</w:t>
            </w:r>
          </w:p>
        </w:tc>
      </w:tr>
      <w:tr>
        <w:tc>
          <w:tcPr>
            <w:tcW w:type="dxa" w:w="2016"/>
            <w:tcMar>
              <w:top w:w="80" w:type="dxa"/>
              <w:start w:w="80" w:type="dxa"/>
              <w:bottom w:w="80" w:type="dxa"/>
              <w:end w:w="80" w:type="dxa"/>
            </w:tcMar>
            <w:vAlign w:val="top"/>
          </w:tcPr>
          <w:p>
            <w:pPr>
              <w:spacing w:after="0"/>
            </w:pPr>
            <w:r>
              <w:rPr>
                <w:sz w:val="15"/>
              </w:rPr>
              <w:t>Replayable Decision Trace</w:t>
            </w:r>
          </w:p>
        </w:tc>
        <w:tc>
          <w:tcPr>
            <w:tcW w:type="dxa" w:w="4320"/>
            <w:tcMar>
              <w:top w:w="80" w:type="dxa"/>
              <w:start w:w="80" w:type="dxa"/>
              <w:bottom w:w="80" w:type="dxa"/>
              <w:end w:w="80" w:type="dxa"/>
            </w:tcMar>
            <w:vAlign w:val="top"/>
          </w:tcPr>
          <w:p>
            <w:pPr>
              <w:spacing w:after="0"/>
            </w:pPr>
            <w:r>
              <w:rPr>
                <w:sz w:val="15"/>
              </w:rPr>
              <w:t>Context, source audit, contradictions, controls, uncertainty, Receipt behavior.</w:t>
            </w:r>
          </w:p>
        </w:tc>
        <w:tc>
          <w:tcPr>
            <w:tcW w:type="dxa" w:w="3744"/>
            <w:tcMar>
              <w:top w:w="80" w:type="dxa"/>
              <w:start w:w="80" w:type="dxa"/>
              <w:bottom w:w="80" w:type="dxa"/>
              <w:end w:w="80" w:type="dxa"/>
            </w:tcMar>
            <w:vAlign w:val="top"/>
          </w:tcPr>
          <w:p>
            <w:pPr>
              <w:spacing w:after="0"/>
            </w:pPr>
            <w:r>
              <w:rPr>
                <w:sz w:val="15"/>
              </w:rPr>
              <w:t>No branch-promotion decision family.</w:t>
            </w:r>
          </w:p>
        </w:tc>
      </w:tr>
      <w:tr>
        <w:tc>
          <w:tcPr>
            <w:tcW w:type="dxa" w:w="2016"/>
            <w:tcMar>
              <w:top w:w="80" w:type="dxa"/>
              <w:start w:w="80" w:type="dxa"/>
              <w:bottom w:w="80" w:type="dxa"/>
              <w:end w:w="80" w:type="dxa"/>
            </w:tcMar>
            <w:vAlign w:val="top"/>
          </w:tcPr>
          <w:p>
            <w:pPr>
              <w:spacing w:after="0"/>
            </w:pPr>
            <w:r>
              <w:rPr>
                <w:sz w:val="15"/>
              </w:rPr>
              <w:t>Private Life Runtime</w:t>
            </w:r>
          </w:p>
        </w:tc>
        <w:tc>
          <w:tcPr>
            <w:tcW w:type="dxa" w:w="4320"/>
            <w:tcMar>
              <w:top w:w="80" w:type="dxa"/>
              <w:start w:w="80" w:type="dxa"/>
              <w:bottom w:w="80" w:type="dxa"/>
              <w:end w:w="80" w:type="dxa"/>
            </w:tcMar>
            <w:vAlign w:val="top"/>
          </w:tcPr>
          <w:p>
            <w:pPr>
              <w:spacing w:after="0"/>
            </w:pPr>
            <w:r>
              <w:rPr>
                <w:sz w:val="15"/>
              </w:rPr>
              <w:t>Deterministic simulation, typed Command, atomic commit, Receipt, replay, rollback, external-after-local.</w:t>
            </w:r>
          </w:p>
        </w:tc>
        <w:tc>
          <w:tcPr>
            <w:tcW w:type="dxa" w:w="3744"/>
            <w:tcMar>
              <w:top w:w="80" w:type="dxa"/>
              <w:start w:w="80" w:type="dxa"/>
              <w:bottom w:w="80" w:type="dxa"/>
              <w:end w:w="80" w:type="dxa"/>
            </w:tcMar>
            <w:vAlign w:val="top"/>
          </w:tcPr>
          <w:p>
            <w:pPr>
              <w:spacing w:after="0"/>
            </w:pPr>
            <w:r>
              <w:rPr>
                <w:sz w:val="15"/>
              </w:rPr>
              <w:t>No SelectLifeBranch command or promotion event family.</w:t>
            </w:r>
          </w:p>
        </w:tc>
      </w:tr>
      <w:tr>
        <w:tc>
          <w:tcPr>
            <w:tcW w:type="dxa" w:w="2016"/>
            <w:tcMar>
              <w:top w:w="80" w:type="dxa"/>
              <w:start w:w="80" w:type="dxa"/>
              <w:bottom w:w="80" w:type="dxa"/>
              <w:end w:w="80" w:type="dxa"/>
            </w:tcMar>
            <w:vAlign w:val="top"/>
          </w:tcPr>
          <w:p>
            <w:pPr>
              <w:spacing w:after="0"/>
            </w:pPr>
            <w:r>
              <w:rPr>
                <w:sz w:val="15"/>
              </w:rPr>
              <w:t>Scheduling and Capacity</w:t>
            </w:r>
          </w:p>
        </w:tc>
        <w:tc>
          <w:tcPr>
            <w:tcW w:type="dxa" w:w="4320"/>
            <w:tcMar>
              <w:top w:w="80" w:type="dxa"/>
              <w:start w:w="80" w:type="dxa"/>
              <w:bottom w:w="80" w:type="dxa"/>
              <w:end w:w="80" w:type="dxa"/>
            </w:tcMar>
            <w:vAlign w:val="top"/>
          </w:tcPr>
          <w:p>
            <w:pPr>
              <w:spacing w:after="0"/>
            </w:pPr>
            <w:r>
              <w:rPr>
                <w:sz w:val="15"/>
              </w:rPr>
              <w:t>Fit, reflow, infeasibility, deterministic change sets, History, Undo.</w:t>
            </w:r>
          </w:p>
        </w:tc>
        <w:tc>
          <w:tcPr>
            <w:tcW w:type="dxa" w:w="3744"/>
            <w:tcMar>
              <w:top w:w="80" w:type="dxa"/>
              <w:start w:w="80" w:type="dxa"/>
              <w:bottom w:w="80" w:type="dxa"/>
              <w:end w:w="80" w:type="dxa"/>
            </w:tcMar>
            <w:vAlign w:val="top"/>
          </w:tcPr>
          <w:p>
            <w:pPr>
              <w:spacing w:after="0"/>
            </w:pPr>
            <w:r>
              <w:rPr>
                <w:sz w:val="15"/>
              </w:rPr>
              <w:t>No conflict-core correction-set branch generation.</w:t>
            </w:r>
          </w:p>
        </w:tc>
      </w:tr>
    </w:tbl>
    <w:p>
      <w:pPr>
        <w:spacing w:after="0"/>
      </w:pPr>
    </w:p>
    <w:p>
      <w:pPr>
        <w:pStyle w:val="Heading2"/>
        <w:keepNext/>
      </w:pPr>
      <w:r>
        <w:t>17.3 Candidate source mapping</w:t>
      </w:r>
    </w:p>
    <w:p>
      <w:pPr>
        <w:pStyle w:val="CEBRCode"/>
        <w:keepLines w:val="0"/>
      </w:pPr>
      <w:r>
        <w:t>Core/LocalRuntimeOS/</w:t>
        <w:br/>
      </w:r>
      <w:r>
        <w:t xml:space="preserve">  PrivateLifeRuntimeKernel/Branching/  # value types and lineage</w:t>
        <w:br/>
      </w:r>
      <w:r>
        <w:t xml:space="preserve">  Planning/Branching/                  # certificate, dependencies, corrections</w:t>
        <w:br/>
      </w:r>
      <w:r>
        <w:t xml:space="preserve">  Commands/                            # SelectLifeBranch command</w:t>
        <w:br/>
      </w:r>
      <w:r>
        <w:t xml:space="preserve">  Transactions/Branching/              # parent promotion and rollback</w:t>
        <w:br/>
      </w:r>
      <w:r>
        <w:t xml:space="preserve">  EventJournal/Branching/              # approved event family</w:t>
        <w:br/>
      </w:r>
      <w:r>
        <w:t xml:space="preserve">  Projections/Branching/               # active/comparison projections</w:t>
        <w:br/>
      </w:r>
      <w:r>
        <w:t xml:space="preserve">  Inspection/Branching/                # explanation and decision trace</w:t>
        <w:br/>
      </w:r>
      <w:r>
        <w:t>Surfaces/Time/                          # branch comparison</w:t>
        <w:br/>
      </w:r>
      <w:r>
        <w:t>Surfaces/Today/                         # active branch consequence</w:t>
        <w:br/>
      </w:r>
      <w:r>
        <w:t>Surfaces/You/                           # policy inspection, if routed by canon</w:t>
        <w:br/>
      </w:r>
      <w:r>
        <w:t>Quality/                                # scenarios and proof</w:t>
      </w:r>
    </w:p>
    <w:p>
      <w:r>
        <w:t>These are candidate locations only. A current bounded canon pack controls actual file ownership and whether a new subdirectory is acceptable.</w:t>
      </w:r>
    </w:p>
    <w:p>
      <w:pPr>
        <w:pStyle w:val="Heading1"/>
        <w:keepNext/>
      </w:pPr>
      <w:r>
        <w:t>18. Patent-strength demonstrator</w:t>
      </w:r>
    </w:p>
    <w:p>
      <w:pPr>
        <w:pStyle w:val="Heading2"/>
        <w:keepNext/>
      </w:pPr>
      <w:r>
        <w:t>18.1 Bounded scope</w:t>
      </w:r>
    </w:p>
    <w:p>
      <w:pPr>
        <w:pStyle w:val="ListBullet"/>
      </w:pPr>
      <w:r>
        <w:t>One local user, one iPhone, one local database.</w:t>
      </w:r>
    </w:p>
    <w:p>
      <w:pPr>
        <w:pStyle w:val="ListBullet"/>
      </w:pPr>
      <w:r>
        <w:t>One active branch, two latent contingencies, and at most three materialized alternatives.</w:t>
      </w:r>
    </w:p>
    <w:p>
      <w:pPr>
        <w:pStyle w:val="ListBullet"/>
      </w:pPr>
      <w:r>
        <w:t>Four-to-eight-week horizon.</w:t>
      </w:r>
    </w:p>
    <w:p>
      <w:pPr>
        <w:pStyle w:val="ListBullet"/>
      </w:pPr>
      <w:r>
        <w:t>Existing Goal, Goal Path, Step, Schedule Placement, Recovery Thread, Receipt, and History identities.</w:t>
      </w:r>
    </w:p>
    <w:p>
      <w:pPr>
        <w:pStyle w:val="ListBullet"/>
      </w:pPr>
      <w:r>
        <w:t>Three personal policies, three operating conditions, one shared proposal fixture, one external-effect fixture.</w:t>
      </w:r>
    </w:p>
    <w:p>
      <w:pPr>
        <w:pStyle w:val="Heading2"/>
        <w:keepNext/>
      </w:pPr>
      <w:r>
        <w:t>18.2 Test sequence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7324D"/>
            <w:tcMar>
              <w:top w:w="80" w:type="dxa"/>
              <w:start w:w="80" w:type="dxa"/>
              <w:bottom w:w="80" w:type="dxa"/>
              <w:end w:w="80" w:type="dxa"/>
            </w:tcMar>
            <w:vAlign w:val="center"/>
          </w:tcPr>
          <w:p>
            <w:pPr>
              <w:jc w:val="center"/>
            </w:pPr>
            <w:r>
              <w:rPr>
                <w:b/>
                <w:color w:val="FFFFFF"/>
                <w:sz w:val="16"/>
              </w:rPr>
              <w:t>Step</w:t>
            </w:r>
          </w:p>
        </w:tc>
        <w:tc>
          <w:tcPr>
            <w:tcW w:type="dxa" w:w="7632"/>
            <w:shd w:fill="17324D"/>
            <w:tcMar>
              <w:top w:w="80" w:type="dxa"/>
              <w:start w:w="80" w:type="dxa"/>
              <w:bottom w:w="80" w:type="dxa"/>
              <w:end w:w="80" w:type="dxa"/>
            </w:tcMar>
            <w:vAlign w:val="center"/>
          </w:tcPr>
          <w:p>
            <w:pPr>
              <w:jc w:val="center"/>
            </w:pPr>
            <w:r>
              <w:rPr>
                <w:b/>
                <w:color w:val="FFFFFF"/>
                <w:sz w:val="16"/>
              </w:rPr>
              <w:t>Required proof</w:t>
            </w:r>
          </w:p>
        </w:tc>
      </w:tr>
      <w:tr>
        <w:tc>
          <w:tcPr>
            <w:tcW w:type="dxa" w:w="2160"/>
            <w:tcMar>
              <w:top w:w="80" w:type="dxa"/>
              <w:start w:w="80" w:type="dxa"/>
              <w:bottom w:w="80" w:type="dxa"/>
              <w:end w:w="80" w:type="dxa"/>
            </w:tcMar>
            <w:vAlign w:val="top"/>
          </w:tcPr>
          <w:p>
            <w:pPr>
              <w:spacing w:after="0"/>
            </w:pPr>
            <w:r>
              <w:rPr>
                <w:sz w:val="16"/>
              </w:rPr>
              <w:t>1. Baseline</w:t>
            </w:r>
          </w:p>
        </w:tc>
        <w:tc>
          <w:tcPr>
            <w:tcW w:type="dxa" w:w="7632"/>
            <w:tcMar>
              <w:top w:w="80" w:type="dxa"/>
              <w:start w:w="80" w:type="dxa"/>
              <w:bottom w:w="80" w:type="dxa"/>
              <w:end w:w="80" w:type="dxa"/>
            </w:tcMar>
            <w:vAlign w:val="top"/>
          </w:tcPr>
          <w:p>
            <w:pPr>
              <w:spacing w:after="0"/>
            </w:pPr>
            <w:r>
              <w:rPr>
                <w:sz w:val="16"/>
              </w:rPr>
              <w:t>Build active branch certificate from current canonical fixture.</w:t>
            </w:r>
          </w:p>
        </w:tc>
      </w:tr>
      <w:tr>
        <w:tc>
          <w:tcPr>
            <w:tcW w:type="dxa" w:w="2160"/>
            <w:tcMar>
              <w:top w:w="80" w:type="dxa"/>
              <w:start w:w="80" w:type="dxa"/>
              <w:bottom w:w="80" w:type="dxa"/>
              <w:end w:w="80" w:type="dxa"/>
            </w:tcMar>
            <w:vAlign w:val="top"/>
          </w:tcPr>
          <w:p>
            <w:pPr>
              <w:spacing w:after="0"/>
            </w:pPr>
            <w:r>
              <w:rPr>
                <w:sz w:val="16"/>
              </w:rPr>
              <w:t>2. Unrelated revision</w:t>
            </w:r>
          </w:p>
        </w:tc>
        <w:tc>
          <w:tcPr>
            <w:tcW w:type="dxa" w:w="7632"/>
            <w:tcMar>
              <w:top w:w="80" w:type="dxa"/>
              <w:start w:w="80" w:type="dxa"/>
              <w:bottom w:w="80" w:type="dxa"/>
              <w:end w:w="80" w:type="dxa"/>
            </w:tcMar>
            <w:vAlign w:val="top"/>
          </w:tcPr>
          <w:p>
            <w:pPr>
              <w:spacing w:after="0"/>
            </w:pPr>
            <w:r>
              <w:rPr>
                <w:sz w:val="16"/>
              </w:rPr>
              <w:t>Change an unreferenced fact; prove zero branch impact.</w:t>
            </w:r>
          </w:p>
        </w:tc>
      </w:tr>
      <w:tr>
        <w:tc>
          <w:tcPr>
            <w:tcW w:type="dxa" w:w="2160"/>
            <w:tcMar>
              <w:top w:w="80" w:type="dxa"/>
              <w:start w:w="80" w:type="dxa"/>
              <w:bottom w:w="80" w:type="dxa"/>
              <w:end w:w="80" w:type="dxa"/>
            </w:tcMar>
            <w:vAlign w:val="top"/>
          </w:tcPr>
          <w:p>
            <w:pPr>
              <w:spacing w:after="0"/>
            </w:pPr>
            <w:r>
              <w:rPr>
                <w:sz w:val="16"/>
              </w:rPr>
              <w:t>3. Dependent revision</w:t>
            </w:r>
          </w:p>
        </w:tc>
        <w:tc>
          <w:tcPr>
            <w:tcW w:type="dxa" w:w="7632"/>
            <w:tcMar>
              <w:top w:w="80" w:type="dxa"/>
              <w:start w:w="80" w:type="dxa"/>
              <w:bottom w:w="80" w:type="dxa"/>
              <w:end w:w="80" w:type="dxa"/>
            </w:tcMar>
            <w:vAlign w:val="top"/>
          </w:tcPr>
          <w:p>
            <w:pPr>
              <w:spacing w:after="0"/>
            </w:pPr>
            <w:r>
              <w:rPr>
                <w:sz w:val="16"/>
              </w:rPr>
              <w:t>Remove childcare; prove bounded impact cone.</w:t>
            </w:r>
          </w:p>
        </w:tc>
      </w:tr>
      <w:tr>
        <w:tc>
          <w:tcPr>
            <w:tcW w:type="dxa" w:w="2160"/>
            <w:tcMar>
              <w:top w:w="80" w:type="dxa"/>
              <w:start w:w="80" w:type="dxa"/>
              <w:bottom w:w="80" w:type="dxa"/>
              <w:end w:w="80" w:type="dxa"/>
            </w:tcMar>
            <w:vAlign w:val="top"/>
          </w:tcPr>
          <w:p>
            <w:pPr>
              <w:spacing w:after="0"/>
            </w:pPr>
            <w:r>
              <w:rPr>
                <w:sz w:val="16"/>
              </w:rPr>
              <w:t>4. Conflict core</w:t>
            </w:r>
          </w:p>
        </w:tc>
        <w:tc>
          <w:tcPr>
            <w:tcW w:type="dxa" w:w="7632"/>
            <w:tcMar>
              <w:top w:w="80" w:type="dxa"/>
              <w:start w:w="80" w:type="dxa"/>
              <w:bottom w:w="80" w:type="dxa"/>
              <w:end w:w="80" w:type="dxa"/>
            </w:tcMar>
            <w:vAlign w:val="top"/>
          </w:tcPr>
          <w:p>
            <w:pPr>
              <w:spacing w:after="0"/>
            </w:pPr>
            <w:r>
              <w:rPr>
                <w:sz w:val="16"/>
              </w:rPr>
              <w:t>Identify conditions that cannot jointly fit.</w:t>
            </w:r>
          </w:p>
        </w:tc>
      </w:tr>
      <w:tr>
        <w:tc>
          <w:tcPr>
            <w:tcW w:type="dxa" w:w="2160"/>
            <w:tcMar>
              <w:top w:w="80" w:type="dxa"/>
              <w:start w:w="80" w:type="dxa"/>
              <w:bottom w:w="80" w:type="dxa"/>
              <w:end w:w="80" w:type="dxa"/>
            </w:tcMar>
            <w:vAlign w:val="top"/>
          </w:tcPr>
          <w:p>
            <w:pPr>
              <w:spacing w:after="0"/>
            </w:pPr>
            <w:r>
              <w:rPr>
                <w:sz w:val="16"/>
              </w:rPr>
              <w:t>5. Candidate materialization</w:t>
            </w:r>
          </w:p>
        </w:tc>
        <w:tc>
          <w:tcPr>
            <w:tcW w:type="dxa" w:w="7632"/>
            <w:tcMar>
              <w:top w:w="80" w:type="dxa"/>
              <w:start w:w="80" w:type="dxa"/>
              <w:bottom w:w="80" w:type="dxa"/>
              <w:end w:w="80" w:type="dxa"/>
            </w:tcMar>
            <w:vAlign w:val="top"/>
          </w:tcPr>
          <w:p>
            <w:pPr>
              <w:spacing w:after="0"/>
            </w:pPr>
            <w:r>
              <w:rPr>
                <w:sz w:val="16"/>
              </w:rPr>
              <w:t>Generate correction-derived branches and suppress timeslot duplicates.</w:t>
            </w:r>
          </w:p>
        </w:tc>
      </w:tr>
      <w:tr>
        <w:tc>
          <w:tcPr>
            <w:tcW w:type="dxa" w:w="2160"/>
            <w:tcMar>
              <w:top w:w="80" w:type="dxa"/>
              <w:start w:w="80" w:type="dxa"/>
              <w:bottom w:w="80" w:type="dxa"/>
              <w:end w:w="80" w:type="dxa"/>
            </w:tcMar>
            <w:vAlign w:val="top"/>
          </w:tcPr>
          <w:p>
            <w:pPr>
              <w:spacing w:after="0"/>
            </w:pPr>
            <w:r>
              <w:rPr>
                <w:sz w:val="16"/>
              </w:rPr>
              <w:t>6. Policy waiver</w:t>
            </w:r>
          </w:p>
        </w:tc>
        <w:tc>
          <w:tcPr>
            <w:tcW w:type="dxa" w:w="7632"/>
            <w:tcMar>
              <w:top w:w="80" w:type="dxa"/>
              <w:start w:w="80" w:type="dxa"/>
              <w:bottom w:w="80" w:type="dxa"/>
              <w:end w:w="80" w:type="dxa"/>
            </w:tcMar>
            <w:vAlign w:val="top"/>
          </w:tcPr>
          <w:p>
            <w:pPr>
              <w:spacing w:after="0"/>
            </w:pPr>
            <w:r>
              <w:rPr>
                <w:sz w:val="16"/>
              </w:rPr>
              <w:t>Recompile certificates under a one-time expiring waiver.</w:t>
            </w:r>
          </w:p>
        </w:tc>
      </w:tr>
      <w:tr>
        <w:tc>
          <w:tcPr>
            <w:tcW w:type="dxa" w:w="2160"/>
            <w:tcMar>
              <w:top w:w="80" w:type="dxa"/>
              <w:start w:w="80" w:type="dxa"/>
              <w:bottom w:w="80" w:type="dxa"/>
              <w:end w:w="80" w:type="dxa"/>
            </w:tcMar>
            <w:vAlign w:val="top"/>
          </w:tcPr>
          <w:p>
            <w:pPr>
              <w:spacing w:after="0"/>
            </w:pPr>
            <w:r>
              <w:rPr>
                <w:sz w:val="16"/>
              </w:rPr>
              <w:t>7. Promotion</w:t>
            </w:r>
          </w:p>
        </w:tc>
        <w:tc>
          <w:tcPr>
            <w:tcW w:type="dxa" w:w="7632"/>
            <w:tcMar>
              <w:top w:w="80" w:type="dxa"/>
              <w:start w:w="80" w:type="dxa"/>
              <w:bottom w:w="80" w:type="dxa"/>
              <w:end w:w="80" w:type="dxa"/>
            </w:tcMar>
            <w:vAlign w:val="top"/>
          </w:tcPr>
          <w:p>
            <w:pPr>
              <w:spacing w:after="0"/>
            </w:pPr>
            <w:r>
              <w:rPr>
                <w:sz w:val="16"/>
              </w:rPr>
              <w:t>Commit one parent branch transaction; retain shared proposal and external intent separately.</w:t>
            </w:r>
          </w:p>
        </w:tc>
      </w:tr>
      <w:tr>
        <w:tc>
          <w:tcPr>
            <w:tcW w:type="dxa" w:w="2160"/>
            <w:tcMar>
              <w:top w:w="80" w:type="dxa"/>
              <w:start w:w="80" w:type="dxa"/>
              <w:bottom w:w="80" w:type="dxa"/>
              <w:end w:w="80" w:type="dxa"/>
            </w:tcMar>
            <w:vAlign w:val="top"/>
          </w:tcPr>
          <w:p>
            <w:pPr>
              <w:spacing w:after="0"/>
            </w:pPr>
            <w:r>
              <w:rPr>
                <w:sz w:val="16"/>
              </w:rPr>
              <w:t>8. Replay</w:t>
            </w:r>
          </w:p>
        </w:tc>
        <w:tc>
          <w:tcPr>
            <w:tcW w:type="dxa" w:w="7632"/>
            <w:tcMar>
              <w:top w:w="80" w:type="dxa"/>
              <w:start w:w="80" w:type="dxa"/>
              <w:bottom w:w="80" w:type="dxa"/>
              <w:end w:w="80" w:type="dxa"/>
            </w:tcMar>
            <w:vAlign w:val="top"/>
          </w:tcPr>
          <w:p>
            <w:pPr>
              <w:spacing w:after="0"/>
            </w:pPr>
            <w:r>
              <w:rPr>
                <w:sz w:val="16"/>
              </w:rPr>
              <w:t>Rebuild identical state from durable decision inputs and seed.</w:t>
            </w:r>
          </w:p>
        </w:tc>
      </w:tr>
      <w:tr>
        <w:tc>
          <w:tcPr>
            <w:tcW w:type="dxa" w:w="2160"/>
            <w:tcMar>
              <w:top w:w="80" w:type="dxa"/>
              <w:start w:w="80" w:type="dxa"/>
              <w:bottom w:w="80" w:type="dxa"/>
              <w:end w:w="80" w:type="dxa"/>
            </w:tcMar>
            <w:vAlign w:val="top"/>
          </w:tcPr>
          <w:p>
            <w:pPr>
              <w:spacing w:after="0"/>
            </w:pPr>
            <w:r>
              <w:rPr>
                <w:sz w:val="16"/>
              </w:rPr>
              <w:t>9. External failure</w:t>
            </w:r>
          </w:p>
        </w:tc>
        <w:tc>
          <w:tcPr>
            <w:tcW w:type="dxa" w:w="7632"/>
            <w:tcMar>
              <w:top w:w="80" w:type="dxa"/>
              <w:start w:w="80" w:type="dxa"/>
              <w:bottom w:w="80" w:type="dxa"/>
              <w:end w:w="80" w:type="dxa"/>
            </w:tcMar>
            <w:vAlign w:val="top"/>
          </w:tcPr>
          <w:p>
            <w:pPr>
              <w:spacing w:after="0"/>
            </w:pPr>
            <w:r>
              <w:rPr>
                <w:sz w:val="16"/>
              </w:rPr>
              <w:t>Preserve local branch and reconcile.</w:t>
            </w:r>
          </w:p>
        </w:tc>
      </w:tr>
      <w:tr>
        <w:tc>
          <w:tcPr>
            <w:tcW w:type="dxa" w:w="2160"/>
            <w:tcMar>
              <w:top w:w="80" w:type="dxa"/>
              <w:start w:w="80" w:type="dxa"/>
              <w:bottom w:w="80" w:type="dxa"/>
              <w:end w:w="80" w:type="dxa"/>
            </w:tcMar>
            <w:vAlign w:val="top"/>
          </w:tcPr>
          <w:p>
            <w:pPr>
              <w:spacing w:after="0"/>
            </w:pPr>
            <w:r>
              <w:rPr>
                <w:sz w:val="16"/>
              </w:rPr>
              <w:t>10. Rollback</w:t>
            </w:r>
          </w:p>
        </w:tc>
        <w:tc>
          <w:tcPr>
            <w:tcW w:type="dxa" w:w="7632"/>
            <w:tcMar>
              <w:top w:w="80" w:type="dxa"/>
              <w:start w:w="80" w:type="dxa"/>
              <w:bottom w:w="80" w:type="dxa"/>
              <w:end w:w="80" w:type="dxa"/>
            </w:tcMar>
            <w:vAlign w:val="top"/>
          </w:tcPr>
          <w:p>
            <w:pPr>
              <w:spacing w:after="0"/>
            </w:pPr>
            <w:r>
              <w:rPr>
                <w:sz w:val="16"/>
              </w:rPr>
              <w:t>Restore or compensate through a new canonical mutation.</w:t>
            </w:r>
          </w:p>
        </w:tc>
      </w:tr>
    </w:tbl>
    <w:p>
      <w:pPr>
        <w:spacing w:after="0"/>
      </w:pPr>
    </w:p>
    <w:p>
      <w:pPr>
        <w:pStyle w:val="Heading2"/>
        <w:keepNext/>
      </w:pPr>
      <w:r>
        <w:t>18.3 Baselines</w:t>
      </w:r>
    </w:p>
    <w:p>
      <w:pPr>
        <w:pStyle w:val="ListBullet"/>
      </w:pPr>
      <w:r>
        <w:t>Full replan after every revision.</w:t>
      </w:r>
    </w:p>
    <w:p>
      <w:pPr>
        <w:pStyle w:val="ListBullet"/>
      </w:pPr>
      <w:r>
        <w:t>Static rule engine plus one optimized schedule.</w:t>
      </w:r>
    </w:p>
    <w:p>
      <w:pPr>
        <w:pStyle w:val="ListBullet"/>
      </w:pPr>
      <w:r>
        <w:t>Three disposable model-generated alternatives.</w:t>
      </w:r>
    </w:p>
    <w:p>
      <w:pPr>
        <w:pStyle w:val="ListBullet"/>
      </w:pPr>
      <w:r>
        <w:t>Independent commands without a parent promotion transaction.</w:t>
      </w:r>
    </w:p>
    <w:p>
      <w:pPr>
        <w:pStyle w:val="ListBullet"/>
      </w:pPr>
      <w:r>
        <w:t>Several fully persisted alternate graph copies.</w:t>
      </w:r>
    </w:p>
    <w:p>
      <w:pPr>
        <w:pStyle w:val="Heading1"/>
        <w:keepNext/>
      </w:pPr>
      <w:r>
        <w:t>19. Open questions and ruthless kill criteria</w:t>
      </w:r>
    </w:p>
    <w:p>
      <w:pPr>
        <w:pStyle w:val="Heading2"/>
        <w:keepNext/>
      </w:pPr>
      <w:r>
        <w:t>19.1 Open technical questions</w:t>
      </w:r>
    </w:p>
    <w:p>
      <w:pPr>
        <w:pStyle w:val="ListBullet"/>
      </w:pPr>
      <w:r>
        <w:t>Is the active branch truly distinct technical state, or merely a label for current canonical state?</w:t>
      </w:r>
    </w:p>
    <w:p>
      <w:pPr>
        <w:pStyle w:val="ListBullet"/>
      </w:pPr>
      <w:r>
        <w:t>Which certificate elements must persist versus remain derived?</w:t>
      </w:r>
    </w:p>
    <w:p>
      <w:pPr>
        <w:pStyle w:val="ListBullet"/>
      </w:pPr>
      <w:r>
        <w:t>Can the dependency index remain narrow and typed without becoming a universal ontology?</w:t>
      </w:r>
    </w:p>
    <w:p>
      <w:pPr>
        <w:pStyle w:val="ListBullet"/>
      </w:pPr>
      <w:r>
        <w:t>Does incremental recertification materially outperform full rebuilding at product scale?</w:t>
      </w:r>
    </w:p>
    <w:p>
      <w:pPr>
        <w:pStyle w:val="ListBullet"/>
      </w:pPr>
      <w:r>
        <w:t>Can correction-set generation remain bounded and understandable without arbitrary weights?</w:t>
      </w:r>
    </w:p>
    <w:p>
      <w:pPr>
        <w:pStyle w:val="ListBullet"/>
      </w:pPr>
      <w:r>
        <w:t>What exact effect resolution is required before active-local becomes active?</w:t>
      </w:r>
    </w:p>
    <w:p>
      <w:pPr>
        <w:pStyle w:val="ListBullet"/>
      </w:pPr>
      <w:r>
        <w:t>How should branch expiration and candidate interruption recovery work?</w:t>
      </w:r>
    </w:p>
    <w:p>
      <w:pPr>
        <w:pStyle w:val="ListBullet"/>
      </w:pPr>
      <w:r>
        <w:t>What is the smallest law/policy subset needed to demonstrate the branch certificate?</w:t>
      </w:r>
    </w:p>
    <w:p>
      <w:pPr>
        <w:pStyle w:val="Heading2"/>
        <w:keepNext/>
      </w:pPr>
      <w:r>
        <w:t>19.2 Kill patent program if</w:t>
      </w:r>
    </w:p>
    <w:p>
      <w:pPr>
        <w:pStyle w:val="ListNumber"/>
      </w:pPr>
      <w:r>
        <w:t>The active branch adds no state beyond existing canonical state.</w:t>
      </w:r>
    </w:p>
    <w:p>
      <w:pPr>
        <w:pStyle w:val="ListNumber"/>
      </w:pPr>
      <w:r>
        <w:t>The certificate is post-hoc explanation and can be removed without changing runtime behavior.</w:t>
      </w:r>
    </w:p>
    <w:p>
      <w:pPr>
        <w:pStyle w:val="ListNumber"/>
      </w:pPr>
      <w:r>
        <w:t>Full replanning provides equivalent stability and cost.</w:t>
      </w:r>
    </w:p>
    <w:p>
      <w:pPr>
        <w:pStyle w:val="ListNumber"/>
      </w:pPr>
      <w:r>
        <w:t>Latent contingencies provide no benefit over ordinary on-demand alternatives.</w:t>
      </w:r>
    </w:p>
    <w:p>
      <w:pPr>
        <w:pStyle w:val="ListNumber"/>
      </w:pPr>
      <w:r>
        <w:t>Correction-set diversity is equivalent to known diverse planning.</w:t>
      </w:r>
    </w:p>
    <w:p>
      <w:pPr>
        <w:pStyle w:val="ListNumber"/>
      </w:pPr>
      <w:r>
        <w:t>Parent promotion is merely a batch of ordinary commands with no added consistency, replay, or compensation property.</w:t>
      </w:r>
    </w:p>
    <w:p>
      <w:pPr>
        <w:pStyle w:val="ListNumber"/>
      </w:pPr>
      <w:r>
        <w:t>A complete prior-art reference or obvious combination discloses the ordered mechanism.</w:t>
      </w:r>
    </w:p>
    <w:p>
      <w:pPr>
        <w:pStyle w:val="ListNumber"/>
      </w:pPr>
      <w:r>
        <w:t>The only improvement is user-facing explanation rather than computer/runtime behavior.</w:t>
      </w:r>
    </w:p>
    <w:p>
      <w:pPr>
        <w:pStyle w:val="ListNumber"/>
      </w:pPr>
      <w:r>
        <w:t>The design requires a duplicate source of truth or replacement runtime.</w:t>
      </w:r>
    </w:p>
    <w:p>
      <w:pPr>
        <w:pStyle w:val="Heading2"/>
        <w:keepNext/>
      </w:pPr>
      <w:r>
        <w:t>19.3 Kill product mechanism if</w:t>
      </w:r>
    </w:p>
    <w:p>
      <w:pPr>
        <w:pStyle w:val="ListBullet"/>
      </w:pPr>
      <w:r>
        <w:t>Users understand disposable alternatives equally well.</w:t>
      </w:r>
    </w:p>
    <w:p>
      <w:pPr>
        <w:pStyle w:val="ListBullet"/>
      </w:pPr>
      <w:r>
        <w:t>Branch comparison creates paralysis or administrative burden.</w:t>
      </w:r>
    </w:p>
    <w:p>
      <w:pPr>
        <w:pStyle w:val="ListBullet"/>
      </w:pPr>
      <w:r>
        <w:t>The system changes too often or produces false fragility warnings.</w:t>
      </w:r>
    </w:p>
    <w:p>
      <w:pPr>
        <w:pStyle w:val="ListBullet"/>
      </w:pPr>
      <w:r>
        <w:t>Branch selection still requires substantial manual repair.</w:t>
      </w:r>
    </w:p>
    <w:p>
      <w:pPr>
        <w:pStyle w:val="ListBullet"/>
      </w:pPr>
      <w:r>
        <w:t>The spectacle depends on animation rather than coherent state transformation.</w:t>
      </w:r>
    </w:p>
    <w:p>
      <w:pPr>
        <w:pStyle w:val="Heading1"/>
        <w:keepNext/>
      </w:pPr>
      <w:r>
        <w:t>20. Counsel handoff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17324D"/>
            <w:tcMar>
              <w:top w:w="80" w:type="dxa"/>
              <w:start w:w="80" w:type="dxa"/>
              <w:bottom w:w="80" w:type="dxa"/>
              <w:end w:w="80" w:type="dxa"/>
            </w:tcMar>
            <w:vAlign w:val="center"/>
          </w:tcPr>
          <w:p>
            <w:pPr>
              <w:jc w:val="center"/>
            </w:pPr>
            <w:r>
              <w:rPr>
                <w:b/>
                <w:color w:val="FFFFFF"/>
                <w:sz w:val="16"/>
              </w:rPr>
              <w:t>Counsel item</w:t>
            </w:r>
          </w:p>
        </w:tc>
        <w:tc>
          <w:tcPr>
            <w:tcW w:type="dxa" w:w="7632"/>
            <w:shd w:fill="17324D"/>
            <w:tcMar>
              <w:top w:w="80" w:type="dxa"/>
              <w:start w:w="80" w:type="dxa"/>
              <w:bottom w:w="80" w:type="dxa"/>
              <w:end w:w="80" w:type="dxa"/>
            </w:tcMar>
            <w:vAlign w:val="center"/>
          </w:tcPr>
          <w:p>
            <w:pPr>
              <w:jc w:val="center"/>
            </w:pPr>
            <w:r>
              <w:rPr>
                <w:b/>
                <w:color w:val="FFFFFF"/>
                <w:sz w:val="16"/>
              </w:rPr>
              <w:t>Required material</w:t>
            </w:r>
          </w:p>
        </w:tc>
      </w:tr>
      <w:tr>
        <w:tc>
          <w:tcPr>
            <w:tcW w:type="dxa" w:w="2160"/>
            <w:tcMar>
              <w:top w:w="80" w:type="dxa"/>
              <w:start w:w="80" w:type="dxa"/>
              <w:bottom w:w="80" w:type="dxa"/>
              <w:end w:w="80" w:type="dxa"/>
            </w:tcMar>
            <w:vAlign w:val="top"/>
          </w:tcPr>
          <w:p>
            <w:pPr>
              <w:spacing w:after="0"/>
            </w:pPr>
            <w:r>
              <w:rPr>
                <w:sz w:val="16"/>
              </w:rPr>
              <w:t>Inventorship</w:t>
            </w:r>
          </w:p>
        </w:tc>
        <w:tc>
          <w:tcPr>
            <w:tcW w:type="dxa" w:w="7632"/>
            <w:tcMar>
              <w:top w:w="80" w:type="dxa"/>
              <w:start w:w="80" w:type="dxa"/>
              <w:bottom w:w="80" w:type="dxa"/>
              <w:end w:w="80" w:type="dxa"/>
            </w:tcMar>
            <w:vAlign w:val="top"/>
          </w:tcPr>
          <w:p>
            <w:pPr>
              <w:spacing w:after="0"/>
            </w:pPr>
            <w:r>
              <w:rPr>
                <w:sz w:val="16"/>
              </w:rPr>
              <w:t>Identify every person contributing to the claimed branch, certificate, invalidation, correction, and promotion concepts.</w:t>
            </w:r>
          </w:p>
        </w:tc>
      </w:tr>
      <w:tr>
        <w:tc>
          <w:tcPr>
            <w:tcW w:type="dxa" w:w="2160"/>
            <w:tcMar>
              <w:top w:w="80" w:type="dxa"/>
              <w:start w:w="80" w:type="dxa"/>
              <w:bottom w:w="80" w:type="dxa"/>
              <w:end w:w="80" w:type="dxa"/>
            </w:tcMar>
            <w:vAlign w:val="top"/>
          </w:tcPr>
          <w:p>
            <w:pPr>
              <w:spacing w:after="0"/>
            </w:pPr>
            <w:r>
              <w:rPr>
                <w:sz w:val="16"/>
              </w:rPr>
              <w:t>Conception dates</w:t>
            </w:r>
          </w:p>
        </w:tc>
        <w:tc>
          <w:tcPr>
            <w:tcW w:type="dxa" w:w="7632"/>
            <w:tcMar>
              <w:top w:w="80" w:type="dxa"/>
              <w:start w:w="80" w:type="dxa"/>
              <w:bottom w:w="80" w:type="dxa"/>
              <w:end w:w="80" w:type="dxa"/>
            </w:tcMar>
            <w:vAlign w:val="top"/>
          </w:tcPr>
          <w:p>
            <w:pPr>
              <w:spacing w:after="0"/>
            </w:pPr>
            <w:r>
              <w:rPr>
                <w:sz w:val="16"/>
              </w:rPr>
              <w:t>Record dated notes, chats, diagrams, and repository evidence for each claim element.</w:t>
            </w:r>
          </w:p>
        </w:tc>
      </w:tr>
      <w:tr>
        <w:tc>
          <w:tcPr>
            <w:tcW w:type="dxa" w:w="2160"/>
            <w:tcMar>
              <w:top w:w="80" w:type="dxa"/>
              <w:start w:w="80" w:type="dxa"/>
              <w:bottom w:w="80" w:type="dxa"/>
              <w:end w:w="80" w:type="dxa"/>
            </w:tcMar>
            <w:vAlign w:val="top"/>
          </w:tcPr>
          <w:p>
            <w:pPr>
              <w:spacing w:after="0"/>
            </w:pPr>
            <w:r>
              <w:rPr>
                <w:sz w:val="16"/>
              </w:rPr>
              <w:t>Public disclosure</w:t>
            </w:r>
          </w:p>
        </w:tc>
        <w:tc>
          <w:tcPr>
            <w:tcW w:type="dxa" w:w="7632"/>
            <w:tcMar>
              <w:top w:w="80" w:type="dxa"/>
              <w:start w:w="80" w:type="dxa"/>
              <w:bottom w:w="80" w:type="dxa"/>
              <w:end w:w="80" w:type="dxa"/>
            </w:tcMar>
            <w:vAlign w:val="top"/>
          </w:tcPr>
          <w:p>
            <w:pPr>
              <w:spacing w:after="0"/>
            </w:pPr>
            <w:r>
              <w:rPr>
                <w:sz w:val="16"/>
              </w:rPr>
              <w:t>Identify any public demos, repositories, social posts, investor materials, or discussions.</w:t>
            </w:r>
          </w:p>
        </w:tc>
      </w:tr>
      <w:tr>
        <w:tc>
          <w:tcPr>
            <w:tcW w:type="dxa" w:w="2160"/>
            <w:tcMar>
              <w:top w:w="80" w:type="dxa"/>
              <w:start w:w="80" w:type="dxa"/>
              <w:bottom w:w="80" w:type="dxa"/>
              <w:end w:w="80" w:type="dxa"/>
            </w:tcMar>
            <w:vAlign w:val="top"/>
          </w:tcPr>
          <w:p>
            <w:pPr>
              <w:spacing w:after="0"/>
            </w:pPr>
            <w:r>
              <w:rPr>
                <w:sz w:val="16"/>
              </w:rPr>
              <w:t>Best mode</w:t>
            </w:r>
          </w:p>
        </w:tc>
        <w:tc>
          <w:tcPr>
            <w:tcW w:type="dxa" w:w="7632"/>
            <w:tcMar>
              <w:top w:w="80" w:type="dxa"/>
              <w:start w:w="80" w:type="dxa"/>
              <w:bottom w:w="80" w:type="dxa"/>
              <w:end w:w="80" w:type="dxa"/>
            </w:tcMar>
            <w:vAlign w:val="top"/>
          </w:tcPr>
          <w:p>
            <w:pPr>
              <w:spacing w:after="0"/>
            </w:pPr>
            <w:r>
              <w:rPr>
                <w:sz w:val="16"/>
              </w:rPr>
              <w:t>Describe the preferred data structures, algorithms, branch statuses, and deterministic boundaries.</w:t>
            </w:r>
          </w:p>
        </w:tc>
      </w:tr>
      <w:tr>
        <w:tc>
          <w:tcPr>
            <w:tcW w:type="dxa" w:w="2160"/>
            <w:tcMar>
              <w:top w:w="80" w:type="dxa"/>
              <w:start w:w="80" w:type="dxa"/>
              <w:bottom w:w="80" w:type="dxa"/>
              <w:end w:w="80" w:type="dxa"/>
            </w:tcMar>
            <w:vAlign w:val="top"/>
          </w:tcPr>
          <w:p>
            <w:pPr>
              <w:spacing w:after="0"/>
            </w:pPr>
            <w:r>
              <w:rPr>
                <w:sz w:val="16"/>
              </w:rPr>
              <w:t>Alternatives</w:t>
            </w:r>
          </w:p>
        </w:tc>
        <w:tc>
          <w:tcPr>
            <w:tcW w:type="dxa" w:w="7632"/>
            <w:tcMar>
              <w:top w:w="80" w:type="dxa"/>
              <w:start w:w="80" w:type="dxa"/>
              <w:bottom w:w="80" w:type="dxa"/>
              <w:end w:w="80" w:type="dxa"/>
            </w:tcMar>
            <w:vAlign w:val="top"/>
          </w:tcPr>
          <w:p>
            <w:pPr>
              <w:spacing w:after="0"/>
            </w:pPr>
            <w:r>
              <w:rPr>
                <w:sz w:val="16"/>
              </w:rPr>
              <w:t>Include eager/lazy certificates, derived/persisted indexes, deterministic/model-assisted materialization, and multi-principal embodiments.</w:t>
            </w:r>
          </w:p>
        </w:tc>
      </w:tr>
      <w:tr>
        <w:tc>
          <w:tcPr>
            <w:tcW w:type="dxa" w:w="2160"/>
            <w:tcMar>
              <w:top w:w="80" w:type="dxa"/>
              <w:start w:w="80" w:type="dxa"/>
              <w:bottom w:w="80" w:type="dxa"/>
              <w:end w:w="80" w:type="dxa"/>
            </w:tcMar>
            <w:vAlign w:val="top"/>
          </w:tcPr>
          <w:p>
            <w:pPr>
              <w:spacing w:after="0"/>
            </w:pPr>
            <w:r>
              <w:rPr>
                <w:sz w:val="16"/>
              </w:rPr>
              <w:t>Known art</w:t>
            </w:r>
          </w:p>
        </w:tc>
        <w:tc>
          <w:tcPr>
            <w:tcW w:type="dxa" w:w="7632"/>
            <w:tcMar>
              <w:top w:w="80" w:type="dxa"/>
              <w:start w:w="80" w:type="dxa"/>
              <w:bottom w:w="80" w:type="dxa"/>
              <w:end w:w="80" w:type="dxa"/>
            </w:tcMar>
            <w:vAlign w:val="top"/>
          </w:tcPr>
          <w:p>
            <w:pPr>
              <w:spacing w:after="0"/>
            </w:pPr>
            <w:r>
              <w:rPr>
                <w:sz w:val="16"/>
              </w:rPr>
              <w:t>Provide this matrix and any additional references discovered by the inventor.</w:t>
            </w:r>
          </w:p>
        </w:tc>
      </w:tr>
      <w:tr>
        <w:tc>
          <w:tcPr>
            <w:tcW w:type="dxa" w:w="2160"/>
            <w:tcMar>
              <w:top w:w="80" w:type="dxa"/>
              <w:start w:w="80" w:type="dxa"/>
              <w:bottom w:w="80" w:type="dxa"/>
              <w:end w:w="80" w:type="dxa"/>
            </w:tcMar>
            <w:vAlign w:val="top"/>
          </w:tcPr>
          <w:p>
            <w:pPr>
              <w:spacing w:after="0"/>
            </w:pPr>
            <w:r>
              <w:rPr>
                <w:sz w:val="16"/>
              </w:rPr>
              <w:t>Technical evidence</w:t>
            </w:r>
          </w:p>
        </w:tc>
        <w:tc>
          <w:tcPr>
            <w:tcW w:type="dxa" w:w="7632"/>
            <w:tcMar>
              <w:top w:w="80" w:type="dxa"/>
              <w:start w:w="80" w:type="dxa"/>
              <w:bottom w:w="80" w:type="dxa"/>
              <w:end w:w="80" w:type="dxa"/>
            </w:tcMar>
            <w:vAlign w:val="top"/>
          </w:tcPr>
          <w:p>
            <w:pPr>
              <w:spacing w:after="0"/>
            </w:pPr>
            <w:r>
              <w:rPr>
                <w:sz w:val="16"/>
              </w:rPr>
              <w:t>Provide benchmark and scenario results when available; do not claim unmeasured effects.</w:t>
            </w:r>
          </w:p>
        </w:tc>
      </w:tr>
      <w:tr>
        <w:tc>
          <w:tcPr>
            <w:tcW w:type="dxa" w:w="2160"/>
            <w:tcMar>
              <w:top w:w="80" w:type="dxa"/>
              <w:start w:w="80" w:type="dxa"/>
              <w:bottom w:w="80" w:type="dxa"/>
              <w:end w:w="80" w:type="dxa"/>
            </w:tcMar>
            <w:vAlign w:val="top"/>
          </w:tcPr>
          <w:p>
            <w:pPr>
              <w:spacing w:after="0"/>
            </w:pPr>
            <w:r>
              <w:rPr>
                <w:sz w:val="16"/>
              </w:rPr>
              <w:t>Family search</w:t>
            </w:r>
          </w:p>
        </w:tc>
        <w:tc>
          <w:tcPr>
            <w:tcW w:type="dxa" w:w="7632"/>
            <w:tcMar>
              <w:top w:w="80" w:type="dxa"/>
              <w:start w:w="80" w:type="dxa"/>
              <w:bottom w:w="80" w:type="dxa"/>
              <w:end w:w="80" w:type="dxa"/>
            </w:tcMar>
            <w:vAlign w:val="top"/>
          </w:tcPr>
          <w:p>
            <w:pPr>
              <w:spacing w:after="0"/>
            </w:pPr>
            <w:r>
              <w:rPr>
                <w:sz w:val="16"/>
              </w:rPr>
              <w:t>Expand known families, citations, prosecution, and classifications.</w:t>
            </w:r>
          </w:p>
        </w:tc>
      </w:tr>
      <w:tr>
        <w:tc>
          <w:tcPr>
            <w:tcW w:type="dxa" w:w="2160"/>
            <w:tcMar>
              <w:top w:w="80" w:type="dxa"/>
              <w:start w:w="80" w:type="dxa"/>
              <w:bottom w:w="80" w:type="dxa"/>
              <w:end w:w="80" w:type="dxa"/>
            </w:tcMar>
            <w:vAlign w:val="top"/>
          </w:tcPr>
          <w:p>
            <w:pPr>
              <w:spacing w:after="0"/>
            </w:pPr>
            <w:r>
              <w:rPr>
                <w:sz w:val="16"/>
              </w:rPr>
              <w:t>Eligibility</w:t>
            </w:r>
          </w:p>
        </w:tc>
        <w:tc>
          <w:tcPr>
            <w:tcW w:type="dxa" w:w="7632"/>
            <w:tcMar>
              <w:top w:w="80" w:type="dxa"/>
              <w:start w:w="80" w:type="dxa"/>
              <w:bottom w:w="80" w:type="dxa"/>
              <w:end w:w="80" w:type="dxa"/>
            </w:tcMar>
            <w:vAlign w:val="top"/>
          </w:tcPr>
          <w:p>
            <w:pPr>
              <w:spacing w:after="0"/>
            </w:pPr>
            <w:r>
              <w:rPr>
                <w:sz w:val="16"/>
              </w:rPr>
              <w:t>Draft around concrete data structures, incremental processing, transaction consistency, and measurable runtime effects.</w:t>
            </w:r>
          </w:p>
        </w:tc>
      </w:tr>
      <w:tr>
        <w:tc>
          <w:tcPr>
            <w:tcW w:type="dxa" w:w="2160"/>
            <w:tcMar>
              <w:top w:w="80" w:type="dxa"/>
              <w:start w:w="80" w:type="dxa"/>
              <w:bottom w:w="80" w:type="dxa"/>
              <w:end w:w="80" w:type="dxa"/>
            </w:tcMar>
            <w:vAlign w:val="top"/>
          </w:tcPr>
          <w:p>
            <w:pPr>
              <w:spacing w:after="0"/>
            </w:pPr>
            <w:r>
              <w:rPr>
                <w:sz w:val="16"/>
              </w:rPr>
              <w:t>Assignment</w:t>
            </w:r>
          </w:p>
        </w:tc>
        <w:tc>
          <w:tcPr>
            <w:tcW w:type="dxa" w:w="7632"/>
            <w:tcMar>
              <w:top w:w="80" w:type="dxa"/>
              <w:start w:w="80" w:type="dxa"/>
              <w:bottom w:w="80" w:type="dxa"/>
              <w:end w:w="80" w:type="dxa"/>
            </w:tcMar>
            <w:vAlign w:val="top"/>
          </w:tcPr>
          <w:p>
            <w:pPr>
              <w:spacing w:after="0"/>
            </w:pPr>
            <w:r>
              <w:rPr>
                <w:sz w:val="16"/>
              </w:rPr>
              <w:t>Confirm ownership, employment, contractor, and company assignment obligations.</w:t>
            </w:r>
          </w:p>
        </w:tc>
      </w:tr>
    </w:tbl>
    <w:p>
      <w:pPr>
        <w:spacing w:after="0"/>
      </w:pPr>
    </w:p>
    <w:tbl>
      <w:tblPr>
        <w:tblStyle w:val="TableGrid"/>
        <w:tblW w:type="auto" w:w="0"/>
        <w:jc w:val="center"/>
        <w:tblLook w:firstColumn="1" w:firstRow="1" w:lastColumn="0" w:lastRow="0" w:noHBand="0" w:noVBand="1" w:val="04A0"/>
      </w:tblPr>
      <w:tblGrid>
        <w:gridCol w:w="10166"/>
      </w:tblGrid>
      <w:tr>
        <w:trPr>
          <w:tblHeader w:val="true"/>
        </w:trPr>
        <w:tc>
          <w:tcPr>
            <w:tcW w:type="dxa" w:w="10166"/>
            <w:shd w:fill="E8F0F5"/>
            <w:tcMar>
              <w:top w:w="140" w:type="dxa"/>
              <w:start w:w="160" w:type="dxa"/>
              <w:bottom w:w="140" w:type="dxa"/>
              <w:end w:w="160" w:type="dxa"/>
            </w:tcMar>
          </w:tcPr>
          <w:p>
            <w:pPr>
              <w:spacing w:after="80"/>
            </w:pPr>
            <w:r>
              <w:rPr>
                <w:b/>
                <w:color w:val="17324D"/>
              </w:rPr>
              <w:t>Recommended counsel question</w:t>
            </w:r>
          </w:p>
          <w:p>
            <w:pPr>
              <w:spacing w:after="0"/>
            </w:pPr>
            <w:r>
              <w:t>Can an independent claim requiring a revision-bound active delta, operational certificate, dependency-indexed partial recertification, triggered candidate compilation from latent contingencies and correction sets, and parent promotion with historical lineage survive the strongest combination of life-planning, truth-maintenance, plan-repair, potential-calendar, and transaction references?</w:t>
            </w:r>
          </w:p>
        </w:tc>
      </w:tr>
    </w:tbl>
    <w:p>
      <w:r>
        <w:br w:type="page"/>
      </w:r>
    </w:p>
    <w:p>
      <w:pPr>
        <w:pStyle w:val="Heading1"/>
        <w:keepNext/>
      </w:pPr>
      <w:r>
        <w:t>Appendix A — Preliminary reference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20"/>
            <w:shd w:fill="17324D"/>
            <w:tcMar>
              <w:top w:w="80" w:type="dxa"/>
              <w:start w:w="80" w:type="dxa"/>
              <w:bottom w:w="80" w:type="dxa"/>
              <w:end w:w="80" w:type="dxa"/>
            </w:tcMar>
            <w:vAlign w:val="center"/>
          </w:tcPr>
          <w:p>
            <w:pPr>
              <w:jc w:val="center"/>
            </w:pPr>
            <w:r>
              <w:rPr>
                <w:b/>
                <w:color w:val="FFFFFF"/>
                <w:sz w:val="14"/>
              </w:rPr>
              <w:t>ID</w:t>
            </w:r>
          </w:p>
        </w:tc>
        <w:tc>
          <w:tcPr>
            <w:tcW w:type="dxa" w:w="5040"/>
            <w:shd w:fill="17324D"/>
            <w:tcMar>
              <w:top w:w="80" w:type="dxa"/>
              <w:start w:w="80" w:type="dxa"/>
              <w:bottom w:w="80" w:type="dxa"/>
              <w:end w:w="80" w:type="dxa"/>
            </w:tcMar>
            <w:vAlign w:val="center"/>
          </w:tcPr>
          <w:p>
            <w:pPr>
              <w:jc w:val="center"/>
            </w:pPr>
            <w:r>
              <w:rPr>
                <w:b/>
                <w:color w:val="FFFFFF"/>
                <w:sz w:val="14"/>
              </w:rPr>
              <w:t>Reference</w:t>
            </w:r>
          </w:p>
        </w:tc>
        <w:tc>
          <w:tcPr>
            <w:tcW w:type="dxa" w:w="4320"/>
            <w:shd w:fill="17324D"/>
            <w:tcMar>
              <w:top w:w="80" w:type="dxa"/>
              <w:start w:w="80" w:type="dxa"/>
              <w:bottom w:w="80" w:type="dxa"/>
              <w:end w:w="80" w:type="dxa"/>
            </w:tcMar>
            <w:vAlign w:val="center"/>
          </w:tcPr>
          <w:p>
            <w:pPr>
              <w:jc w:val="center"/>
            </w:pPr>
            <w:r>
              <w:rPr>
                <w:b/>
                <w:color w:val="FFFFFF"/>
                <w:sz w:val="14"/>
              </w:rPr>
              <w:t>URL</w:t>
            </w:r>
          </w:p>
        </w:tc>
      </w:tr>
      <w:tr>
        <w:tc>
          <w:tcPr>
            <w:tcW w:type="dxa" w:w="720"/>
            <w:tcMar>
              <w:top w:w="80" w:type="dxa"/>
              <w:start w:w="80" w:type="dxa"/>
              <w:bottom w:w="80" w:type="dxa"/>
              <w:end w:w="80" w:type="dxa"/>
            </w:tcMar>
            <w:vAlign w:val="top"/>
          </w:tcPr>
          <w:p>
            <w:pPr>
              <w:spacing w:after="0"/>
            </w:pPr>
            <w:r>
              <w:rPr>
                <w:sz w:val="14"/>
              </w:rPr>
              <w:t>R1</w:t>
            </w:r>
          </w:p>
        </w:tc>
        <w:tc>
          <w:tcPr>
            <w:tcW w:type="dxa" w:w="5040"/>
            <w:tcMar>
              <w:top w:w="80" w:type="dxa"/>
              <w:start w:w="80" w:type="dxa"/>
              <w:bottom w:w="80" w:type="dxa"/>
              <w:end w:w="80" w:type="dxa"/>
            </w:tcMar>
            <w:vAlign w:val="top"/>
          </w:tcPr>
          <w:p>
            <w:pPr>
              <w:spacing w:after="0"/>
            </w:pPr>
            <w:r>
              <w:rPr>
                <w:sz w:val="14"/>
              </w:rPr>
              <w:t>USPTO, MPEP § 904, Search</w:t>
            </w:r>
          </w:p>
        </w:tc>
        <w:tc>
          <w:tcPr>
            <w:tcW w:type="dxa" w:w="4320"/>
            <w:tcMar>
              <w:top w:w="80" w:type="dxa"/>
              <w:start w:w="80" w:type="dxa"/>
              <w:bottom w:w="80" w:type="dxa"/>
              <w:end w:w="80" w:type="dxa"/>
            </w:tcMar>
            <w:vAlign w:val="top"/>
          </w:tcPr>
          <w:p>
            <w:pPr>
              <w:spacing w:after="0"/>
            </w:pPr>
            <w:r>
              <w:rPr>
                <w:sz w:val="14"/>
              </w:rPr>
              <w:t>https://www.uspto.gov/web/offices/pac/mpep/s904.html</w:t>
            </w:r>
          </w:p>
        </w:tc>
      </w:tr>
      <w:tr>
        <w:tc>
          <w:tcPr>
            <w:tcW w:type="dxa" w:w="720"/>
            <w:tcMar>
              <w:top w:w="80" w:type="dxa"/>
              <w:start w:w="80" w:type="dxa"/>
              <w:bottom w:w="80" w:type="dxa"/>
              <w:end w:w="80" w:type="dxa"/>
            </w:tcMar>
            <w:vAlign w:val="top"/>
          </w:tcPr>
          <w:p>
            <w:pPr>
              <w:spacing w:after="0"/>
            </w:pPr>
            <w:r>
              <w:rPr>
                <w:sz w:val="14"/>
              </w:rPr>
              <w:t>R2</w:t>
            </w:r>
          </w:p>
        </w:tc>
        <w:tc>
          <w:tcPr>
            <w:tcW w:type="dxa" w:w="5040"/>
            <w:tcMar>
              <w:top w:w="80" w:type="dxa"/>
              <w:start w:w="80" w:type="dxa"/>
              <w:bottom w:w="80" w:type="dxa"/>
              <w:end w:w="80" w:type="dxa"/>
            </w:tcMar>
            <w:vAlign w:val="top"/>
          </w:tcPr>
          <w:p>
            <w:pPr>
              <w:spacing w:after="0"/>
            </w:pPr>
            <w:r>
              <w:rPr>
                <w:sz w:val="14"/>
              </w:rPr>
              <w:t>USPTO, MPEP § 2131, Anticipation</w:t>
            </w:r>
          </w:p>
        </w:tc>
        <w:tc>
          <w:tcPr>
            <w:tcW w:type="dxa" w:w="4320"/>
            <w:tcMar>
              <w:top w:w="80" w:type="dxa"/>
              <w:start w:w="80" w:type="dxa"/>
              <w:bottom w:w="80" w:type="dxa"/>
              <w:end w:w="80" w:type="dxa"/>
            </w:tcMar>
            <w:vAlign w:val="top"/>
          </w:tcPr>
          <w:p>
            <w:pPr>
              <w:spacing w:after="0"/>
            </w:pPr>
            <w:r>
              <w:rPr>
                <w:sz w:val="14"/>
              </w:rPr>
              <w:t>https://www.uspto.gov/web/offices/pac/mpep/s2131.html</w:t>
            </w:r>
          </w:p>
        </w:tc>
      </w:tr>
      <w:tr>
        <w:tc>
          <w:tcPr>
            <w:tcW w:type="dxa" w:w="720"/>
            <w:tcMar>
              <w:top w:w="80" w:type="dxa"/>
              <w:start w:w="80" w:type="dxa"/>
              <w:bottom w:w="80" w:type="dxa"/>
              <w:end w:w="80" w:type="dxa"/>
            </w:tcMar>
            <w:vAlign w:val="top"/>
          </w:tcPr>
          <w:p>
            <w:pPr>
              <w:spacing w:after="0"/>
            </w:pPr>
            <w:r>
              <w:rPr>
                <w:sz w:val="14"/>
              </w:rPr>
              <w:t>R3</w:t>
            </w:r>
          </w:p>
        </w:tc>
        <w:tc>
          <w:tcPr>
            <w:tcW w:type="dxa" w:w="5040"/>
            <w:tcMar>
              <w:top w:w="80" w:type="dxa"/>
              <w:start w:w="80" w:type="dxa"/>
              <w:bottom w:w="80" w:type="dxa"/>
              <w:end w:w="80" w:type="dxa"/>
            </w:tcMar>
            <w:vAlign w:val="top"/>
          </w:tcPr>
          <w:p>
            <w:pPr>
              <w:spacing w:after="0"/>
            </w:pPr>
            <w:r>
              <w:rPr>
                <w:sz w:val="14"/>
              </w:rPr>
              <w:t>USPTO, MPEP § 2141, Obviousness</w:t>
            </w:r>
          </w:p>
        </w:tc>
        <w:tc>
          <w:tcPr>
            <w:tcW w:type="dxa" w:w="4320"/>
            <w:tcMar>
              <w:top w:w="80" w:type="dxa"/>
              <w:start w:w="80" w:type="dxa"/>
              <w:bottom w:w="80" w:type="dxa"/>
              <w:end w:w="80" w:type="dxa"/>
            </w:tcMar>
            <w:vAlign w:val="top"/>
          </w:tcPr>
          <w:p>
            <w:pPr>
              <w:spacing w:after="0"/>
            </w:pPr>
            <w:r>
              <w:rPr>
                <w:sz w:val="14"/>
              </w:rPr>
              <w:t>https://www.uspto.gov/web/offices/pac/mpep/s2141.html</w:t>
            </w:r>
          </w:p>
        </w:tc>
      </w:tr>
      <w:tr>
        <w:tc>
          <w:tcPr>
            <w:tcW w:type="dxa" w:w="720"/>
            <w:tcMar>
              <w:top w:w="80" w:type="dxa"/>
              <w:start w:w="80" w:type="dxa"/>
              <w:bottom w:w="80" w:type="dxa"/>
              <w:end w:w="80" w:type="dxa"/>
            </w:tcMar>
            <w:vAlign w:val="top"/>
          </w:tcPr>
          <w:p>
            <w:pPr>
              <w:spacing w:after="0"/>
            </w:pPr>
            <w:r>
              <w:rPr>
                <w:sz w:val="14"/>
              </w:rPr>
              <w:t>R4</w:t>
            </w:r>
          </w:p>
        </w:tc>
        <w:tc>
          <w:tcPr>
            <w:tcW w:type="dxa" w:w="5040"/>
            <w:tcMar>
              <w:top w:w="80" w:type="dxa"/>
              <w:start w:w="80" w:type="dxa"/>
              <w:bottom w:w="80" w:type="dxa"/>
              <w:end w:w="80" w:type="dxa"/>
            </w:tcMar>
            <w:vAlign w:val="top"/>
          </w:tcPr>
          <w:p>
            <w:pPr>
              <w:spacing w:after="0"/>
            </w:pPr>
            <w:r>
              <w:rPr>
                <w:sz w:val="14"/>
              </w:rPr>
              <w:t>USPTO, MPEP § 2106, Patent Subject Matter Eligibility</w:t>
            </w:r>
          </w:p>
        </w:tc>
        <w:tc>
          <w:tcPr>
            <w:tcW w:type="dxa" w:w="4320"/>
            <w:tcMar>
              <w:top w:w="80" w:type="dxa"/>
              <w:start w:w="80" w:type="dxa"/>
              <w:bottom w:w="80" w:type="dxa"/>
              <w:end w:w="80" w:type="dxa"/>
            </w:tcMar>
            <w:vAlign w:val="top"/>
          </w:tcPr>
          <w:p>
            <w:pPr>
              <w:spacing w:after="0"/>
            </w:pPr>
            <w:r>
              <w:rPr>
                <w:sz w:val="14"/>
              </w:rPr>
              <w:t>https://www.uspto.gov/web/offices/pac/mpep/s2106.html</w:t>
            </w:r>
          </w:p>
        </w:tc>
      </w:tr>
      <w:tr>
        <w:tc>
          <w:tcPr>
            <w:tcW w:type="dxa" w:w="720"/>
            <w:tcMar>
              <w:top w:w="80" w:type="dxa"/>
              <w:start w:w="80" w:type="dxa"/>
              <w:bottom w:w="80" w:type="dxa"/>
              <w:end w:w="80" w:type="dxa"/>
            </w:tcMar>
            <w:vAlign w:val="top"/>
          </w:tcPr>
          <w:p>
            <w:pPr>
              <w:spacing w:after="0"/>
            </w:pPr>
            <w:r>
              <w:rPr>
                <w:sz w:val="14"/>
              </w:rPr>
              <w:t>R5</w:t>
            </w:r>
          </w:p>
        </w:tc>
        <w:tc>
          <w:tcPr>
            <w:tcW w:type="dxa" w:w="5040"/>
            <w:tcMar>
              <w:top w:w="80" w:type="dxa"/>
              <w:start w:w="80" w:type="dxa"/>
              <w:bottom w:w="80" w:type="dxa"/>
              <w:end w:w="80" w:type="dxa"/>
            </w:tcMar>
            <w:vAlign w:val="top"/>
          </w:tcPr>
          <w:p>
            <w:pPr>
              <w:spacing w:after="0"/>
            </w:pPr>
            <w:r>
              <w:rPr>
                <w:sz w:val="14"/>
              </w:rPr>
              <w:t>Cooperative Patent Classification, Scheme and Definitions, current 2026.05 release</w:t>
            </w:r>
          </w:p>
        </w:tc>
        <w:tc>
          <w:tcPr>
            <w:tcW w:type="dxa" w:w="4320"/>
            <w:tcMar>
              <w:top w:w="80" w:type="dxa"/>
              <w:start w:w="80" w:type="dxa"/>
              <w:bottom w:w="80" w:type="dxa"/>
              <w:end w:w="80" w:type="dxa"/>
            </w:tcMar>
            <w:vAlign w:val="top"/>
          </w:tcPr>
          <w:p>
            <w:pPr>
              <w:spacing w:after="0"/>
            </w:pPr>
            <w:r>
              <w:rPr>
                <w:sz w:val="14"/>
              </w:rPr>
              <w:t>https://www.cooperativepatentclassification.org/cpcSchemeAndDefinitions</w:t>
            </w:r>
          </w:p>
        </w:tc>
      </w:tr>
      <w:tr>
        <w:tc>
          <w:tcPr>
            <w:tcW w:type="dxa" w:w="720"/>
            <w:tcMar>
              <w:top w:w="80" w:type="dxa"/>
              <w:start w:w="80" w:type="dxa"/>
              <w:bottom w:w="80" w:type="dxa"/>
              <w:end w:w="80" w:type="dxa"/>
            </w:tcMar>
            <w:vAlign w:val="top"/>
          </w:tcPr>
          <w:p>
            <w:pPr>
              <w:spacing w:after="0"/>
            </w:pPr>
            <w:r>
              <w:rPr>
                <w:sz w:val="14"/>
              </w:rPr>
              <w:t>R6</w:t>
            </w:r>
          </w:p>
        </w:tc>
        <w:tc>
          <w:tcPr>
            <w:tcW w:type="dxa" w:w="5040"/>
            <w:tcMar>
              <w:top w:w="80" w:type="dxa"/>
              <w:start w:w="80" w:type="dxa"/>
              <w:bottom w:w="80" w:type="dxa"/>
              <w:end w:w="80" w:type="dxa"/>
            </w:tcMar>
            <w:vAlign w:val="top"/>
          </w:tcPr>
          <w:p>
            <w:pPr>
              <w:spacing w:after="0"/>
            </w:pPr>
            <w:r>
              <w:rPr>
                <w:sz w:val="14"/>
              </w:rPr>
              <w:t>US 12,175,536 B2, Automatic life planning and execution based on personal goals</w:t>
            </w:r>
          </w:p>
        </w:tc>
        <w:tc>
          <w:tcPr>
            <w:tcW w:type="dxa" w:w="4320"/>
            <w:tcMar>
              <w:top w:w="80" w:type="dxa"/>
              <w:start w:w="80" w:type="dxa"/>
              <w:bottom w:w="80" w:type="dxa"/>
              <w:end w:w="80" w:type="dxa"/>
            </w:tcMar>
            <w:vAlign w:val="top"/>
          </w:tcPr>
          <w:p>
            <w:pPr>
              <w:spacing w:after="0"/>
            </w:pPr>
            <w:r>
              <w:rPr>
                <w:sz w:val="14"/>
              </w:rPr>
              <w:t>https://patents.google.com/patent/US12175536B2/en</w:t>
            </w:r>
          </w:p>
        </w:tc>
      </w:tr>
      <w:tr>
        <w:tc>
          <w:tcPr>
            <w:tcW w:type="dxa" w:w="720"/>
            <w:tcMar>
              <w:top w:w="80" w:type="dxa"/>
              <w:start w:w="80" w:type="dxa"/>
              <w:bottom w:w="80" w:type="dxa"/>
              <w:end w:w="80" w:type="dxa"/>
            </w:tcMar>
            <w:vAlign w:val="top"/>
          </w:tcPr>
          <w:p>
            <w:pPr>
              <w:spacing w:after="0"/>
            </w:pPr>
            <w:r>
              <w:rPr>
                <w:sz w:val="14"/>
              </w:rPr>
              <w:t>R7</w:t>
            </w:r>
          </w:p>
        </w:tc>
        <w:tc>
          <w:tcPr>
            <w:tcW w:type="dxa" w:w="5040"/>
            <w:tcMar>
              <w:top w:w="80" w:type="dxa"/>
              <w:start w:w="80" w:type="dxa"/>
              <w:bottom w:w="80" w:type="dxa"/>
              <w:end w:w="80" w:type="dxa"/>
            </w:tcMar>
            <w:vAlign w:val="top"/>
          </w:tcPr>
          <w:p>
            <w:pPr>
              <w:spacing w:after="0"/>
            </w:pPr>
            <w:r>
              <w:rPr>
                <w:sz w:val="14"/>
              </w:rPr>
              <w:t>US 2016/0321935 A1, Participant outcomes, goal management and optimization</w:t>
            </w:r>
          </w:p>
        </w:tc>
        <w:tc>
          <w:tcPr>
            <w:tcW w:type="dxa" w:w="4320"/>
            <w:tcMar>
              <w:top w:w="80" w:type="dxa"/>
              <w:start w:w="80" w:type="dxa"/>
              <w:bottom w:w="80" w:type="dxa"/>
              <w:end w:w="80" w:type="dxa"/>
            </w:tcMar>
            <w:vAlign w:val="top"/>
          </w:tcPr>
          <w:p>
            <w:pPr>
              <w:spacing w:after="0"/>
            </w:pPr>
            <w:r>
              <w:rPr>
                <w:sz w:val="14"/>
              </w:rPr>
              <w:t>https://patents.google.com/patent/US20160321935A1/en</w:t>
            </w:r>
          </w:p>
        </w:tc>
      </w:tr>
      <w:tr>
        <w:tc>
          <w:tcPr>
            <w:tcW w:type="dxa" w:w="720"/>
            <w:tcMar>
              <w:top w:w="80" w:type="dxa"/>
              <w:start w:w="80" w:type="dxa"/>
              <w:bottom w:w="80" w:type="dxa"/>
              <w:end w:w="80" w:type="dxa"/>
            </w:tcMar>
            <w:vAlign w:val="top"/>
          </w:tcPr>
          <w:p>
            <w:pPr>
              <w:spacing w:after="0"/>
            </w:pPr>
            <w:r>
              <w:rPr>
                <w:sz w:val="14"/>
              </w:rPr>
              <w:t>R8</w:t>
            </w:r>
          </w:p>
        </w:tc>
        <w:tc>
          <w:tcPr>
            <w:tcW w:type="dxa" w:w="5040"/>
            <w:tcMar>
              <w:top w:w="80" w:type="dxa"/>
              <w:start w:w="80" w:type="dxa"/>
              <w:bottom w:w="80" w:type="dxa"/>
              <w:end w:w="80" w:type="dxa"/>
            </w:tcMar>
            <w:vAlign w:val="top"/>
          </w:tcPr>
          <w:p>
            <w:pPr>
              <w:spacing w:after="0"/>
            </w:pPr>
            <w:r>
              <w:rPr>
                <w:sz w:val="14"/>
              </w:rPr>
              <w:t>US 7,967,731 B2, System and method for motivating users to improve their wellness</w:t>
            </w:r>
          </w:p>
        </w:tc>
        <w:tc>
          <w:tcPr>
            <w:tcW w:type="dxa" w:w="4320"/>
            <w:tcMar>
              <w:top w:w="80" w:type="dxa"/>
              <w:start w:w="80" w:type="dxa"/>
              <w:bottom w:w="80" w:type="dxa"/>
              <w:end w:w="80" w:type="dxa"/>
            </w:tcMar>
            <w:vAlign w:val="top"/>
          </w:tcPr>
          <w:p>
            <w:pPr>
              <w:spacing w:after="0"/>
            </w:pPr>
            <w:r>
              <w:rPr>
                <w:sz w:val="14"/>
              </w:rPr>
              <w:t>https://patents.google.com/patent/US7967731B2/en</w:t>
            </w:r>
          </w:p>
        </w:tc>
      </w:tr>
      <w:tr>
        <w:tc>
          <w:tcPr>
            <w:tcW w:type="dxa" w:w="720"/>
            <w:tcMar>
              <w:top w:w="80" w:type="dxa"/>
              <w:start w:w="80" w:type="dxa"/>
              <w:bottom w:w="80" w:type="dxa"/>
              <w:end w:w="80" w:type="dxa"/>
            </w:tcMar>
            <w:vAlign w:val="top"/>
          </w:tcPr>
          <w:p>
            <w:pPr>
              <w:spacing w:after="0"/>
            </w:pPr>
            <w:r>
              <w:rPr>
                <w:sz w:val="14"/>
              </w:rPr>
              <w:t>R9</w:t>
            </w:r>
          </w:p>
        </w:tc>
        <w:tc>
          <w:tcPr>
            <w:tcW w:type="dxa" w:w="5040"/>
            <w:tcMar>
              <w:top w:w="80" w:type="dxa"/>
              <w:start w:w="80" w:type="dxa"/>
              <w:bottom w:w="80" w:type="dxa"/>
              <w:end w:w="80" w:type="dxa"/>
            </w:tcMar>
            <w:vAlign w:val="top"/>
          </w:tcPr>
          <w:p>
            <w:pPr>
              <w:spacing w:after="0"/>
            </w:pPr>
            <w:r>
              <w:rPr>
                <w:sz w:val="14"/>
              </w:rPr>
              <w:t>US 11,276,041 / US 2017/0154315, Scheduling using potential calendars</w:t>
            </w:r>
          </w:p>
        </w:tc>
        <w:tc>
          <w:tcPr>
            <w:tcW w:type="dxa" w:w="4320"/>
            <w:tcMar>
              <w:top w:w="80" w:type="dxa"/>
              <w:start w:w="80" w:type="dxa"/>
              <w:bottom w:w="80" w:type="dxa"/>
              <w:end w:w="80" w:type="dxa"/>
            </w:tcMar>
            <w:vAlign w:val="top"/>
          </w:tcPr>
          <w:p>
            <w:pPr>
              <w:spacing w:after="0"/>
            </w:pPr>
            <w:r>
              <w:rPr>
                <w:sz w:val="14"/>
              </w:rPr>
              <w:t>https://patents.justia.com/patent/11276041</w:t>
            </w:r>
          </w:p>
        </w:tc>
      </w:tr>
      <w:tr>
        <w:tc>
          <w:tcPr>
            <w:tcW w:type="dxa" w:w="720"/>
            <w:tcMar>
              <w:top w:w="80" w:type="dxa"/>
              <w:start w:w="80" w:type="dxa"/>
              <w:bottom w:w="80" w:type="dxa"/>
              <w:end w:w="80" w:type="dxa"/>
            </w:tcMar>
            <w:vAlign w:val="top"/>
          </w:tcPr>
          <w:p>
            <w:pPr>
              <w:spacing w:after="0"/>
            </w:pPr>
            <w:r>
              <w:rPr>
                <w:sz w:val="14"/>
              </w:rPr>
              <w:t>R10</w:t>
            </w:r>
          </w:p>
        </w:tc>
        <w:tc>
          <w:tcPr>
            <w:tcW w:type="dxa" w:w="5040"/>
            <w:tcMar>
              <w:top w:w="80" w:type="dxa"/>
              <w:start w:w="80" w:type="dxa"/>
              <w:bottom w:w="80" w:type="dxa"/>
              <w:end w:w="80" w:type="dxa"/>
            </w:tcMar>
            <w:vAlign w:val="top"/>
          </w:tcPr>
          <w:p>
            <w:pPr>
              <w:spacing w:after="0"/>
            </w:pPr>
            <w:r>
              <w:rPr>
                <w:sz w:val="14"/>
              </w:rPr>
              <w:t>US 8,346,590 / US 2011/0184772, Automatically schedule and re-schedule meetings through search interface</w:t>
            </w:r>
          </w:p>
        </w:tc>
        <w:tc>
          <w:tcPr>
            <w:tcW w:type="dxa" w:w="4320"/>
            <w:tcMar>
              <w:top w:w="80" w:type="dxa"/>
              <w:start w:w="80" w:type="dxa"/>
              <w:bottom w:w="80" w:type="dxa"/>
              <w:end w:w="80" w:type="dxa"/>
            </w:tcMar>
            <w:vAlign w:val="top"/>
          </w:tcPr>
          <w:p>
            <w:pPr>
              <w:spacing w:after="0"/>
            </w:pPr>
            <w:r>
              <w:rPr>
                <w:sz w:val="14"/>
              </w:rPr>
              <w:t>https://patents.google.com/patent/US20110184772A1/en</w:t>
            </w:r>
          </w:p>
        </w:tc>
      </w:tr>
      <w:tr>
        <w:tc>
          <w:tcPr>
            <w:tcW w:type="dxa" w:w="720"/>
            <w:tcMar>
              <w:top w:w="80" w:type="dxa"/>
              <w:start w:w="80" w:type="dxa"/>
              <w:bottom w:w="80" w:type="dxa"/>
              <w:end w:w="80" w:type="dxa"/>
            </w:tcMar>
            <w:vAlign w:val="top"/>
          </w:tcPr>
          <w:p>
            <w:pPr>
              <w:spacing w:after="0"/>
            </w:pPr>
            <w:r>
              <w:rPr>
                <w:sz w:val="14"/>
              </w:rPr>
              <w:t>R11</w:t>
            </w:r>
          </w:p>
        </w:tc>
        <w:tc>
          <w:tcPr>
            <w:tcW w:type="dxa" w:w="5040"/>
            <w:tcMar>
              <w:top w:w="80" w:type="dxa"/>
              <w:start w:w="80" w:type="dxa"/>
              <w:bottom w:w="80" w:type="dxa"/>
              <w:end w:w="80" w:type="dxa"/>
            </w:tcMar>
            <w:vAlign w:val="top"/>
          </w:tcPr>
          <w:p>
            <w:pPr>
              <w:spacing w:after="0"/>
            </w:pPr>
            <w:r>
              <w:rPr>
                <w:sz w:val="14"/>
              </w:rPr>
              <w:t>US 4,817,018 A, Electronic calendaring with automatic assignment of alternates</w:t>
            </w:r>
          </w:p>
        </w:tc>
        <w:tc>
          <w:tcPr>
            <w:tcW w:type="dxa" w:w="4320"/>
            <w:tcMar>
              <w:top w:w="80" w:type="dxa"/>
              <w:start w:w="80" w:type="dxa"/>
              <w:bottom w:w="80" w:type="dxa"/>
              <w:end w:w="80" w:type="dxa"/>
            </w:tcMar>
            <w:vAlign w:val="top"/>
          </w:tcPr>
          <w:p>
            <w:pPr>
              <w:spacing w:after="0"/>
            </w:pPr>
            <w:r>
              <w:rPr>
                <w:sz w:val="14"/>
              </w:rPr>
              <w:t>https://patents.google.com/patent/US4817018A/en</w:t>
            </w:r>
          </w:p>
        </w:tc>
      </w:tr>
      <w:tr>
        <w:tc>
          <w:tcPr>
            <w:tcW w:type="dxa" w:w="720"/>
            <w:tcMar>
              <w:top w:w="80" w:type="dxa"/>
              <w:start w:w="80" w:type="dxa"/>
              <w:bottom w:w="80" w:type="dxa"/>
              <w:end w:w="80" w:type="dxa"/>
            </w:tcMar>
            <w:vAlign w:val="top"/>
          </w:tcPr>
          <w:p>
            <w:pPr>
              <w:spacing w:after="0"/>
            </w:pPr>
            <w:r>
              <w:rPr>
                <w:sz w:val="14"/>
              </w:rPr>
              <w:t>R12</w:t>
            </w:r>
          </w:p>
        </w:tc>
        <w:tc>
          <w:tcPr>
            <w:tcW w:type="dxa" w:w="5040"/>
            <w:tcMar>
              <w:top w:w="80" w:type="dxa"/>
              <w:start w:w="80" w:type="dxa"/>
              <w:bottom w:w="80" w:type="dxa"/>
              <w:end w:w="80" w:type="dxa"/>
            </w:tcMar>
            <w:vAlign w:val="top"/>
          </w:tcPr>
          <w:p>
            <w:pPr>
              <w:spacing w:after="0"/>
            </w:pPr>
            <w:r>
              <w:rPr>
                <w:sz w:val="14"/>
              </w:rPr>
              <w:t>J. de Kleer, An Assumption-Based TMS, AAAI-86</w:t>
            </w:r>
          </w:p>
        </w:tc>
        <w:tc>
          <w:tcPr>
            <w:tcW w:type="dxa" w:w="4320"/>
            <w:tcMar>
              <w:top w:w="80" w:type="dxa"/>
              <w:start w:w="80" w:type="dxa"/>
              <w:bottom w:w="80" w:type="dxa"/>
              <w:end w:w="80" w:type="dxa"/>
            </w:tcMar>
            <w:vAlign w:val="top"/>
          </w:tcPr>
          <w:p>
            <w:pPr>
              <w:spacing w:after="0"/>
            </w:pPr>
            <w:r>
              <w:rPr>
                <w:sz w:val="14"/>
              </w:rPr>
              <w:t>https://vvvvw.aaai.org/Library/AAAI/1986/aaai86-003.php</w:t>
            </w:r>
          </w:p>
        </w:tc>
      </w:tr>
      <w:tr>
        <w:tc>
          <w:tcPr>
            <w:tcW w:type="dxa" w:w="720"/>
            <w:tcMar>
              <w:top w:w="80" w:type="dxa"/>
              <w:start w:w="80" w:type="dxa"/>
              <w:bottom w:w="80" w:type="dxa"/>
              <w:end w:w="80" w:type="dxa"/>
            </w:tcMar>
            <w:vAlign w:val="top"/>
          </w:tcPr>
          <w:p>
            <w:pPr>
              <w:spacing w:after="0"/>
            </w:pPr>
            <w:r>
              <w:rPr>
                <w:sz w:val="14"/>
              </w:rPr>
              <w:t>R13</w:t>
            </w:r>
          </w:p>
        </w:tc>
        <w:tc>
          <w:tcPr>
            <w:tcW w:type="dxa" w:w="5040"/>
            <w:tcMar>
              <w:top w:w="80" w:type="dxa"/>
              <w:start w:w="80" w:type="dxa"/>
              <w:bottom w:w="80" w:type="dxa"/>
              <w:end w:w="80" w:type="dxa"/>
            </w:tcMar>
            <w:vAlign w:val="top"/>
          </w:tcPr>
          <w:p>
            <w:pPr>
              <w:spacing w:after="0"/>
            </w:pPr>
            <w:r>
              <w:rPr>
                <w:sz w:val="14"/>
              </w:rPr>
              <w:t>Landmark-Based Plan Distance Measures for Diverse Planning</w:t>
            </w:r>
          </w:p>
        </w:tc>
        <w:tc>
          <w:tcPr>
            <w:tcW w:type="dxa" w:w="4320"/>
            <w:tcMar>
              <w:top w:w="80" w:type="dxa"/>
              <w:start w:w="80" w:type="dxa"/>
              <w:bottom w:w="80" w:type="dxa"/>
              <w:end w:w="80" w:type="dxa"/>
            </w:tcMar>
            <w:vAlign w:val="top"/>
          </w:tcPr>
          <w:p>
            <w:pPr>
              <w:spacing w:after="0"/>
            </w:pPr>
            <w:r>
              <w:rPr>
                <w:sz w:val="14"/>
              </w:rPr>
              <w:t>https://ojs.aaai.org/index.php/ICAPS/article/view/13625</w:t>
            </w:r>
          </w:p>
        </w:tc>
      </w:tr>
      <w:tr>
        <w:tc>
          <w:tcPr>
            <w:tcW w:type="dxa" w:w="720"/>
            <w:tcMar>
              <w:top w:w="80" w:type="dxa"/>
              <w:start w:w="80" w:type="dxa"/>
              <w:bottom w:w="80" w:type="dxa"/>
              <w:end w:w="80" w:type="dxa"/>
            </w:tcMar>
            <w:vAlign w:val="top"/>
          </w:tcPr>
          <w:p>
            <w:pPr>
              <w:spacing w:after="0"/>
            </w:pPr>
            <w:r>
              <w:rPr>
                <w:sz w:val="14"/>
              </w:rPr>
              <w:t>R14</w:t>
            </w:r>
          </w:p>
        </w:tc>
        <w:tc>
          <w:tcPr>
            <w:tcW w:type="dxa" w:w="5040"/>
            <w:tcMar>
              <w:top w:w="80" w:type="dxa"/>
              <w:start w:w="80" w:type="dxa"/>
              <w:bottom w:w="80" w:type="dxa"/>
              <w:end w:w="80" w:type="dxa"/>
            </w:tcMar>
            <w:vAlign w:val="top"/>
          </w:tcPr>
          <w:p>
            <w:pPr>
              <w:spacing w:after="0"/>
            </w:pPr>
            <w:r>
              <w:rPr>
                <w:sz w:val="14"/>
              </w:rPr>
              <w:t>Plan Repair and Stability in Automated Planning</w:t>
            </w:r>
          </w:p>
        </w:tc>
        <w:tc>
          <w:tcPr>
            <w:tcW w:type="dxa" w:w="4320"/>
            <w:tcMar>
              <w:top w:w="80" w:type="dxa"/>
              <w:start w:w="80" w:type="dxa"/>
              <w:bottom w:w="80" w:type="dxa"/>
              <w:end w:w="80" w:type="dxa"/>
            </w:tcMar>
            <w:vAlign w:val="top"/>
          </w:tcPr>
          <w:p>
            <w:pPr>
              <w:spacing w:after="0"/>
            </w:pPr>
            <w:r>
              <w:rPr>
                <w:sz w:val="14"/>
              </w:rPr>
              <w:t>https://ojs.aaai.org/index.php/ICAPS/article/view/19815</w:t>
            </w:r>
          </w:p>
        </w:tc>
      </w:tr>
      <w:tr>
        <w:tc>
          <w:tcPr>
            <w:tcW w:type="dxa" w:w="720"/>
            <w:tcMar>
              <w:top w:w="80" w:type="dxa"/>
              <w:start w:w="80" w:type="dxa"/>
              <w:bottom w:w="80" w:type="dxa"/>
              <w:end w:w="80" w:type="dxa"/>
            </w:tcMar>
            <w:vAlign w:val="top"/>
          </w:tcPr>
          <w:p>
            <w:pPr>
              <w:spacing w:after="0"/>
            </w:pPr>
            <w:r>
              <w:rPr>
                <w:sz w:val="14"/>
              </w:rPr>
              <w:t>R15</w:t>
            </w:r>
          </w:p>
        </w:tc>
        <w:tc>
          <w:tcPr>
            <w:tcW w:type="dxa" w:w="5040"/>
            <w:tcMar>
              <w:top w:w="80" w:type="dxa"/>
              <w:start w:w="80" w:type="dxa"/>
              <w:bottom w:w="80" w:type="dxa"/>
              <w:end w:w="80" w:type="dxa"/>
            </w:tcMar>
            <w:vAlign w:val="top"/>
          </w:tcPr>
          <w:p>
            <w:pPr>
              <w:spacing w:after="0"/>
            </w:pPr>
            <w:r>
              <w:rPr>
                <w:sz w:val="14"/>
              </w:rPr>
              <w:t>H. Garcia-Molina and K. Salem, Sagas, ACM SIGMOD 1987</w:t>
            </w:r>
          </w:p>
        </w:tc>
        <w:tc>
          <w:tcPr>
            <w:tcW w:type="dxa" w:w="4320"/>
            <w:tcMar>
              <w:top w:w="80" w:type="dxa"/>
              <w:start w:w="80" w:type="dxa"/>
              <w:bottom w:w="80" w:type="dxa"/>
              <w:end w:w="80" w:type="dxa"/>
            </w:tcMar>
            <w:vAlign w:val="top"/>
          </w:tcPr>
          <w:p>
            <w:pPr>
              <w:spacing w:after="0"/>
            </w:pPr>
            <w:r>
              <w:rPr>
                <w:sz w:val="14"/>
              </w:rPr>
              <w:t>https://doi.org/10.1145/38713.38742</w:t>
            </w:r>
          </w:p>
        </w:tc>
      </w:tr>
      <w:tr>
        <w:tc>
          <w:tcPr>
            <w:tcW w:type="dxa" w:w="720"/>
            <w:tcMar>
              <w:top w:w="80" w:type="dxa"/>
              <w:start w:w="80" w:type="dxa"/>
              <w:bottom w:w="80" w:type="dxa"/>
              <w:end w:w="80" w:type="dxa"/>
            </w:tcMar>
            <w:vAlign w:val="top"/>
          </w:tcPr>
          <w:p>
            <w:pPr>
              <w:spacing w:after="0"/>
            </w:pPr>
            <w:r>
              <w:rPr>
                <w:sz w:val="14"/>
              </w:rPr>
              <w:t>R16</w:t>
            </w:r>
          </w:p>
        </w:tc>
        <w:tc>
          <w:tcPr>
            <w:tcW w:type="dxa" w:w="5040"/>
            <w:tcMar>
              <w:top w:w="80" w:type="dxa"/>
              <w:start w:w="80" w:type="dxa"/>
              <w:bottom w:w="80" w:type="dxa"/>
              <w:end w:w="80" w:type="dxa"/>
            </w:tcMar>
            <w:vAlign w:val="top"/>
          </w:tcPr>
          <w:p>
            <w:pPr>
              <w:spacing w:after="0"/>
            </w:pPr>
            <w:r>
              <w:rPr>
                <w:sz w:val="14"/>
              </w:rPr>
              <w:t>NIST SP 800-162, Guide to Attribute Based Access Control</w:t>
            </w:r>
          </w:p>
        </w:tc>
        <w:tc>
          <w:tcPr>
            <w:tcW w:type="dxa" w:w="4320"/>
            <w:tcMar>
              <w:top w:w="80" w:type="dxa"/>
              <w:start w:w="80" w:type="dxa"/>
              <w:bottom w:w="80" w:type="dxa"/>
              <w:end w:w="80" w:type="dxa"/>
            </w:tcMar>
            <w:vAlign w:val="top"/>
          </w:tcPr>
          <w:p>
            <w:pPr>
              <w:spacing w:after="0"/>
            </w:pPr>
            <w:r>
              <w:rPr>
                <w:sz w:val="14"/>
              </w:rPr>
              <w:t>https://www.nist.gov/publications/guide-attribute-based-access-control-abac-definition-and-considerations</w:t>
            </w:r>
          </w:p>
        </w:tc>
      </w:tr>
      <w:tr>
        <w:tc>
          <w:tcPr>
            <w:tcW w:type="dxa" w:w="720"/>
            <w:tcMar>
              <w:top w:w="80" w:type="dxa"/>
              <w:start w:w="80" w:type="dxa"/>
              <w:bottom w:w="80" w:type="dxa"/>
              <w:end w:w="80" w:type="dxa"/>
            </w:tcMar>
            <w:vAlign w:val="top"/>
          </w:tcPr>
          <w:p>
            <w:pPr>
              <w:spacing w:after="0"/>
            </w:pPr>
            <w:r>
              <w:rPr>
                <w:sz w:val="14"/>
              </w:rPr>
              <w:t>R17</w:t>
            </w:r>
          </w:p>
        </w:tc>
        <w:tc>
          <w:tcPr>
            <w:tcW w:type="dxa" w:w="5040"/>
            <w:tcMar>
              <w:top w:w="80" w:type="dxa"/>
              <w:start w:w="80" w:type="dxa"/>
              <w:bottom w:w="80" w:type="dxa"/>
              <w:end w:w="80" w:type="dxa"/>
            </w:tcMar>
            <w:vAlign w:val="top"/>
          </w:tcPr>
          <w:p>
            <w:pPr>
              <w:spacing w:after="0"/>
            </w:pPr>
            <w:r>
              <w:rPr>
                <w:sz w:val="14"/>
              </w:rPr>
              <w:t>USPTO Patent Public Search and preliminary search resources</w:t>
            </w:r>
          </w:p>
        </w:tc>
        <w:tc>
          <w:tcPr>
            <w:tcW w:type="dxa" w:w="4320"/>
            <w:tcMar>
              <w:top w:w="80" w:type="dxa"/>
              <w:start w:w="80" w:type="dxa"/>
              <w:bottom w:w="80" w:type="dxa"/>
              <w:end w:w="80" w:type="dxa"/>
            </w:tcMar>
            <w:vAlign w:val="top"/>
          </w:tcPr>
          <w:p>
            <w:pPr>
              <w:spacing w:after="0"/>
            </w:pPr>
            <w:r>
              <w:rPr>
                <w:sz w:val="14"/>
              </w:rPr>
              <w:t>https://www.uspto.gov/patents/search</w:t>
            </w:r>
          </w:p>
        </w:tc>
      </w:tr>
      <w:tr>
        <w:tc>
          <w:tcPr>
            <w:tcW w:type="dxa" w:w="720"/>
            <w:tcMar>
              <w:top w:w="80" w:type="dxa"/>
              <w:start w:w="80" w:type="dxa"/>
              <w:bottom w:w="80" w:type="dxa"/>
              <w:end w:w="80" w:type="dxa"/>
            </w:tcMar>
            <w:vAlign w:val="top"/>
          </w:tcPr>
          <w:p>
            <w:pPr>
              <w:spacing w:after="0"/>
            </w:pPr>
            <w:r>
              <w:rPr>
                <w:sz w:val="14"/>
              </w:rPr>
              <w:t>R18</w:t>
            </w:r>
          </w:p>
        </w:tc>
        <w:tc>
          <w:tcPr>
            <w:tcW w:type="dxa" w:w="5040"/>
            <w:tcMar>
              <w:top w:w="80" w:type="dxa"/>
              <w:start w:w="80" w:type="dxa"/>
              <w:bottom w:w="80" w:type="dxa"/>
              <w:end w:w="80" w:type="dxa"/>
            </w:tcMar>
            <w:vAlign w:val="top"/>
          </w:tcPr>
          <w:p>
            <w:pPr>
              <w:spacing w:after="0"/>
            </w:pPr>
            <w:r>
              <w:rPr>
                <w:sz w:val="14"/>
              </w:rPr>
              <w:t>USPTO CPC definition for G06F, including G06F 9/466 transaction processing</w:t>
            </w:r>
          </w:p>
        </w:tc>
        <w:tc>
          <w:tcPr>
            <w:tcW w:type="dxa" w:w="4320"/>
            <w:tcMar>
              <w:top w:w="80" w:type="dxa"/>
              <w:start w:w="80" w:type="dxa"/>
              <w:bottom w:w="80" w:type="dxa"/>
              <w:end w:w="80" w:type="dxa"/>
            </w:tcMar>
            <w:vAlign w:val="top"/>
          </w:tcPr>
          <w:p>
            <w:pPr>
              <w:spacing w:after="0"/>
            </w:pPr>
            <w:r>
              <w:rPr>
                <w:sz w:val="14"/>
              </w:rPr>
              <w:t>https://www.uspto.gov/web/patents/classification/cpc/html/defG06F.html</w:t>
            </w:r>
          </w:p>
        </w:tc>
      </w:tr>
    </w:tbl>
    <w:p>
      <w:pPr>
        <w:spacing w:after="0"/>
      </w:pPr>
    </w:p>
    <w:p>
      <w:pPr>
        <w:pStyle w:val="Heading1"/>
        <w:keepNext/>
      </w:pPr>
      <w:r>
        <w:t>Appendix B — Repository evidence register</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720"/>
            <w:shd w:fill="17324D"/>
            <w:tcMar>
              <w:top w:w="80" w:type="dxa"/>
              <w:start w:w="80" w:type="dxa"/>
              <w:bottom w:w="80" w:type="dxa"/>
              <w:end w:w="80" w:type="dxa"/>
            </w:tcMar>
            <w:vAlign w:val="center"/>
          </w:tcPr>
          <w:p>
            <w:pPr>
              <w:jc w:val="center"/>
            </w:pPr>
            <w:r>
              <w:rPr>
                <w:b/>
                <w:color w:val="FFFFFF"/>
                <w:sz w:val="15"/>
              </w:rPr>
              <w:t>ID</w:t>
            </w:r>
          </w:p>
        </w:tc>
        <w:tc>
          <w:tcPr>
            <w:tcW w:type="dxa" w:w="4608"/>
            <w:shd w:fill="17324D"/>
            <w:tcMar>
              <w:top w:w="80" w:type="dxa"/>
              <w:start w:w="80" w:type="dxa"/>
              <w:bottom w:w="80" w:type="dxa"/>
              <w:end w:w="80" w:type="dxa"/>
            </w:tcMar>
            <w:vAlign w:val="center"/>
          </w:tcPr>
          <w:p>
            <w:pPr>
              <w:jc w:val="center"/>
            </w:pPr>
            <w:r>
              <w:rPr>
                <w:b/>
                <w:color w:val="FFFFFF"/>
                <w:sz w:val="15"/>
              </w:rPr>
              <w:t>Path at repository revision</w:t>
            </w:r>
          </w:p>
        </w:tc>
        <w:tc>
          <w:tcPr>
            <w:tcW w:type="dxa" w:w="4752"/>
            <w:shd w:fill="17324D"/>
            <w:tcMar>
              <w:top w:w="80" w:type="dxa"/>
              <w:start w:w="80" w:type="dxa"/>
              <w:bottom w:w="80" w:type="dxa"/>
              <w:end w:w="80" w:type="dxa"/>
            </w:tcMar>
            <w:vAlign w:val="center"/>
          </w:tcPr>
          <w:p>
            <w:pPr>
              <w:jc w:val="center"/>
            </w:pPr>
            <w:r>
              <w:rPr>
                <w:b/>
                <w:color w:val="FFFFFF"/>
                <w:sz w:val="15"/>
              </w:rPr>
              <w:t>Relevance</w:t>
            </w:r>
          </w:p>
        </w:tc>
      </w:tr>
      <w:tr>
        <w:tc>
          <w:tcPr>
            <w:tcW w:type="dxa" w:w="720"/>
            <w:tcMar>
              <w:top w:w="80" w:type="dxa"/>
              <w:start w:w="80" w:type="dxa"/>
              <w:bottom w:w="80" w:type="dxa"/>
              <w:end w:w="80" w:type="dxa"/>
            </w:tcMar>
            <w:vAlign w:val="top"/>
          </w:tcPr>
          <w:p>
            <w:pPr>
              <w:spacing w:after="0"/>
            </w:pPr>
            <w:r>
              <w:rPr>
                <w:sz w:val="15"/>
              </w:rPr>
              <w:t>C1</w:t>
            </w:r>
          </w:p>
        </w:tc>
        <w:tc>
          <w:tcPr>
            <w:tcW w:type="dxa" w:w="4608"/>
            <w:tcMar>
              <w:top w:w="80" w:type="dxa"/>
              <w:start w:w="80" w:type="dxa"/>
              <w:bottom w:w="80" w:type="dxa"/>
              <w:end w:w="80" w:type="dxa"/>
            </w:tcMar>
            <w:vAlign w:val="top"/>
          </w:tcPr>
          <w:p>
            <w:pPr>
              <w:spacing w:after="0"/>
            </w:pPr>
            <w:r>
              <w:rPr>
                <w:sz w:val="15"/>
              </w:rPr>
              <w:t>docs/canon/MANIFEST.toml</w:t>
            </w:r>
          </w:p>
        </w:tc>
        <w:tc>
          <w:tcPr>
            <w:tcW w:type="dxa" w:w="4752"/>
            <w:tcMar>
              <w:top w:w="80" w:type="dxa"/>
              <w:start w:w="80" w:type="dxa"/>
              <w:bottom w:w="80" w:type="dxa"/>
              <w:end w:w="80" w:type="dxa"/>
            </w:tcMar>
            <w:vAlign w:val="top"/>
          </w:tcPr>
          <w:p>
            <w:pPr>
              <w:spacing w:after="0"/>
            </w:pPr>
            <w:r>
              <w:rPr>
                <w:sz w:val="15"/>
              </w:rPr>
              <w:t>Active canon manifest; authority_state=active; compiler 0.2.0.</w:t>
            </w:r>
          </w:p>
        </w:tc>
      </w:tr>
      <w:tr>
        <w:tc>
          <w:tcPr>
            <w:tcW w:type="dxa" w:w="720"/>
            <w:tcMar>
              <w:top w:w="80" w:type="dxa"/>
              <w:start w:w="80" w:type="dxa"/>
              <w:bottom w:w="80" w:type="dxa"/>
              <w:end w:w="80" w:type="dxa"/>
            </w:tcMar>
            <w:vAlign w:val="top"/>
          </w:tcPr>
          <w:p>
            <w:pPr>
              <w:spacing w:after="0"/>
            </w:pPr>
            <w:r>
              <w:rPr>
                <w:sz w:val="15"/>
              </w:rPr>
              <w:t>C2</w:t>
            </w:r>
          </w:p>
        </w:tc>
        <w:tc>
          <w:tcPr>
            <w:tcW w:type="dxa" w:w="4608"/>
            <w:tcMar>
              <w:top w:w="80" w:type="dxa"/>
              <w:start w:w="80" w:type="dxa"/>
              <w:bottom w:w="80" w:type="dxa"/>
              <w:end w:w="80" w:type="dxa"/>
            </w:tcMar>
            <w:vAlign w:val="top"/>
          </w:tcPr>
          <w:p>
            <w:pPr>
              <w:spacing w:after="0"/>
            </w:pPr>
            <w:r>
              <w:rPr>
                <w:sz w:val="15"/>
              </w:rPr>
              <w:t>docs/canon/CONSTITUTION.md</w:t>
            </w:r>
          </w:p>
        </w:tc>
        <w:tc>
          <w:tcPr>
            <w:tcW w:type="dxa" w:w="4752"/>
            <w:tcMar>
              <w:top w:w="80" w:type="dxa"/>
              <w:start w:w="80" w:type="dxa"/>
              <w:bottom w:w="80" w:type="dxa"/>
              <w:end w:w="80" w:type="dxa"/>
            </w:tcMar>
            <w:vAlign w:val="top"/>
          </w:tcPr>
          <w:p>
            <w:pPr>
              <w:spacing w:after="0"/>
            </w:pPr>
            <w:r>
              <w:rPr>
                <w:sz w:val="15"/>
              </w:rPr>
              <w:t>Product mission, user control, integrated orchestration, non-commodity center, local runtime moat.</w:t>
            </w:r>
          </w:p>
        </w:tc>
      </w:tr>
      <w:tr>
        <w:tc>
          <w:tcPr>
            <w:tcW w:type="dxa" w:w="720"/>
            <w:tcMar>
              <w:top w:w="80" w:type="dxa"/>
              <w:start w:w="80" w:type="dxa"/>
              <w:bottom w:w="80" w:type="dxa"/>
              <w:end w:w="80" w:type="dxa"/>
            </w:tcMar>
            <w:vAlign w:val="top"/>
          </w:tcPr>
          <w:p>
            <w:pPr>
              <w:spacing w:after="0"/>
            </w:pPr>
            <w:r>
              <w:rPr>
                <w:sz w:val="15"/>
              </w:rPr>
              <w:t>C3</w:t>
            </w:r>
          </w:p>
        </w:tc>
        <w:tc>
          <w:tcPr>
            <w:tcW w:type="dxa" w:w="4608"/>
            <w:tcMar>
              <w:top w:w="80" w:type="dxa"/>
              <w:start w:w="80" w:type="dxa"/>
              <w:bottom w:w="80" w:type="dxa"/>
              <w:end w:w="80" w:type="dxa"/>
            </w:tcMar>
            <w:vAlign w:val="top"/>
          </w:tcPr>
          <w:p>
            <w:pPr>
              <w:spacing w:after="0"/>
            </w:pPr>
            <w:r>
              <w:rPr>
                <w:sz w:val="15"/>
              </w:rPr>
              <w:t>docs/canon/specifications/systems/private-life-runtime.md</w:t>
            </w:r>
          </w:p>
        </w:tc>
        <w:tc>
          <w:tcPr>
            <w:tcW w:type="dxa" w:w="4752"/>
            <w:tcMar>
              <w:top w:w="80" w:type="dxa"/>
              <w:start w:w="80" w:type="dxa"/>
              <w:bottom w:w="80" w:type="dxa"/>
              <w:end w:w="80" w:type="dxa"/>
            </w:tcMar>
            <w:vAlign w:val="top"/>
          </w:tcPr>
          <w:p>
            <w:pPr>
              <w:spacing w:after="0"/>
            </w:pPr>
            <w:r>
              <w:rPr>
                <w:sz w:val="15"/>
              </w:rPr>
              <w:t>Typed Command, local deterministic simulation, atomic mutation, Receipt, replay, external-after-local ordering.</w:t>
            </w:r>
          </w:p>
        </w:tc>
      </w:tr>
      <w:tr>
        <w:tc>
          <w:tcPr>
            <w:tcW w:type="dxa" w:w="720"/>
            <w:tcMar>
              <w:top w:w="80" w:type="dxa"/>
              <w:start w:w="80" w:type="dxa"/>
              <w:bottom w:w="80" w:type="dxa"/>
              <w:end w:w="80" w:type="dxa"/>
            </w:tcMar>
            <w:vAlign w:val="top"/>
          </w:tcPr>
          <w:p>
            <w:pPr>
              <w:spacing w:after="0"/>
            </w:pPr>
            <w:r>
              <w:rPr>
                <w:sz w:val="15"/>
              </w:rPr>
              <w:t>C4</w:t>
            </w:r>
          </w:p>
        </w:tc>
        <w:tc>
          <w:tcPr>
            <w:tcW w:type="dxa" w:w="4608"/>
            <w:tcMar>
              <w:top w:w="80" w:type="dxa"/>
              <w:start w:w="80" w:type="dxa"/>
              <w:bottom w:w="80" w:type="dxa"/>
              <w:end w:w="80" w:type="dxa"/>
            </w:tcMar>
            <w:vAlign w:val="top"/>
          </w:tcPr>
          <w:p>
            <w:pPr>
              <w:spacing w:after="0"/>
            </w:pPr>
            <w:r>
              <w:rPr>
                <w:sz w:val="15"/>
              </w:rPr>
              <w:t>docs/canon/specifications/systems/scheduling-and-capacity.md</w:t>
            </w:r>
          </w:p>
        </w:tc>
        <w:tc>
          <w:tcPr>
            <w:tcW w:type="dxa" w:w="4752"/>
            <w:tcMar>
              <w:top w:w="80" w:type="dxa"/>
              <w:start w:w="80" w:type="dxa"/>
              <w:bottom w:w="80" w:type="dxa"/>
              <w:end w:w="80" w:type="dxa"/>
            </w:tcMar>
            <w:vAlign w:val="top"/>
          </w:tcPr>
          <w:p>
            <w:pPr>
              <w:spacing w:after="0"/>
            </w:pPr>
            <w:r>
              <w:rPr>
                <w:sz w:val="15"/>
              </w:rPr>
              <w:t>Capacity, fit, reflow, infeasibility, deterministic change sets, confirmation, rollback.</w:t>
            </w:r>
          </w:p>
        </w:tc>
      </w:tr>
      <w:tr>
        <w:tc>
          <w:tcPr>
            <w:tcW w:type="dxa" w:w="720"/>
            <w:tcMar>
              <w:top w:w="80" w:type="dxa"/>
              <w:start w:w="80" w:type="dxa"/>
              <w:bottom w:w="80" w:type="dxa"/>
              <w:end w:w="80" w:type="dxa"/>
            </w:tcMar>
            <w:vAlign w:val="top"/>
          </w:tcPr>
          <w:p>
            <w:pPr>
              <w:spacing w:after="0"/>
            </w:pPr>
            <w:r>
              <w:rPr>
                <w:sz w:val="15"/>
              </w:rPr>
              <w:t>C5</w:t>
            </w:r>
          </w:p>
        </w:tc>
        <w:tc>
          <w:tcPr>
            <w:tcW w:type="dxa" w:w="4608"/>
            <w:tcMar>
              <w:top w:w="80" w:type="dxa"/>
              <w:start w:w="80" w:type="dxa"/>
              <w:bottom w:w="80" w:type="dxa"/>
              <w:end w:w="80" w:type="dxa"/>
            </w:tcMar>
            <w:vAlign w:val="top"/>
          </w:tcPr>
          <w:p>
            <w:pPr>
              <w:spacing w:after="0"/>
            </w:pPr>
            <w:r>
              <w:rPr>
                <w:sz w:val="15"/>
              </w:rPr>
              <w:t>Native/Ambitions/Core/Domain/GoalEngine/GoalPathCompilerModels.swift</w:t>
            </w:r>
          </w:p>
        </w:tc>
        <w:tc>
          <w:tcPr>
            <w:tcW w:type="dxa" w:w="4752"/>
            <w:tcMar>
              <w:top w:w="80" w:type="dxa"/>
              <w:start w:w="80" w:type="dxa"/>
              <w:bottom w:w="80" w:type="dxa"/>
              <w:end w:w="80" w:type="dxa"/>
            </w:tcMar>
            <w:vAlign w:val="top"/>
          </w:tcPr>
          <w:p>
            <w:pPr>
              <w:spacing w:after="0"/>
            </w:pPr>
            <w:r>
              <w:rPr>
                <w:sz w:val="15"/>
              </w:rPr>
              <w:t>Goal-level candidates, assumptions, dependencies, branches, risks, readiness, blocking reasons.</w:t>
            </w:r>
          </w:p>
        </w:tc>
      </w:tr>
      <w:tr>
        <w:tc>
          <w:tcPr>
            <w:tcW w:type="dxa" w:w="720"/>
            <w:tcMar>
              <w:top w:w="80" w:type="dxa"/>
              <w:start w:w="80" w:type="dxa"/>
              <w:bottom w:w="80" w:type="dxa"/>
              <w:end w:w="80" w:type="dxa"/>
            </w:tcMar>
            <w:vAlign w:val="top"/>
          </w:tcPr>
          <w:p>
            <w:pPr>
              <w:spacing w:after="0"/>
            </w:pPr>
            <w:r>
              <w:rPr>
                <w:sz w:val="15"/>
              </w:rPr>
              <w:t>C6</w:t>
            </w:r>
          </w:p>
        </w:tc>
        <w:tc>
          <w:tcPr>
            <w:tcW w:type="dxa" w:w="4608"/>
            <w:tcMar>
              <w:top w:w="80" w:type="dxa"/>
              <w:start w:w="80" w:type="dxa"/>
              <w:bottom w:w="80" w:type="dxa"/>
              <w:end w:w="80" w:type="dxa"/>
            </w:tcMar>
            <w:vAlign w:val="top"/>
          </w:tcPr>
          <w:p>
            <w:pPr>
              <w:spacing w:after="0"/>
            </w:pPr>
            <w:r>
              <w:rPr>
                <w:sz w:val="15"/>
              </w:rPr>
              <w:t>Native/Ambitions/Surfaces/Time/Projection/TimeRealityReflowProjection.swift</w:t>
            </w:r>
          </w:p>
        </w:tc>
        <w:tc>
          <w:tcPr>
            <w:tcW w:type="dxa" w:w="4752"/>
            <w:tcMar>
              <w:top w:w="80" w:type="dxa"/>
              <w:start w:w="80" w:type="dxa"/>
              <w:bottom w:w="80" w:type="dxa"/>
              <w:end w:w="80" w:type="dxa"/>
            </w:tcMar>
            <w:vAlign w:val="top"/>
          </w:tcPr>
          <w:p>
            <w:pPr>
              <w:spacing w:after="0"/>
            </w:pPr>
            <w:r>
              <w:rPr>
                <w:sz w:val="15"/>
              </w:rPr>
              <w:t>Current changed-reality detection and local repair vocabulary.</w:t>
            </w:r>
          </w:p>
        </w:tc>
      </w:tr>
      <w:tr>
        <w:tc>
          <w:tcPr>
            <w:tcW w:type="dxa" w:w="720"/>
            <w:tcMar>
              <w:top w:w="80" w:type="dxa"/>
              <w:start w:w="80" w:type="dxa"/>
              <w:bottom w:w="80" w:type="dxa"/>
              <w:end w:w="80" w:type="dxa"/>
            </w:tcMar>
            <w:vAlign w:val="top"/>
          </w:tcPr>
          <w:p>
            <w:pPr>
              <w:spacing w:after="0"/>
            </w:pPr>
            <w:r>
              <w:rPr>
                <w:sz w:val="15"/>
              </w:rPr>
              <w:t>C7</w:t>
            </w:r>
          </w:p>
        </w:tc>
        <w:tc>
          <w:tcPr>
            <w:tcW w:type="dxa" w:w="4608"/>
            <w:tcMar>
              <w:top w:w="80" w:type="dxa"/>
              <w:start w:w="80" w:type="dxa"/>
              <w:bottom w:w="80" w:type="dxa"/>
              <w:end w:w="80" w:type="dxa"/>
            </w:tcMar>
            <w:vAlign w:val="top"/>
          </w:tcPr>
          <w:p>
            <w:pPr>
              <w:spacing w:after="0"/>
            </w:pPr>
            <w:r>
              <w:rPr>
                <w:sz w:val="15"/>
              </w:rPr>
              <w:t>Native/Ambitions/Core/Domain/AmbitionGraphRecoveryThread.swift</w:t>
            </w:r>
          </w:p>
        </w:tc>
        <w:tc>
          <w:tcPr>
            <w:tcW w:type="dxa" w:w="4752"/>
            <w:tcMar>
              <w:top w:w="80" w:type="dxa"/>
              <w:start w:w="80" w:type="dxa"/>
              <w:bottom w:w="80" w:type="dxa"/>
              <w:end w:w="80" w:type="dxa"/>
            </w:tcMar>
            <w:vAlign w:val="top"/>
          </w:tcPr>
          <w:p>
            <w:pPr>
              <w:spacing w:after="0"/>
            </w:pPr>
            <w:r>
              <w:rPr>
                <w:sz w:val="15"/>
              </w:rPr>
              <w:t>Recovery Thread, last honest point, Proof preservation, re-entry, Receipt.</w:t>
            </w:r>
          </w:p>
        </w:tc>
      </w:tr>
      <w:tr>
        <w:tc>
          <w:tcPr>
            <w:tcW w:type="dxa" w:w="720"/>
            <w:tcMar>
              <w:top w:w="80" w:type="dxa"/>
              <w:start w:w="80" w:type="dxa"/>
              <w:bottom w:w="80" w:type="dxa"/>
              <w:end w:w="80" w:type="dxa"/>
            </w:tcMar>
            <w:vAlign w:val="top"/>
          </w:tcPr>
          <w:p>
            <w:pPr>
              <w:spacing w:after="0"/>
            </w:pPr>
            <w:r>
              <w:rPr>
                <w:sz w:val="15"/>
              </w:rPr>
              <w:t>C8</w:t>
            </w:r>
          </w:p>
        </w:tc>
        <w:tc>
          <w:tcPr>
            <w:tcW w:type="dxa" w:w="4608"/>
            <w:tcMar>
              <w:top w:w="80" w:type="dxa"/>
              <w:start w:w="80" w:type="dxa"/>
              <w:bottom w:w="80" w:type="dxa"/>
              <w:end w:w="80" w:type="dxa"/>
            </w:tcMar>
            <w:vAlign w:val="top"/>
          </w:tcPr>
          <w:p>
            <w:pPr>
              <w:spacing w:after="0"/>
            </w:pPr>
            <w:r>
              <w:rPr>
                <w:sz w:val="15"/>
              </w:rPr>
              <w:t>Native/Ambitions/Core/LocalRuntimeOS/PrivateLifeRuntimeKernel/PersonalizationFactorLedger.swift</w:t>
            </w:r>
          </w:p>
        </w:tc>
        <w:tc>
          <w:tcPr>
            <w:tcW w:type="dxa" w:w="4752"/>
            <w:tcMar>
              <w:top w:w="80" w:type="dxa"/>
              <w:start w:w="80" w:type="dxa"/>
              <w:bottom w:w="80" w:type="dxa"/>
              <w:end w:w="80" w:type="dxa"/>
            </w:tcMar>
            <w:vAlign w:val="top"/>
          </w:tcPr>
          <w:p>
            <w:pPr>
              <w:spacing w:after="0"/>
            </w:pPr>
            <w:r>
              <w:rPr>
                <w:sz w:val="15"/>
              </w:rPr>
              <w:t>Decision factors, freshness, permission, sensitivity, selected/rejected candidates, replay fingerprint.</w:t>
            </w:r>
          </w:p>
        </w:tc>
      </w:tr>
      <w:tr>
        <w:tc>
          <w:tcPr>
            <w:tcW w:type="dxa" w:w="720"/>
            <w:tcMar>
              <w:top w:w="80" w:type="dxa"/>
              <w:start w:w="80" w:type="dxa"/>
              <w:bottom w:w="80" w:type="dxa"/>
              <w:end w:w="80" w:type="dxa"/>
            </w:tcMar>
            <w:vAlign w:val="top"/>
          </w:tcPr>
          <w:p>
            <w:pPr>
              <w:spacing w:after="0"/>
            </w:pPr>
            <w:r>
              <w:rPr>
                <w:sz w:val="15"/>
              </w:rPr>
              <w:t>C9</w:t>
            </w:r>
          </w:p>
        </w:tc>
        <w:tc>
          <w:tcPr>
            <w:tcW w:type="dxa" w:w="4608"/>
            <w:tcMar>
              <w:top w:w="80" w:type="dxa"/>
              <w:start w:w="80" w:type="dxa"/>
              <w:bottom w:w="80" w:type="dxa"/>
              <w:end w:w="80" w:type="dxa"/>
            </w:tcMar>
            <w:vAlign w:val="top"/>
          </w:tcPr>
          <w:p>
            <w:pPr>
              <w:spacing w:after="0"/>
            </w:pPr>
            <w:r>
              <w:rPr>
                <w:sz w:val="15"/>
              </w:rPr>
              <w:t>Native/Ambitions/Core/LocalRuntimeOS/PrivateLifeRuntimeKernel/ReplayableDecisionTrace.swift</w:t>
            </w:r>
          </w:p>
        </w:tc>
        <w:tc>
          <w:tcPr>
            <w:tcW w:type="dxa" w:w="4752"/>
            <w:tcMar>
              <w:top w:w="80" w:type="dxa"/>
              <w:start w:w="80" w:type="dxa"/>
              <w:bottom w:w="80" w:type="dxa"/>
              <w:end w:w="80" w:type="dxa"/>
            </w:tcMar>
            <w:vAlign w:val="top"/>
          </w:tcPr>
          <w:p>
            <w:pPr>
              <w:spacing w:after="0"/>
            </w:pPr>
            <w:r>
              <w:rPr>
                <w:sz w:val="15"/>
              </w:rPr>
              <w:t>Local decision replay, source audit, context, contradictions, controls, uncertainty, Receipt state.</w:t>
            </w:r>
          </w:p>
        </w:tc>
      </w:tr>
      <w:tr>
        <w:tc>
          <w:tcPr>
            <w:tcW w:type="dxa" w:w="720"/>
            <w:tcMar>
              <w:top w:w="80" w:type="dxa"/>
              <w:start w:w="80" w:type="dxa"/>
              <w:bottom w:w="80" w:type="dxa"/>
              <w:end w:w="80" w:type="dxa"/>
            </w:tcMar>
            <w:vAlign w:val="top"/>
          </w:tcPr>
          <w:p>
            <w:pPr>
              <w:spacing w:after="0"/>
            </w:pPr>
            <w:r>
              <w:rPr>
                <w:sz w:val="15"/>
              </w:rPr>
              <w:t>C10</w:t>
            </w:r>
          </w:p>
        </w:tc>
        <w:tc>
          <w:tcPr>
            <w:tcW w:type="dxa" w:w="4608"/>
            <w:tcMar>
              <w:top w:w="80" w:type="dxa"/>
              <w:start w:w="80" w:type="dxa"/>
              <w:bottom w:w="80" w:type="dxa"/>
              <w:end w:w="80" w:type="dxa"/>
            </w:tcMar>
            <w:vAlign w:val="top"/>
          </w:tcPr>
          <w:p>
            <w:pPr>
              <w:spacing w:after="0"/>
            </w:pPr>
            <w:r>
              <w:rPr>
                <w:sz w:val="15"/>
              </w:rPr>
              <w:t>docs/canon/generated/CODEX_START_HERE.md</w:t>
            </w:r>
          </w:p>
        </w:tc>
        <w:tc>
          <w:tcPr>
            <w:tcW w:type="dxa" w:w="4752"/>
            <w:tcMar>
              <w:top w:w="80" w:type="dxa"/>
              <w:start w:w="80" w:type="dxa"/>
              <w:bottom w:w="80" w:type="dxa"/>
              <w:end w:w="80" w:type="dxa"/>
            </w:tcMar>
            <w:vAlign w:val="top"/>
          </w:tcPr>
          <w:p>
            <w:pPr>
              <w:spacing w:after="0"/>
            </w:pPr>
            <w:r>
              <w:rPr>
                <w:sz w:val="15"/>
              </w:rPr>
              <w:t>Codex governance flow: audit, bounded pack, task-start authorization, exact-diff finalize.</w:t>
            </w:r>
          </w:p>
        </w:tc>
      </w:tr>
      <w:tr>
        <w:tc>
          <w:tcPr>
            <w:tcW w:type="dxa" w:w="720"/>
            <w:tcMar>
              <w:top w:w="80" w:type="dxa"/>
              <w:start w:w="80" w:type="dxa"/>
              <w:bottom w:w="80" w:type="dxa"/>
              <w:end w:w="80" w:type="dxa"/>
            </w:tcMar>
            <w:vAlign w:val="top"/>
          </w:tcPr>
          <w:p>
            <w:pPr>
              <w:spacing w:after="0"/>
            </w:pPr>
            <w:r>
              <w:rPr>
                <w:sz w:val="15"/>
              </w:rPr>
              <w:t>C11</w:t>
            </w:r>
          </w:p>
        </w:tc>
        <w:tc>
          <w:tcPr>
            <w:tcW w:type="dxa" w:w="4608"/>
            <w:tcMar>
              <w:top w:w="80" w:type="dxa"/>
              <w:start w:w="80" w:type="dxa"/>
              <w:bottom w:w="80" w:type="dxa"/>
              <w:end w:w="80" w:type="dxa"/>
            </w:tcMar>
            <w:vAlign w:val="top"/>
          </w:tcPr>
          <w:p>
            <w:pPr>
              <w:spacing w:after="0"/>
            </w:pPr>
            <w:r>
              <w:rPr>
                <w:sz w:val="15"/>
              </w:rPr>
              <w:t>docs/canon/generated/CHATGPT_CODEX_HANDOFF.md</w:t>
            </w:r>
          </w:p>
        </w:tc>
        <w:tc>
          <w:tcPr>
            <w:tcW w:type="dxa" w:w="4752"/>
            <w:tcMar>
              <w:top w:w="80" w:type="dxa"/>
              <w:start w:w="80" w:type="dxa"/>
              <w:bottom w:w="80" w:type="dxa"/>
              <w:end w:w="80" w:type="dxa"/>
            </w:tcMar>
            <w:vAlign w:val="top"/>
          </w:tcPr>
          <w:p>
            <w:pPr>
              <w:spacing w:after="0"/>
            </w:pPr>
            <w:r>
              <w:rPr>
                <w:sz w:val="15"/>
              </w:rPr>
              <w:t>Request-only handoff; cannot authorize edits, proof, merge, or canon.</w:t>
            </w:r>
          </w:p>
        </w:tc>
      </w:tr>
    </w:tbl>
    <w:p>
      <w:pPr>
        <w:spacing w:after="0"/>
      </w:pPr>
    </w:p>
    <w:p>
      <w:pPr>
        <w:pStyle w:val="Heading1"/>
        <w:keepNext/>
      </w:pPr>
      <w:r>
        <w:t>Appendix C — Glossary of claim-oriented technical language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17324D"/>
            <w:tcMar>
              <w:top w:w="80" w:type="dxa"/>
              <w:start w:w="80" w:type="dxa"/>
              <w:bottom w:w="80" w:type="dxa"/>
              <w:end w:w="80" w:type="dxa"/>
            </w:tcMar>
            <w:vAlign w:val="center"/>
          </w:tcPr>
          <w:p>
            <w:pPr>
              <w:jc w:val="center"/>
            </w:pPr>
            <w:r>
              <w:rPr>
                <w:b/>
                <w:color w:val="FFFFFF"/>
                <w:sz w:val="16"/>
              </w:rPr>
              <w:t>Phrase</w:t>
            </w:r>
          </w:p>
        </w:tc>
        <w:tc>
          <w:tcPr>
            <w:tcW w:type="dxa" w:w="6912"/>
            <w:shd w:fill="17324D"/>
            <w:tcMar>
              <w:top w:w="80" w:type="dxa"/>
              <w:start w:w="80" w:type="dxa"/>
              <w:bottom w:w="80" w:type="dxa"/>
              <w:end w:w="80" w:type="dxa"/>
            </w:tcMar>
            <w:vAlign w:val="center"/>
          </w:tcPr>
          <w:p>
            <w:pPr>
              <w:jc w:val="center"/>
            </w:pPr>
            <w:r>
              <w:rPr>
                <w:b/>
                <w:color w:val="FFFFFF"/>
                <w:sz w:val="16"/>
              </w:rPr>
              <w:t>Meaning</w:t>
            </w:r>
          </w:p>
        </w:tc>
      </w:tr>
      <w:tr>
        <w:tc>
          <w:tcPr>
            <w:tcW w:type="dxa" w:w="2880"/>
            <w:tcMar>
              <w:top w:w="80" w:type="dxa"/>
              <w:start w:w="80" w:type="dxa"/>
              <w:bottom w:w="80" w:type="dxa"/>
              <w:end w:w="80" w:type="dxa"/>
            </w:tcMar>
            <w:vAlign w:val="top"/>
          </w:tcPr>
          <w:p>
            <w:pPr>
              <w:spacing w:after="0"/>
            </w:pPr>
            <w:r>
              <w:rPr>
                <w:sz w:val="16"/>
              </w:rPr>
              <w:t>Active state branch</w:t>
            </w:r>
          </w:p>
        </w:tc>
        <w:tc>
          <w:tcPr>
            <w:tcW w:type="dxa" w:w="6912"/>
            <w:tcMar>
              <w:top w:w="80" w:type="dxa"/>
              <w:start w:w="80" w:type="dxa"/>
              <w:bottom w:w="80" w:type="dxa"/>
              <w:end w:w="80" w:type="dxa"/>
            </w:tcMar>
            <w:vAlign w:val="top"/>
          </w:tcPr>
          <w:p>
            <w:pPr>
              <w:spacing w:after="0"/>
            </w:pPr>
            <w:r>
              <w:rPr>
                <w:sz w:val="16"/>
              </w:rPr>
              <w:t>One prospective state overlay currently governing execution.</w:t>
            </w:r>
          </w:p>
        </w:tc>
      </w:tr>
      <w:tr>
        <w:tc>
          <w:tcPr>
            <w:tcW w:type="dxa" w:w="2880"/>
            <w:tcMar>
              <w:top w:w="80" w:type="dxa"/>
              <w:start w:w="80" w:type="dxa"/>
              <w:bottom w:w="80" w:type="dxa"/>
              <w:end w:w="80" w:type="dxa"/>
            </w:tcMar>
            <w:vAlign w:val="top"/>
          </w:tcPr>
          <w:p>
            <w:pPr>
              <w:spacing w:after="0"/>
            </w:pPr>
            <w:r>
              <w:rPr>
                <w:sz w:val="16"/>
              </w:rPr>
              <w:t>Branch promotion transaction</w:t>
            </w:r>
          </w:p>
        </w:tc>
        <w:tc>
          <w:tcPr>
            <w:tcW w:type="dxa" w:w="6912"/>
            <w:tcMar>
              <w:top w:w="80" w:type="dxa"/>
              <w:start w:w="80" w:type="dxa"/>
              <w:bottom w:w="80" w:type="dxa"/>
              <w:end w:w="80" w:type="dxa"/>
            </w:tcMar>
            <w:vAlign w:val="top"/>
          </w:tcPr>
          <w:p>
            <w:pPr>
              <w:spacing w:after="0"/>
            </w:pPr>
            <w:r>
              <w:rPr>
                <w:sz w:val="16"/>
              </w:rPr>
              <w:t>Parent transaction that transforms the canonical state to the selected branch and preserves causal lineage.</w:t>
            </w:r>
          </w:p>
        </w:tc>
      </w:tr>
      <w:tr>
        <w:tc>
          <w:tcPr>
            <w:tcW w:type="dxa" w:w="2880"/>
            <w:tcMar>
              <w:top w:w="80" w:type="dxa"/>
              <w:start w:w="80" w:type="dxa"/>
              <w:bottom w:w="80" w:type="dxa"/>
              <w:end w:w="80" w:type="dxa"/>
            </w:tcMar>
            <w:vAlign w:val="top"/>
          </w:tcPr>
          <w:p>
            <w:pPr>
              <w:spacing w:after="0"/>
            </w:pPr>
            <w:r>
              <w:rPr>
                <w:sz w:val="16"/>
              </w:rPr>
              <w:t>Certificate dependency</w:t>
            </w:r>
          </w:p>
        </w:tc>
        <w:tc>
          <w:tcPr>
            <w:tcW w:type="dxa" w:w="6912"/>
            <w:tcMar>
              <w:top w:w="80" w:type="dxa"/>
              <w:start w:w="80" w:type="dxa"/>
              <w:bottom w:w="80" w:type="dxa"/>
              <w:end w:w="80" w:type="dxa"/>
            </w:tcMar>
            <w:vAlign w:val="top"/>
          </w:tcPr>
          <w:p>
            <w:pPr>
              <w:spacing w:after="0"/>
            </w:pPr>
            <w:r>
              <w:rPr>
                <w:sz w:val="16"/>
              </w:rPr>
              <w:t>Declared relationship connecting revisioned source input to certificate or delta state.</w:t>
            </w:r>
          </w:p>
        </w:tc>
      </w:tr>
      <w:tr>
        <w:tc>
          <w:tcPr>
            <w:tcW w:type="dxa" w:w="2880"/>
            <w:tcMar>
              <w:top w:w="80" w:type="dxa"/>
              <w:start w:w="80" w:type="dxa"/>
              <w:bottom w:w="80" w:type="dxa"/>
              <w:end w:w="80" w:type="dxa"/>
            </w:tcMar>
            <w:vAlign w:val="top"/>
          </w:tcPr>
          <w:p>
            <w:pPr>
              <w:spacing w:after="0"/>
            </w:pPr>
            <w:r>
              <w:rPr>
                <w:sz w:val="16"/>
              </w:rPr>
              <w:t>Correction-derived candidate</w:t>
            </w:r>
          </w:p>
        </w:tc>
        <w:tc>
          <w:tcPr>
            <w:tcW w:type="dxa" w:w="6912"/>
            <w:tcMar>
              <w:top w:w="80" w:type="dxa"/>
              <w:start w:w="80" w:type="dxa"/>
              <w:bottom w:w="80" w:type="dxa"/>
              <w:end w:w="80" w:type="dxa"/>
            </w:tcMar>
            <w:vAlign w:val="top"/>
          </w:tcPr>
          <w:p>
            <w:pPr>
              <w:spacing w:after="0"/>
            </w:pPr>
            <w:r>
              <w:rPr>
                <w:sz w:val="16"/>
              </w:rPr>
              <w:t>Alternative created from a distinct repair or relaxation of a failed certificate.</w:t>
            </w:r>
          </w:p>
        </w:tc>
      </w:tr>
      <w:tr>
        <w:tc>
          <w:tcPr>
            <w:tcW w:type="dxa" w:w="2880"/>
            <w:tcMar>
              <w:top w:w="80" w:type="dxa"/>
              <w:start w:w="80" w:type="dxa"/>
              <w:bottom w:w="80" w:type="dxa"/>
              <w:end w:w="80" w:type="dxa"/>
            </w:tcMar>
            <w:vAlign w:val="top"/>
          </w:tcPr>
          <w:p>
            <w:pPr>
              <w:spacing w:after="0"/>
            </w:pPr>
            <w:r>
              <w:rPr>
                <w:sz w:val="16"/>
              </w:rPr>
              <w:t>Latent contingency policy</w:t>
            </w:r>
          </w:p>
        </w:tc>
        <w:tc>
          <w:tcPr>
            <w:tcW w:type="dxa" w:w="6912"/>
            <w:tcMar>
              <w:top w:w="80" w:type="dxa"/>
              <w:start w:w="80" w:type="dxa"/>
              <w:bottom w:w="80" w:type="dxa"/>
              <w:end w:w="80" w:type="dxa"/>
            </w:tcMar>
            <w:vAlign w:val="top"/>
          </w:tcPr>
          <w:p>
            <w:pPr>
              <w:spacing w:after="0"/>
            </w:pPr>
            <w:r>
              <w:rPr>
                <w:sz w:val="16"/>
              </w:rPr>
              <w:t>Non-instantiated policy template that can compile a full candidate when triggered.</w:t>
            </w:r>
          </w:p>
        </w:tc>
      </w:tr>
      <w:tr>
        <w:tc>
          <w:tcPr>
            <w:tcW w:type="dxa" w:w="2880"/>
            <w:tcMar>
              <w:top w:w="80" w:type="dxa"/>
              <w:start w:w="80" w:type="dxa"/>
              <w:bottom w:w="80" w:type="dxa"/>
              <w:end w:w="80" w:type="dxa"/>
            </w:tcMar>
            <w:vAlign w:val="top"/>
          </w:tcPr>
          <w:p>
            <w:pPr>
              <w:spacing w:after="0"/>
            </w:pPr>
            <w:r>
              <w:rPr>
                <w:sz w:val="16"/>
              </w:rPr>
              <w:t>Operational certificate</w:t>
            </w:r>
          </w:p>
        </w:tc>
        <w:tc>
          <w:tcPr>
            <w:tcW w:type="dxa" w:w="6912"/>
            <w:tcMar>
              <w:top w:w="80" w:type="dxa"/>
              <w:start w:w="80" w:type="dxa"/>
              <w:bottom w:w="80" w:type="dxa"/>
              <w:end w:w="80" w:type="dxa"/>
            </w:tcMar>
            <w:vAlign w:val="top"/>
          </w:tcPr>
          <w:p>
            <w:pPr>
              <w:spacing w:after="0"/>
            </w:pPr>
            <w:r>
              <w:rPr>
                <w:sz w:val="16"/>
              </w:rPr>
              <w:t>Machine-evaluable validity state that affects runtime decisions, not merely explanatory prose.</w:t>
            </w:r>
          </w:p>
        </w:tc>
      </w:tr>
      <w:tr>
        <w:tc>
          <w:tcPr>
            <w:tcW w:type="dxa" w:w="2880"/>
            <w:tcMar>
              <w:top w:w="80" w:type="dxa"/>
              <w:start w:w="80" w:type="dxa"/>
              <w:bottom w:w="80" w:type="dxa"/>
              <w:end w:w="80" w:type="dxa"/>
            </w:tcMar>
            <w:vAlign w:val="top"/>
          </w:tcPr>
          <w:p>
            <w:pPr>
              <w:spacing w:after="0"/>
            </w:pPr>
            <w:r>
              <w:rPr>
                <w:sz w:val="16"/>
              </w:rPr>
              <w:t>Revision-bound delta</w:t>
            </w:r>
          </w:p>
        </w:tc>
        <w:tc>
          <w:tcPr>
            <w:tcW w:type="dxa" w:w="6912"/>
            <w:tcMar>
              <w:top w:w="80" w:type="dxa"/>
              <w:start w:w="80" w:type="dxa"/>
              <w:bottom w:w="80" w:type="dxa"/>
              <w:end w:w="80" w:type="dxa"/>
            </w:tcMar>
            <w:vAlign w:val="top"/>
          </w:tcPr>
          <w:p>
            <w:pPr>
              <w:spacing w:after="0"/>
            </w:pPr>
            <w:r>
              <w:rPr>
                <w:sz w:val="16"/>
              </w:rPr>
              <w:t>Typed transformations compiled against an exact canonical revision.</w:t>
            </w:r>
          </w:p>
        </w:tc>
      </w:tr>
      <w:tr>
        <w:tc>
          <w:tcPr>
            <w:tcW w:type="dxa" w:w="2880"/>
            <w:tcMar>
              <w:top w:w="80" w:type="dxa"/>
              <w:start w:w="80" w:type="dxa"/>
              <w:bottom w:w="80" w:type="dxa"/>
              <w:end w:w="80" w:type="dxa"/>
            </w:tcMar>
            <w:vAlign w:val="top"/>
          </w:tcPr>
          <w:p>
            <w:pPr>
              <w:spacing w:after="0"/>
            </w:pPr>
            <w:r>
              <w:rPr>
                <w:sz w:val="16"/>
              </w:rPr>
              <w:t>Semantic duplicate</w:t>
            </w:r>
          </w:p>
        </w:tc>
        <w:tc>
          <w:tcPr>
            <w:tcW w:type="dxa" w:w="6912"/>
            <w:tcMar>
              <w:top w:w="80" w:type="dxa"/>
              <w:start w:w="80" w:type="dxa"/>
              <w:bottom w:w="80" w:type="dxa"/>
              <w:end w:w="80" w:type="dxa"/>
            </w:tcMar>
            <w:vAlign w:val="top"/>
          </w:tcPr>
          <w:p>
            <w:pPr>
              <w:spacing w:after="0"/>
            </w:pPr>
            <w:r>
              <w:rPr>
                <w:sz w:val="16"/>
              </w:rPr>
              <w:t>Candidate with equivalent protected, sacrificed, authority, lifecycle, and review effects despite different scheduling geometry.</w:t>
            </w:r>
          </w:p>
        </w:tc>
      </w:tr>
    </w:tbl>
    <w:p>
      <w:pPr>
        <w:spacing w:after="0"/>
      </w:pPr>
    </w:p>
    <w:p>
      <w:pPr>
        <w:pStyle w:val="Heading1"/>
        <w:keepNext/>
      </w:pPr>
      <w:r>
        <w:t>Appendix D — Disclosure completion statement</w:t>
      </w:r>
    </w:p>
    <w:p>
      <w:r>
        <w:t>This package fully develops the current CEBR-01 conception as of the stated repository revision. It intentionally separates product spectacle from the narrow technical nucleus, identifies known prior-art pressure, defines data structures and algorithms, and supplies a falsifiable demonstrator. It does not assert novelty, patentability, implementation, or product readiness.</w:t>
      </w:r>
    </w:p>
    <w:sectPr w:rsidR="00FC693F" w:rsidRPr="0006063C" w:rsidSect="00034616">
      <w:headerReference w:type="default" r:id="rId9"/>
      <w:footerReference w:type="default" r:id="rId10"/>
      <w:pgSz w:w="12240" w:h="15840"/>
      <w:pgMar w:top="1008"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3F4A54"/>
        <w:sz w:val="14"/>
      </w:rPr>
      <w:t>Confidential research draft — non-normative — not legal advice</w:t>
    </w:r>
    <w:r>
      <w:t xml:space="preserv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3F4A54"/>
        <w:sz w:val="15"/>
      </w:rPr>
      <w:t>CEBR-01 — Certified Executable Branch Reconciliation | Research Disclosure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5D7C"/>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3F4A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2F5D7C"/>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EBRCode">
    <w:name w:val="CEBR Code"/>
    <w:pPr>
      <w:spacing w:before="60" w:after="100"/>
      <w:ind w:left="317" w:right="144"/>
      <w:shd w:fill="F3F5F7"/>
    </w:pPr>
    <w:rPr>
      <w:rFonts w:ascii="Consolas" w:hAnsi="Consolas"/>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CEBR-01 Invention Disclosure Package</dc:title>
  <dc:subject>Certified Executable Branch Reconciliation</dc:subject>
  <dc:creator>Ambitions Inventions — research draft</dc:creator>
  <cp:keywords>CEBR, CHLB, life branch, viability certificate, branch reconciliation, invention disclosure</cp:keywords>
  <dc:description>generated by python-docx</dc:description>
  <cp:lastModifiedBy/>
  <cp:revision>1</cp:revision>
  <dcterms:created xsi:type="dcterms:W3CDTF">2013-12-23T23:15:00Z</dcterms:created>
  <dcterms:modified xsi:type="dcterms:W3CDTF">2013-12-23T23:15:00Z</dcterms:modified>
  <cp:category/>
</cp:coreProperties>
</file>