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NovaCart Company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Company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NovaCart Global Commerce is a diversified, technology-driven organization operating across consumer electronics, smart home devices, wearables, and subscription-based services. The company positions itself as an integrated commerce platform combining hardware innovation with recurring digital services to create a connected customer ecosystem. Its portfolio reflects a strategy focused on high-growth consumer technology categories supported by global reach and scalable subscription revenue models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NovaCart_Product_Catalog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NovaCart’s offerings are designed to address modern consumer needs such as connectivity, automation, mobility, and convenience. By spanning both physical products and services, the company demonstrates a hybrid business model that balances one-time product sales with predictable, recurring revenue streams..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Business Model and Strategy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NovaCart operates a </w:t>
      </w:r>
      <w:r w:rsidDel="00000000" w:rsidR="00000000" w:rsidRPr="00000000">
        <w:rPr>
          <w:b w:val="1"/>
          <w:bCs w:val="1"/>
          <w:rtl w:val="0"/>
        </w:rPr>
        <w:t xml:space="preserve">product-plus-subscription business model</w:t>
      </w:r>
      <w:r w:rsidDel="00000000" w:rsidR="00000000" w:rsidRPr="00000000">
        <w:rPr>
          <w:rtl w:val="0"/>
        </w:rPr>
        <w:t xml:space="preserve">, leveraging premium hardware sales to acquire customers and subscription services to generate stable, recurring revenue. This approach reduces dependence on single-transaction sales and strengthens long-term customer relationships.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diversity of the portfolio also enables cross-selling opportunities, where smartphone or wearable customers can be converted into smart home users or subscription members. This integrated ecosystem strategy enhances switching costs and reinforces brand loyalty.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Operational and Analytical Maturity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supporting documentation highlights NovaCart’s emphasis on </w:t>
      </w:r>
      <w:r w:rsidDel="00000000" w:rsidR="00000000" w:rsidRPr="00000000">
        <w:rPr>
          <w:b w:val="1"/>
          <w:bCs w:val="1"/>
          <w:rtl w:val="0"/>
        </w:rPr>
        <w:t xml:space="preserve">data-driven decision-making and operational intelligence</w:t>
      </w:r>
      <w:r w:rsidDel="00000000" w:rsidR="00000000" w:rsidRPr="00000000">
        <w:rPr>
          <w:rtl w:val="0"/>
        </w:rPr>
        <w:t xml:space="preserve">, particularly in how leadership metrics are consumed and analyzed. The company scenario describes reliance on weekly metrics such as revenue, conversion rates, churn, and service-level compliance, distributed across multiple internal systems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context underscores NovaCart’s operational complexity and the need for scalable analytics, automation, and grounded AI-driven insights to support executive decision-making. The emphasis on retrieval-augmented intelligence reflects a broader organizational focus on accuracy, traceability, and governance in reporting.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Conclusion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NovaCart Global Commerce represents a well-structured, multi-category technology organization with a balanced mix of hardware innovation and subscription-based services. Its product catalog demonstrates deliberate positioning across premium and mid-range segments, while the Essentials subscription provides recurring revenue stability.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an organizational perspective, NovaCart’s documented focus on metrics intelligence and grounded analytics signals maturity in enterprise operations and a forward-looking approach to AI-assisted decision support. Overall, NovaCart exemplifies a modern commerce model built on ecosystem integration, data-driven management, and scalable global offerings 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Annexure</w:t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NovaCart Global Commerce – Annual Report 2024</w:t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Financial Year: FY2024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Financial Highlights (FY2024)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Total Revenue: USD 2.84 billion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Year-on-Year Growth: 18.6%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 41.2%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 Margin: 19.4%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Profit: USD 412 million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Customers: 9.6 million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Subscription Churn (NovaCart Essentials): 4.1% 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Revenue Breakdown by Business Segment</w:t>
      </w:r>
    </w:p>
    <w:p w:rsidR="00000000" w:rsidDel="00000000" w:rsidP="00000000" w:rsidRDefault="00000000" w:rsidRPr="00000000" w14:paraId="0000003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 Segment Revenue Summary</w:t>
      </w:r>
    </w:p>
    <w:tbl>
      <w:tblPr>
        <w:tblStyle w:val="Table1"/>
        <w:tblW w:w="7283.000000000001" w:type="dxa"/>
        <w:jc w:val="left"/>
        <w:tblLayout w:type="fixed"/>
        <w:tblLook w:val="0400"/>
      </w:tblPr>
      <w:tblGrid>
        <w:gridCol w:w="3408"/>
        <w:gridCol w:w="2099"/>
        <w:gridCol w:w="1776"/>
        <w:tblGridChange w:id="0">
          <w:tblGrid>
            <w:gridCol w:w="3408"/>
            <w:gridCol w:w="2099"/>
            <w:gridCol w:w="177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Segment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FY2024 Revenue (USD)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of Total Revenue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Consumer Electronics (NovaPhone X1)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1.62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Smart Home Devices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486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Wearables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398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Subscription Services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336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Revenue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2.84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 Consumer Electronics Performance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NovaPhone X1</w:t>
      </w:r>
      <w:r w:rsidDel="00000000" w:rsidR="00000000" w:rsidRPr="00000000">
        <w:rPr>
          <w:sz w:val="20"/>
          <w:szCs w:val="20"/>
          <w:rtl w:val="0"/>
        </w:rPr>
        <w:t xml:space="preserve"> remained NovaCart’s primary revenue driver.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Sold: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~1.9 million devices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 Selling Price (ASP):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1.62 billion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Strong demand was driven by premium specifications, 5G adoption, and multi-tier storage pricing, positioning the product competitively in the mid-to-premium smartphone segment.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2.3 Smart Home Devices Performance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NovaHome SmartHub Pro</w:t>
      </w:r>
      <w:r w:rsidDel="00000000" w:rsidR="00000000" w:rsidRPr="00000000">
        <w:rPr>
          <w:sz w:val="20"/>
          <w:szCs w:val="20"/>
          <w:rtl w:val="0"/>
        </w:rPr>
        <w:t xml:space="preserve"> showed steady adoption as smart home penetration increased globally.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Sold: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~2.1 million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486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Cross-compatibility with major ecosystems (Alexa, Google Home, Apple HomeKit) supported wider customer adoption and reduced integration friction.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2.4 Wearables Performance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NovaFit Active Watch</w:t>
      </w:r>
      <w:r w:rsidDel="00000000" w:rsidR="00000000" w:rsidRPr="00000000">
        <w:rPr>
          <w:sz w:val="20"/>
          <w:szCs w:val="20"/>
          <w:rtl w:val="0"/>
        </w:rPr>
        <w:t xml:space="preserve"> performed strongly in the fitness and wellness segment.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Units Sold: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~1.35 million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ASP: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USD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398 million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46%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Demand was driven by extended battery life, multi-sensor health tracking, and cross-platform OS compatibility.</w:t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2.5 Subscription Services Performance</w:t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NovaCart Essentials Subscription</w:t>
      </w:r>
      <w:r w:rsidDel="00000000" w:rsidR="00000000" w:rsidRPr="00000000">
        <w:rPr>
          <w:sz w:val="20"/>
          <w:szCs w:val="20"/>
          <w:rtl w:val="0"/>
        </w:rPr>
        <w:t xml:space="preserve"> provided stable recurring revenue and high retention.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Active Subscribers (FY-End): 2.3 million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 ARPU: USD 146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Revenue: USD 336 million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Churn Rate: 4.1%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Margin: 72%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Subscription revenue grew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31% YoY</w:t>
      </w:r>
      <w:r w:rsidDel="00000000" w:rsidR="00000000" w:rsidRPr="00000000">
        <w:rPr>
          <w:sz w:val="20"/>
          <w:szCs w:val="20"/>
          <w:rtl w:val="0"/>
        </w:rPr>
        <w:t xml:space="preserve">, supported by bundled discounts, priority support, and global coverage.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Cost Structure and Profitability</w:t>
      </w:r>
    </w:p>
    <w:p w:rsidR="00000000" w:rsidDel="00000000" w:rsidP="00000000" w:rsidRDefault="00000000" w:rsidRPr="00000000" w14:paraId="0000006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3.1 Cost Breakdown</w:t>
      </w:r>
    </w:p>
    <w:tbl>
      <w:tblPr>
        <w:tblStyle w:val="Table2"/>
        <w:tblW w:w="4999.0" w:type="dxa"/>
        <w:jc w:val="left"/>
        <w:tblLayout w:type="fixed"/>
        <w:tblLook w:val="0400"/>
      </w:tblPr>
      <w:tblGrid>
        <w:gridCol w:w="2435"/>
        <w:gridCol w:w="1269"/>
        <w:gridCol w:w="1295"/>
        <w:tblGridChange w:id="0">
          <w:tblGrid>
            <w:gridCol w:w="2435"/>
            <w:gridCol w:w="1269"/>
            <w:gridCol w:w="129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FY2024 (USD)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% of Revenue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of Goods Sold (COGS)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1.67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58.8%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R&amp;D Expenses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298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 &amp; Marketing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341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12.0%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General &amp; Administrative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279 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9.8%</w:t>
            </w:r>
          </w:p>
        </w:tc>
      </w:tr>
      <w:tr>
        <w:trPr>
          <w:cantSplit w:val="0"/>
          <w:trHeight w:val="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Total Operating Costs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2.59 Bn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91.1%</w:t>
            </w:r>
          </w:p>
        </w:tc>
      </w:tr>
    </w:tbl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3.2 Profit Summary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Gross Profit: USD 1.17 billion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 Profit: USD 551 million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Net Profit: USD 412 million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Earnings per Revenue Dollar: 14.5%</w:t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Margin expansion was primarily driven by: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Higher subscription mix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Improved supply chain efficiency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Software-enabled ecosystem synergies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Key Operational Metrics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Lifetime Value (Blended): USD 1,420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Acquisition Cost: USD 184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Hardware-to-Subscription Conversion Rate: 29%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 Purchase Rate: 41%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These metrics reflect NovaCart’s effectiveness in converting device customers into long-term ecosystem users.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Outlook and Forward Guidance (FY2025 – Illustrative)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Revenue Growth: 15–18%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Subscription Revenue Share Target: &gt;15% of total revenue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Operating Margin Target: 21–22%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Strategic Focus Areas: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Expansion of subscription-led services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Deeper device ecosystem integration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Increased automation and AI-driven operational intelligence 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Conclusion</w:t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NovaCart’s FY2024 performance demonstrates 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balanced and scalable business model</w:t>
      </w:r>
      <w:r w:rsidDel="00000000" w:rsidR="00000000" w:rsidRPr="00000000">
        <w:rPr>
          <w:sz w:val="20"/>
          <w:szCs w:val="20"/>
          <w:rtl w:val="0"/>
        </w:rPr>
        <w:t xml:space="preserve">, combining strong hardware sales with high-margin recurring services. The company’s low subscription churn, diversified revenue base, and improving margins position it favorably for sustained growth. Continued investment in ecosystem integration and data-driven decision intelligence is expected to further enhance profitability and operational resilience.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50EE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50EE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50EE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50EE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50EE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50EE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50EE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50EE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50EE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50EE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50EE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50EE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50EE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50EE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50EE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50EE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50EE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50EE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50EE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50EE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50EE4"/>
    <w:rPr>
      <w:b w:val="1"/>
      <w:bCs w:val="1"/>
      <w:smallCaps w:val="1"/>
      <w:color w:val="0f4761" w:themeColor="accent1" w:themeShade="0000BF"/>
      <w:spacing w:val="5"/>
    </w:rPr>
  </w:style>
  <w:style w:type="paragraph" w:styleId="NoSpacing">
    <w:name w:val="No Spacing"/>
    <w:uiPriority w:val="1"/>
    <w:qFormat w:val="1"/>
    <w:rsid w:val="005743B5"/>
    <w:pPr>
      <w:spacing w:after="0" w:line="240" w:lineRule="auto"/>
    </w:p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247mya1C+uAfAuOajpnlN1eH8g==">CgMxLjA4AHIhMVZMSFNFQkV6UmRSUVU4eE53aWI4UC15bGFrT1JLVDA3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2026-01-09T15:28:00Z</dcterms:created>
  <dc:creator>Mujahid Ahmed</dc:creator>
</cp:coreProperties>
</file>