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Projeto SIFAP — Documento de Arquitetura Técnica</w:t>
      </w:r>
    </w:p>
    <w:p>
      <w:pPr>
        <w:pStyle w:val="Author"/>
      </w:pPr>
      <w:r>
        <w:t xml:space="preserve">Roberto Carlos Ferreira — Analista de Sistemas Sênior</w:t>
      </w:r>
    </w:p>
    <w:p>
      <w:pPr>
        <w:pStyle w:val="Date"/>
      </w:pPr>
      <w:r>
        <w:t xml:space="preserve">1997-05-20</w:t>
      </w:r>
    </w:p>
    <w:bookmarkStart w:id="45" w:name="Xd193337d6b26cf9883267ca23133e10cdd917c8"/>
    <w:p>
      <w:pPr>
        <w:pStyle w:val="Heading1"/>
      </w:pPr>
      <w:r>
        <w:t xml:space="preserve">PROJETO SIFAP — DOCUMENTO DE ARQUITETURA TÉCNICA</w:t>
      </w:r>
    </w:p>
    <w:p>
      <w:pPr>
        <w:pStyle w:val="FirstParagraph"/>
      </w:pPr>
      <w:r>
        <w:rPr>
          <w:b/>
          <w:bCs/>
        </w:rPr>
        <w:t xml:space="preserve">SISTEMA DE FISCALIZAÇÃO E ADMINISTRAÇÃO DE PAGAMENTOS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Documento:</w:t>
            </w:r>
          </w:p>
        </w:tc>
        <w:tc>
          <w:tcPr/>
          <w:p>
            <w:pPr>
              <w:pStyle w:val="Compact"/>
            </w:pPr>
            <w:r>
              <w:t xml:space="preserve">ARQ-SIFAP-1997-v1.0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Classificação:</w:t>
            </w:r>
          </w:p>
        </w:tc>
        <w:tc>
          <w:tcPr/>
          <w:p>
            <w:pPr>
              <w:pStyle w:val="Compact"/>
            </w:pPr>
            <w:r>
              <w:t xml:space="preserve">CONFIDENCIAL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de emissão:</w:t>
            </w:r>
          </w:p>
        </w:tc>
        <w:tc>
          <w:tcPr/>
          <w:p>
            <w:pPr>
              <w:pStyle w:val="Compact"/>
            </w:pPr>
            <w:r>
              <w:t xml:space="preserve">20/05/1997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Projeto:</w:t>
            </w:r>
          </w:p>
        </w:tc>
        <w:tc>
          <w:tcPr/>
          <w:p>
            <w:pPr>
              <w:pStyle w:val="Compact"/>
            </w:pPr>
            <w:r>
              <w:t xml:space="preserve">SIFAP — Desenvolvimento Inicial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Prazo previsto:</w:t>
            </w:r>
          </w:p>
        </w:tc>
        <w:tc>
          <w:tcPr/>
          <w:p>
            <w:pPr>
              <w:pStyle w:val="Compact"/>
            </w:pPr>
            <w:r>
              <w:t xml:space="preserve">14 meses (jun/1997 — jul/1998)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Equipe:</w:t>
            </w:r>
          </w:p>
        </w:tc>
        <w:tc>
          <w:tcPr/>
          <w:p>
            <w:pPr>
              <w:pStyle w:val="Compact"/>
            </w:pPr>
            <w:r>
              <w:t xml:space="preserve">8 analistas/programadores SUPDE/DESIF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Coordenador:</w:t>
            </w:r>
          </w:p>
        </w:tc>
        <w:tc>
          <w:tcPr/>
          <w:p>
            <w:pPr>
              <w:pStyle w:val="Compact"/>
            </w:pPr>
            <w:r>
              <w:t xml:space="preserve">Roberto Carlos Ferreira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Gerência:</w:t>
            </w:r>
          </w:p>
        </w:tc>
        <w:tc>
          <w:tcPr/>
          <w:p>
            <w:pPr>
              <w:pStyle w:val="Compact"/>
            </w:pPr>
            <w:r>
              <w:t xml:space="preserve">Antônio Marcos Silva — Gerente SUPDE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Apresentação</w:t>
      </w:r>
    </w:p>
    <w:p>
      <w:pPr>
        <w:pStyle w:val="BlockText"/>
      </w:pPr>
      <w:r>
        <w:t xml:space="preserve">O presente documento descreve a arquitetura técnica proposta para o SIFAP — Sistema de Fiscalização e Administração de Pagamentos, a ser desenvolvido pela equipe da SUPDE/DESIF do SERPRO, em atendimento à demanda da Secretaria de Assistência Social do Ministério da Previdência e Assistência Social (SAS/MPAS).</w:t>
      </w:r>
    </w:p>
    <w:p>
      <w:pPr>
        <w:pStyle w:val="BlockText"/>
      </w:pPr>
      <w:r>
        <w:t xml:space="preserve">O SIFAP substituirá o atual sistema SIPAG/DOS, desenvolvido em Clipper e operado em microcomputadores nas regionais. A migração para plataforma mainframe visa garantir a centralização dos dados, a integridade das informações e a capacidade de processamento adequada ao crescimento previsto dos programas sociais federais.</w:t>
      </w:r>
    </w:p>
    <w:p>
      <w:pPr>
        <w:pStyle w:val="BlockText"/>
      </w:pPr>
      <w:r>
        <w:t xml:space="preserve">Este documento foi elaborado durante a fase de projeto, anteriormente ao início da codificação, e representa a</w:t>
      </w:r>
      <w:r>
        <w:t xml:space="preserve"> </w:t>
      </w:r>
      <w:r>
        <w:rPr>
          <w:b/>
          <w:bCs/>
        </w:rPr>
        <w:t xml:space="preserve">visão arquitetural planejada</w:t>
      </w:r>
      <w:r>
        <w:t xml:space="preserve"> </w:t>
      </w:r>
      <w:r>
        <w:t xml:space="preserve">para o sistema.</w:t>
      </w:r>
    </w:p>
    <w:p>
      <w:r>
        <w:pict>
          <v:rect style="width:0;height:1.5pt" o:hralign="center" o:hrstd="t" o:hr="t"/>
        </w:pict>
      </w:r>
    </w:p>
    <w:bookmarkStart w:id="12" w:name="introdução"/>
    <w:p>
      <w:pPr>
        <w:pStyle w:val="Heading2"/>
      </w:pPr>
      <w:r>
        <w:t xml:space="preserve">1. Introdução</w:t>
      </w:r>
    </w:p>
    <w:bookmarkStart w:id="9" w:name="contexto"/>
    <w:p>
      <w:pPr>
        <w:pStyle w:val="Heading3"/>
      </w:pPr>
      <w:r>
        <w:t xml:space="preserve">1.1. Contexto</w:t>
      </w:r>
    </w:p>
    <w:p>
      <w:pPr>
        <w:pStyle w:val="FirstParagraph"/>
      </w:pPr>
      <w:r>
        <w:t xml:space="preserve">O Governo Federal, por meio do Ministério da Previdência e Assistência Social, administra diversos programas de transferência de renda para famílias em situação de vulnerabilidade social. Atualmente, o controle desses pagamentos é realizado pelo sistema SIPAG/DOS, uma aplicação desenvolvida em Clipper 5.2 que opera de forma descentralizada nas regionais do SERPRO.</w:t>
      </w:r>
    </w:p>
    <w:p>
      <w:pPr>
        <w:pStyle w:val="BodyText"/>
      </w:pPr>
      <w:r>
        <w:t xml:space="preserve">A descentralização do SIPAG/DOS acarreta os seguintes problemas:</w:t>
      </w:r>
    </w:p>
    <w:p>
      <w:pPr>
        <w:pStyle w:val="Compact"/>
        <w:numPr>
          <w:ilvl w:val="0"/>
          <w:numId w:val="1001"/>
        </w:numPr>
      </w:pPr>
      <w:r>
        <w:t xml:space="preserve">Impossibilidade de consolidação nacional em tempo hábil;</w:t>
      </w:r>
    </w:p>
    <w:p>
      <w:pPr>
        <w:pStyle w:val="Compact"/>
        <w:numPr>
          <w:ilvl w:val="0"/>
          <w:numId w:val="1001"/>
        </w:numPr>
      </w:pPr>
      <w:r>
        <w:t xml:space="preserve">Risco de duplicidade de cadastros entre regionais;</w:t>
      </w:r>
    </w:p>
    <w:p>
      <w:pPr>
        <w:pStyle w:val="Compact"/>
        <w:numPr>
          <w:ilvl w:val="0"/>
          <w:numId w:val="1001"/>
        </w:numPr>
      </w:pPr>
      <w:r>
        <w:t xml:space="preserve">Dificuldade de auditoria e fiscalização;</w:t>
      </w:r>
    </w:p>
    <w:p>
      <w:pPr>
        <w:pStyle w:val="Compact"/>
        <w:numPr>
          <w:ilvl w:val="0"/>
          <w:numId w:val="1001"/>
        </w:numPr>
      </w:pPr>
      <w:r>
        <w:t xml:space="preserve">Limitação de volume de processamento (máximo de 200.000 registros por regional);</w:t>
      </w:r>
    </w:p>
    <w:p>
      <w:pPr>
        <w:pStyle w:val="Compact"/>
        <w:numPr>
          <w:ilvl w:val="0"/>
          <w:numId w:val="1001"/>
        </w:numPr>
      </w:pPr>
      <w:r>
        <w:t xml:space="preserve">Ausência de integração com sistemas financeiros federais (SIAFI).</w:t>
      </w:r>
    </w:p>
    <w:bookmarkEnd w:id="9"/>
    <w:bookmarkStart w:id="10" w:name="objetivo-do-sifap"/>
    <w:p>
      <w:pPr>
        <w:pStyle w:val="Heading3"/>
      </w:pPr>
      <w:r>
        <w:t xml:space="preserve">1.2. Objetivo do SIFAP</w:t>
      </w:r>
    </w:p>
    <w:p>
      <w:pPr>
        <w:pStyle w:val="FirstParagraph"/>
      </w:pPr>
      <w:r>
        <w:t xml:space="preserve">Desenvolver um sistema centralizado, em plataforma mainframe, capaz de:</w:t>
      </w:r>
    </w:p>
    <w:p>
      <w:pPr>
        <w:pStyle w:val="Compact"/>
        <w:numPr>
          <w:ilvl w:val="0"/>
          <w:numId w:val="1002"/>
        </w:numPr>
      </w:pPr>
      <w:r>
        <w:t xml:space="preserve">Gerenciar cadastro nacional unificado de beneficiários;</w:t>
      </w:r>
    </w:p>
    <w:p>
      <w:pPr>
        <w:pStyle w:val="Compact"/>
        <w:numPr>
          <w:ilvl w:val="0"/>
          <w:numId w:val="1002"/>
        </w:numPr>
      </w:pPr>
      <w:r>
        <w:t xml:space="preserve">Processar folha de pagamento mensal com volume projetado de até 5 milhões de beneficiários;</w:t>
      </w:r>
    </w:p>
    <w:p>
      <w:pPr>
        <w:pStyle w:val="Compact"/>
        <w:numPr>
          <w:ilvl w:val="0"/>
          <w:numId w:val="1002"/>
        </w:numPr>
      </w:pPr>
      <w:r>
        <w:t xml:space="preserve">Integrar-se ao SIAFI para conciliação financeira automatizada;</w:t>
      </w:r>
    </w:p>
    <w:p>
      <w:pPr>
        <w:pStyle w:val="Compact"/>
        <w:numPr>
          <w:ilvl w:val="0"/>
          <w:numId w:val="1002"/>
        </w:numPr>
      </w:pPr>
      <w:r>
        <w:t xml:space="preserve">Prover mecanismos de auditoria e fiscalização;</w:t>
      </w:r>
    </w:p>
    <w:p>
      <w:pPr>
        <w:pStyle w:val="Compact"/>
        <w:numPr>
          <w:ilvl w:val="0"/>
          <w:numId w:val="1002"/>
        </w:numPr>
      </w:pPr>
      <w:r>
        <w:t xml:space="preserve">Garantir disponibilidade e segurança compatíveis com a criticidade da operação.</w:t>
      </w:r>
    </w:p>
    <w:bookmarkEnd w:id="10"/>
    <w:bookmarkStart w:id="11" w:name="plataforma-tecnológica-escolhida"/>
    <w:p>
      <w:pPr>
        <w:pStyle w:val="Heading3"/>
      </w:pPr>
      <w:r>
        <w:t xml:space="preserve">1.3. Plataforma Tecnológica Escolhida</w:t>
      </w:r>
    </w:p>
    <w:p>
      <w:pPr>
        <w:pStyle w:val="FirstParagraph"/>
      </w:pPr>
      <w:r>
        <w:t xml:space="preserve">Após avaliação das alternativas disponíveis na infraestrutura SERPRO, optou-se pela seguinte plataforma: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620"/>
        <w:gridCol w:w="144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Produto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Linguagem</w:t>
            </w:r>
          </w:p>
        </w:tc>
        <w:tc>
          <w:tcPr/>
          <w:p>
            <w:pPr>
              <w:pStyle w:val="Compact"/>
            </w:pPr>
            <w:r>
              <w:t xml:space="preserve">Natural</w:t>
            </w:r>
          </w:p>
        </w:tc>
        <w:tc>
          <w:tcPr/>
          <w:p>
            <w:pPr>
              <w:pStyle w:val="Compact"/>
            </w:pPr>
            <w:r>
              <w:t xml:space="preserve">4.2.6</w:t>
            </w:r>
          </w:p>
        </w:tc>
        <w:tc>
          <w:tcPr/>
          <w:p>
            <w:pPr>
              <w:pStyle w:val="Compact"/>
            </w:pPr>
            <w:r>
              <w:t xml:space="preserve">Padrão SERPRO para desenvolvimento mainframe. Produtividade superior ao COBOL para aplicações de cadastro/consulta.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SGBD</w:t>
            </w:r>
          </w:p>
        </w:tc>
        <w:tc>
          <w:tcPr/>
          <w:p>
            <w:pPr>
              <w:pStyle w:val="Compact"/>
            </w:pPr>
            <w:r>
              <w:t xml:space="preserve">Adabas</w:t>
            </w:r>
          </w:p>
        </w:tc>
        <w:tc>
          <w:tcPr/>
          <w:p>
            <w:pPr>
              <w:pStyle w:val="Compact"/>
            </w:pPr>
            <w:r>
              <w:t xml:space="preserve">6.1.4</w:t>
            </w:r>
          </w:p>
        </w:tc>
        <w:tc>
          <w:tcPr/>
          <w:p>
            <w:pPr>
              <w:pStyle w:val="Compact"/>
            </w:pPr>
            <w:r>
              <w:t xml:space="preserve">SGBD invertido, alto desempenho para consultas por múltiplos descritores. Padrão SERPRO.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 Monitor</w:t>
            </w:r>
          </w:p>
        </w:tc>
        <w:tc>
          <w:tcPr/>
          <w:p>
            <w:pPr>
              <w:pStyle w:val="Compact"/>
            </w:pPr>
            <w:r>
              <w:t xml:space="preserve">Com*plete</w:t>
            </w:r>
          </w:p>
        </w:tc>
        <w:tc>
          <w:tcPr/>
          <w:p>
            <w:pPr>
              <w:pStyle w:val="Compact"/>
            </w:pPr>
            <w:r>
              <w:t xml:space="preserve">6.1.2</w:t>
            </w:r>
          </w:p>
        </w:tc>
        <w:tc>
          <w:tcPr/>
          <w:p>
            <w:pPr>
              <w:pStyle w:val="Compact"/>
            </w:pPr>
            <w:r>
              <w:t xml:space="preserve">Monitor de teleprocessamento para telas 3270. Integrado ao Natural.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JES2</w:t>
            </w:r>
          </w:p>
        </w:tc>
        <w:tc>
          <w:tcPr/>
          <w:p>
            <w:pPr>
              <w:pStyle w:val="Compact"/>
            </w:pPr>
            <w:r>
              <w:t xml:space="preserve">MVS/ESA</w:t>
            </w:r>
          </w:p>
        </w:tc>
        <w:tc>
          <w:tcPr/>
          <w:p>
            <w:pPr>
              <w:pStyle w:val="Compact"/>
            </w:pPr>
            <w:r>
              <w:t xml:space="preserve">Subsistema padrão para processamento batch.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S.O.</w:t>
            </w:r>
          </w:p>
        </w:tc>
        <w:tc>
          <w:tcPr/>
          <w:p>
            <w:pPr>
              <w:pStyle w:val="Compact"/>
            </w:pPr>
            <w:r>
              <w:t xml:space="preserve">MVS/ESA</w:t>
            </w:r>
          </w:p>
        </w:tc>
        <w:tc>
          <w:tcPr/>
          <w:p>
            <w:pPr>
              <w:pStyle w:val="Compact"/>
            </w:pPr>
            <w:r>
              <w:t xml:space="preserve">5.2.2</w:t>
            </w:r>
          </w:p>
        </w:tc>
        <w:tc>
          <w:tcPr/>
          <w:p>
            <w:pPr>
              <w:pStyle w:val="Compact"/>
            </w:pPr>
            <w:r>
              <w:t xml:space="preserve">Sistema operacional do mainframe SERPRO — Regional Brasília.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A escolha do Natural/Adabas segue diretriz técnica da SUPDE (NT-SUPDE-003/1996), que estabelece esta plataforma como padrão para novos sistemas de cadastro e processamento de médio/grande porte.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arquitetura-modular"/>
    <w:p>
      <w:pPr>
        <w:pStyle w:val="Heading2"/>
      </w:pPr>
      <w:r>
        <w:t xml:space="preserve">2. Arquitetura Modular</w:t>
      </w:r>
    </w:p>
    <w:bookmarkStart w:id="17" w:name="módulos-previstos"/>
    <w:p>
      <w:pPr>
        <w:pStyle w:val="Heading3"/>
      </w:pPr>
      <w:r>
        <w:t xml:space="preserve">2.1. Módulos Previstos</w:t>
      </w:r>
    </w:p>
    <w:p>
      <w:pPr>
        <w:pStyle w:val="FirstParagraph"/>
      </w:pPr>
      <w:r>
        <w:t xml:space="preserve">O SIFAP será organizado em</w:t>
      </w:r>
      <w:r>
        <w:t xml:space="preserve"> </w:t>
      </w:r>
      <w:r>
        <w:rPr>
          <w:b/>
          <w:bCs/>
        </w:rPr>
        <w:t xml:space="preserve">4 módulos</w:t>
      </w:r>
      <w:r>
        <w:t xml:space="preserve"> </w:t>
      </w:r>
      <w:r>
        <w:t xml:space="preserve">funcionais: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 I F A P                           │</w:t>
      </w:r>
      <w:r>
        <w:br/>
      </w:r>
      <w:r>
        <w:rPr>
          <w:rStyle w:val="VerbatimChar"/>
        </w:rPr>
        <w:t xml:space="preserve">│          Sistema de Fiscalização e Administração            │</w:t>
      </w:r>
      <w:r>
        <w:br/>
      </w:r>
      <w:r>
        <w:rPr>
          <w:rStyle w:val="VerbatimChar"/>
        </w:rPr>
        <w:t xml:space="preserve">│                      de Pagamentos            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├─────────────┬─────────────┬─────────────┬───────────────────┤</w:t>
      </w:r>
      <w:r>
        <w:br/>
      </w:r>
      <w:r>
        <w:rPr>
          <w:rStyle w:val="VerbatimChar"/>
        </w:rPr>
        <w:t xml:space="preserve">│             │             │             │                   │</w:t>
      </w:r>
      <w:r>
        <w:br/>
      </w:r>
      <w:r>
        <w:rPr>
          <w:rStyle w:val="VerbatimChar"/>
        </w:rPr>
        <w:t xml:space="preserve">│  MÓDULO 1   │  MÓDULO 2   │  MÓDULO 3   │    MÓDULO 4      │</w:t>
      </w:r>
      <w:r>
        <w:br/>
      </w:r>
      <w:r>
        <w:rPr>
          <w:rStyle w:val="VerbatimChar"/>
        </w:rPr>
        <w:t xml:space="preserve">│  CADASTRO   │ PROCESSAM.  │  CONSULTA   │   AUDITORIA      │</w:t>
      </w:r>
      <w:r>
        <w:br/>
      </w:r>
      <w:r>
        <w:rPr>
          <w:rStyle w:val="VerbatimChar"/>
        </w:rPr>
        <w:t xml:space="preserve">│             │             │             │                   │</w:t>
      </w:r>
      <w:r>
        <w:br/>
      </w:r>
      <w:r>
        <w:rPr>
          <w:rStyle w:val="VerbatimChar"/>
        </w:rPr>
        <w:t xml:space="preserve">│ ○ CADBENEF  │ ○ BATCHPGT  │ ○ CONSBENF  │ ○ AUDCONSUL      │</w:t>
      </w:r>
      <w:r>
        <w:br/>
      </w:r>
      <w:r>
        <w:rPr>
          <w:rStyle w:val="VerbatimChar"/>
        </w:rPr>
        <w:t xml:space="preserve">│ ○ CADPROG   │ ○ BATCHREL  │ ○ CONSPGT   │ ○ AUDRELAT       │</w:t>
      </w:r>
      <w:r>
        <w:br/>
      </w:r>
      <w:r>
        <w:rPr>
          <w:rStyle w:val="VerbatimChar"/>
        </w:rPr>
        <w:t xml:space="preserve">│ ○ CADDEPEND │ ○ BATCHCON  │             │                  │</w:t>
      </w:r>
      <w:r>
        <w:br/>
      </w:r>
      <w:r>
        <w:rPr>
          <w:rStyle w:val="VerbatimChar"/>
        </w:rPr>
        <w:t xml:space="preserve">│             │             │             │                   │</w:t>
      </w:r>
      <w:r>
        <w:br/>
      </w:r>
      <w:r>
        <w:rPr>
          <w:rStyle w:val="VerbatimChar"/>
        </w:rPr>
        <w:t xml:space="preserve">└─────────────┴─────────────┴─────────────┴───────────────────┘</w:t>
      </w:r>
    </w:p>
    <w:bookmarkStart w:id="13" w:name="módulo-1-cadastro"/>
    <w:p>
      <w:pPr>
        <w:pStyle w:val="Heading4"/>
      </w:pPr>
      <w:r>
        <w:t xml:space="preserve">Módulo 1 — CADASTRO</w:t>
      </w:r>
    </w:p>
    <w:p>
      <w:pPr>
        <w:pStyle w:val="FirstParagraph"/>
      </w:pPr>
      <w:r>
        <w:t xml:space="preserve">Responsável pela manutenção dos dados cadastrais de beneficiários, dependentes e programas sociais.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82"/>
        <w:gridCol w:w="207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Programa Previsto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CADBENEF</w:t>
            </w:r>
          </w:p>
        </w:tc>
        <w:tc>
          <w:tcPr/>
          <w:p>
            <w:pPr>
              <w:pStyle w:val="Compact"/>
            </w:pPr>
            <w:r>
              <w:t xml:space="preserve">Cadastro de beneficiários — inclusão, alteração, exclusão</w:t>
            </w:r>
          </w:p>
        </w:tc>
        <w:tc>
          <w:tcPr/>
          <w:p>
            <w:pPr>
              <w:pStyle w:val="Compact"/>
            </w:pPr>
            <w:r>
              <w:t xml:space="preserve">Fase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CADPROG</w:t>
            </w:r>
          </w:p>
        </w:tc>
        <w:tc>
          <w:tcPr/>
          <w:p>
            <w:pPr>
              <w:pStyle w:val="Compact"/>
            </w:pPr>
            <w:r>
              <w:t xml:space="preserve">Cadastro de programas sociais e parametrização</w:t>
            </w:r>
          </w:p>
        </w:tc>
        <w:tc>
          <w:tcPr/>
          <w:p>
            <w:pPr>
              <w:pStyle w:val="Compact"/>
            </w:pPr>
            <w:r>
              <w:t xml:space="preserve">Fase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CADDEPEND</w:t>
            </w:r>
          </w:p>
        </w:tc>
        <w:tc>
          <w:tcPr/>
          <w:p>
            <w:pPr>
              <w:pStyle w:val="Compact"/>
            </w:pPr>
            <w:r>
              <w:t xml:space="preserve">Cadastro de dependentes do beneficiário titular</w:t>
            </w:r>
          </w:p>
        </w:tc>
        <w:tc>
          <w:tcPr/>
          <w:p>
            <w:pPr>
              <w:pStyle w:val="Compact"/>
            </w:pPr>
            <w:r>
              <w:t xml:space="preserve">Fase 1</w:t>
            </w:r>
          </w:p>
        </w:tc>
      </w:tr>
    </w:tbl>
    <w:bookmarkEnd w:id="13"/>
    <w:bookmarkStart w:id="14" w:name="módulo-2-processamento"/>
    <w:p>
      <w:pPr>
        <w:pStyle w:val="Heading4"/>
      </w:pPr>
      <w:r>
        <w:t xml:space="preserve">Módulo 2 — PROCESSAMENTO</w:t>
      </w:r>
    </w:p>
    <w:p>
      <w:pPr>
        <w:pStyle w:val="FirstParagraph"/>
      </w:pPr>
      <w:r>
        <w:t xml:space="preserve">Responsável pelo processamento batch da folha de pagamento e geração de arquivos para integração.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Programa Previsto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BATCHPGT</w:t>
            </w:r>
          </w:p>
        </w:tc>
        <w:tc>
          <w:tcPr/>
          <w:p>
            <w:pPr>
              <w:pStyle w:val="Compact"/>
            </w:pPr>
            <w:r>
              <w:t xml:space="preserve">Processamento da folha de pagamento mensal</w:t>
            </w:r>
          </w:p>
        </w:tc>
        <w:tc>
          <w:tcPr/>
          <w:p>
            <w:pPr>
              <w:pStyle w:val="Compact"/>
            </w:pPr>
            <w:r>
              <w:t xml:space="preserve">Fase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BATCHREL</w:t>
            </w:r>
          </w:p>
        </w:tc>
        <w:tc>
          <w:tcPr/>
          <w:p>
            <w:pPr>
              <w:pStyle w:val="Compact"/>
            </w:pPr>
            <w:r>
              <w:t xml:space="preserve">Geração de relatórios batch (totalizadores)</w:t>
            </w:r>
          </w:p>
        </w:tc>
        <w:tc>
          <w:tcPr/>
          <w:p>
            <w:pPr>
              <w:pStyle w:val="Compact"/>
            </w:pPr>
            <w:r>
              <w:t xml:space="preserve">Fase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BATCHCON</w:t>
            </w:r>
          </w:p>
        </w:tc>
        <w:tc>
          <w:tcPr/>
          <w:p>
            <w:pPr>
              <w:pStyle w:val="Compact"/>
            </w:pPr>
            <w:r>
              <w:t xml:space="preserve">Conciliação financeira com SIAFI</w:t>
            </w:r>
          </w:p>
        </w:tc>
        <w:tc>
          <w:tcPr/>
          <w:p>
            <w:pPr>
              <w:pStyle w:val="Compact"/>
            </w:pPr>
            <w:r>
              <w:t xml:space="preserve">Fase 3</w:t>
            </w:r>
          </w:p>
        </w:tc>
      </w:tr>
    </w:tbl>
    <w:bookmarkEnd w:id="14"/>
    <w:bookmarkStart w:id="15" w:name="módulo-3-consulta"/>
    <w:p>
      <w:pPr>
        <w:pStyle w:val="Heading4"/>
      </w:pPr>
      <w:r>
        <w:t xml:space="preserve">Módulo 3 — CONSULTA</w:t>
      </w:r>
    </w:p>
    <w:p>
      <w:pPr>
        <w:pStyle w:val="FirstParagraph"/>
      </w:pPr>
      <w:r>
        <w:t xml:space="preserve">Responsável pelas consultas online ao cadastro e aos pagamentos.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82"/>
        <w:gridCol w:w="207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Programa Previsto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CONSBENF</w:t>
            </w:r>
          </w:p>
        </w:tc>
        <w:tc>
          <w:tcPr/>
          <w:p>
            <w:pPr>
              <w:pStyle w:val="Compact"/>
            </w:pPr>
            <w:r>
              <w:t xml:space="preserve">Consulta de beneficiários por múltiplos critérios</w:t>
            </w:r>
          </w:p>
        </w:tc>
        <w:tc>
          <w:tcPr/>
          <w:p>
            <w:pPr>
              <w:pStyle w:val="Compact"/>
            </w:pPr>
            <w:r>
              <w:t xml:space="preserve">Fase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CONSPGT</w:t>
            </w:r>
          </w:p>
        </w:tc>
        <w:tc>
          <w:tcPr/>
          <w:p>
            <w:pPr>
              <w:pStyle w:val="Compact"/>
            </w:pPr>
            <w:r>
              <w:t xml:space="preserve">Consulta de pagamentos por beneficiário/período</w:t>
            </w:r>
          </w:p>
        </w:tc>
        <w:tc>
          <w:tcPr/>
          <w:p>
            <w:pPr>
              <w:pStyle w:val="Compact"/>
            </w:pPr>
            <w:r>
              <w:t xml:space="preserve">Fase 2</w:t>
            </w:r>
          </w:p>
        </w:tc>
      </w:tr>
    </w:tbl>
    <w:bookmarkEnd w:id="15"/>
    <w:bookmarkStart w:id="16" w:name="módulo-4-auditoria"/>
    <w:p>
      <w:pPr>
        <w:pStyle w:val="Heading4"/>
      </w:pPr>
      <w:r>
        <w:t xml:space="preserve">Módulo 4 — AUDITORIA</w:t>
      </w:r>
    </w:p>
    <w:p>
      <w:pPr>
        <w:pStyle w:val="FirstParagraph"/>
      </w:pPr>
      <w:r>
        <w:t xml:space="preserve">Responsável pelo registro e consulta de trilhas de auditoria e ocorrências de fiscalização.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82"/>
        <w:gridCol w:w="207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Programa Previsto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AUDCONSUL</w:t>
            </w:r>
          </w:p>
        </w:tc>
        <w:tc>
          <w:tcPr/>
          <w:p>
            <w:pPr>
              <w:pStyle w:val="Compact"/>
            </w:pPr>
            <w:r>
              <w:t xml:space="preserve">Consulta de trilha de auditoria por período/usuário</w:t>
            </w:r>
          </w:p>
        </w:tc>
        <w:tc>
          <w:tcPr/>
          <w:p>
            <w:pPr>
              <w:pStyle w:val="Compact"/>
            </w:pPr>
            <w:r>
              <w:t xml:space="preserve">Fase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AUDRELAT</w:t>
            </w:r>
          </w:p>
        </w:tc>
        <w:tc>
          <w:tcPr/>
          <w:p>
            <w:pPr>
              <w:pStyle w:val="Compact"/>
            </w:pPr>
            <w:r>
              <w:t xml:space="preserve">Relatório de ocorrências de auditoria</w:t>
            </w:r>
          </w:p>
        </w:tc>
        <w:tc>
          <w:tcPr/>
          <w:p>
            <w:pPr>
              <w:pStyle w:val="Compact"/>
            </w:pPr>
            <w:r>
              <w:t xml:space="preserve">Fase 3</w:t>
            </w:r>
          </w:p>
        </w:tc>
      </w:tr>
    </w:tbl>
    <w:p>
      <w:pPr>
        <w:pStyle w:val="BlockText"/>
      </w:pPr>
      <w:r>
        <w:rPr>
          <w:b/>
          <w:bCs/>
        </w:rPr>
        <w:t xml:space="preserve">Total previsto:</w:t>
      </w:r>
      <w:r>
        <w:t xml:space="preserve"> </w:t>
      </w:r>
      <w:r>
        <w:t xml:space="preserve">11 programas, distribuídos em 3 fases de desenvolvimento.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2" w:name="modelo-de-dados"/>
    <w:p>
      <w:pPr>
        <w:pStyle w:val="Heading2"/>
      </w:pPr>
      <w:r>
        <w:t xml:space="preserve">3. Modelo de Dados</w:t>
      </w:r>
    </w:p>
    <w:bookmarkStart w:id="19" w:name="ddms-previstos"/>
    <w:p>
      <w:pPr>
        <w:pStyle w:val="Heading3"/>
      </w:pPr>
      <w:r>
        <w:t xml:space="preserve">3.1. DDMs Previstos</w:t>
      </w:r>
    </w:p>
    <w:p>
      <w:pPr>
        <w:pStyle w:val="FirstParagraph"/>
      </w:pPr>
      <w:r>
        <w:t xml:space="preserve">O SIFAP utilizará</w:t>
      </w:r>
      <w:r>
        <w:t xml:space="preserve"> </w:t>
      </w:r>
      <w:r>
        <w:rPr>
          <w:b/>
          <w:bCs/>
        </w:rPr>
        <w:t xml:space="preserve">3 DDMs</w:t>
      </w:r>
      <w:r>
        <w:t xml:space="preserve"> </w:t>
      </w:r>
      <w:r>
        <w:t xml:space="preserve">(Data Definition Modules) no Adabas: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MODELO DE DADOS — SIFAP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   ┌─────────────────────┐          │</w:t>
      </w:r>
      <w:r>
        <w:br/>
      </w:r>
      <w:r>
        <w:rPr>
          <w:rStyle w:val="VerbatimChar"/>
        </w:rPr>
        <w:t xml:space="preserve">│  │   BENEFICIARIO      │       │  PROGRAMA-SOCIAL     │          │</w:t>
      </w:r>
      <w:r>
        <w:br/>
      </w:r>
      <w:r>
        <w:rPr>
          <w:rStyle w:val="VerbatimChar"/>
        </w:rPr>
        <w:t xml:space="preserve">│  │   (FNR 150)         │       │  (FNR 151)           │          │</w:t>
      </w:r>
      <w:r>
        <w:br/>
      </w:r>
      <w:r>
        <w:rPr>
          <w:rStyle w:val="VerbatimChar"/>
        </w:rPr>
        <w:t xml:space="preserve">│  │                     │       │                      │          │</w:t>
      </w:r>
      <w:r>
        <w:br/>
      </w:r>
      <w:r>
        <w:rPr>
          <w:rStyle w:val="VerbatimChar"/>
        </w:rPr>
        <w:t xml:space="preserve">│  │  BN-NR-CPF      (PK)│──────►│  PS-CD-PROG     (PK)│          │</w:t>
      </w:r>
      <w:r>
        <w:br/>
      </w:r>
      <w:r>
        <w:rPr>
          <w:rStyle w:val="VerbatimChar"/>
        </w:rPr>
        <w:t xml:space="preserve">│  │  BN-NM-BENEF   (DE) │       │  PS-NM-PROG         │          │</w:t>
      </w:r>
      <w:r>
        <w:br/>
      </w:r>
      <w:r>
        <w:rPr>
          <w:rStyle w:val="VerbatimChar"/>
        </w:rPr>
        <w:t xml:space="preserve">│  │  BN-DT-NASC         │       │  PS-VL-MIN           │          │</w:t>
      </w:r>
      <w:r>
        <w:br/>
      </w:r>
      <w:r>
        <w:rPr>
          <w:rStyle w:val="VerbatimChar"/>
        </w:rPr>
        <w:t xml:space="preserve">│  │  BN-CD-SIT      (DE)│       │  PS-VL-MAX           │          │</w:t>
      </w:r>
      <w:r>
        <w:br/>
      </w:r>
      <w:r>
        <w:rPr>
          <w:rStyle w:val="VerbatimChar"/>
        </w:rPr>
        <w:t xml:space="preserve">│  │  BN-CD-PROG     (DE)│       │  PS-IN-ATIVO         │          │</w:t>
      </w:r>
      <w:r>
        <w:br/>
      </w:r>
      <w:r>
        <w:rPr>
          <w:rStyle w:val="VerbatimChar"/>
        </w:rPr>
        <w:t xml:space="preserve">│  │  BN-NR-NIS          │       │  PS-DT-INICIO        │          │</w:t>
      </w:r>
      <w:r>
        <w:br/>
      </w:r>
      <w:r>
        <w:rPr>
          <w:rStyle w:val="VerbatimChar"/>
        </w:rPr>
        <w:t xml:space="preserve">│  │  BN-CD-REGIAO   (DE)│       │  PS-DT-FIM           │          │</w:t>
      </w:r>
      <w:r>
        <w:br/>
      </w:r>
      <w:r>
        <w:rPr>
          <w:rStyle w:val="VerbatimChar"/>
        </w:rPr>
        <w:t xml:space="preserve">│  │  BN-QT-DEPEND       │       │  PS-VL-FAIXAS   (PE) │          │</w:t>
      </w:r>
      <w:r>
        <w:br/>
      </w:r>
      <w:r>
        <w:rPr>
          <w:rStyle w:val="VerbatimChar"/>
        </w:rPr>
        <w:t xml:space="preserve">│  │  BN-VL-RENDA-PC     │       │                      │          │</w:t>
      </w:r>
      <w:r>
        <w:br/>
      </w:r>
      <w:r>
        <w:rPr>
          <w:rStyle w:val="VerbatimChar"/>
        </w:rPr>
        <w:t xml:space="preserve">│  │  BN-DT-ULT-ATUAL    │       └──────────────────────┘          │</w:t>
      </w:r>
      <w:r>
        <w:br/>
      </w:r>
      <w:r>
        <w:rPr>
          <w:rStyle w:val="VerbatimChar"/>
        </w:rPr>
        <w:t xml:space="preserve">│  │  BN-CD-BANCO        │                                        │</w:t>
      </w:r>
      <w:r>
        <w:br/>
      </w:r>
      <w:r>
        <w:rPr>
          <w:rStyle w:val="VerbatimChar"/>
        </w:rPr>
        <w:t xml:space="preserve">│  │  BN-CD-AGENCIA      │                                        │</w:t>
      </w:r>
      <w:r>
        <w:br/>
      </w:r>
      <w:r>
        <w:rPr>
          <w:rStyle w:val="VerbatimChar"/>
        </w:rPr>
        <w:t xml:space="preserve">│  │  BN-NR-CONTA        │       ┌─────────────────────┐          │</w:t>
      </w:r>
      <w:r>
        <w:br/>
      </w:r>
      <w:r>
        <w:rPr>
          <w:rStyle w:val="VerbatimChar"/>
        </w:rPr>
        <w:t xml:space="preserve">│  │                     │       │   PAGAMENTO          │          │</w:t>
      </w:r>
      <w:r>
        <w:br/>
      </w:r>
      <w:r>
        <w:rPr>
          <w:rStyle w:val="VerbatimChar"/>
        </w:rPr>
        <w:t xml:space="preserve">│  └─────────────────────┘       │   (FNR 152)          │          │</w:t>
      </w:r>
      <w:r>
        <w:br/>
      </w:r>
      <w:r>
        <w:rPr>
          <w:rStyle w:val="VerbatimChar"/>
        </w:rPr>
        <w:t xml:space="preserve">│           │                    │                      │          │</w:t>
      </w:r>
      <w:r>
        <w:br/>
      </w:r>
      <w:r>
        <w:rPr>
          <w:rStyle w:val="VerbatimChar"/>
        </w:rPr>
        <w:t xml:space="preserve">│           │                    │  PG-NR-SEQ      (PK) │          │</w:t>
      </w:r>
      <w:r>
        <w:br/>
      </w:r>
      <w:r>
        <w:rPr>
          <w:rStyle w:val="VerbatimChar"/>
        </w:rPr>
        <w:t xml:space="preserve">│           └───────────────────►│  PG-NR-CPF      (DE) │          │</w:t>
      </w:r>
      <w:r>
        <w:br/>
      </w:r>
      <w:r>
        <w:rPr>
          <w:rStyle w:val="VerbatimChar"/>
        </w:rPr>
        <w:t xml:space="preserve">│                                │  PG-CD-PROG     (DE) │          │</w:t>
      </w:r>
      <w:r>
        <w:br/>
      </w:r>
      <w:r>
        <w:rPr>
          <w:rStyle w:val="VerbatimChar"/>
        </w:rPr>
        <w:t xml:space="preserve">│                                │  PG-AA-MM-REF   (DE) │          │</w:t>
      </w:r>
      <w:r>
        <w:br/>
      </w:r>
      <w:r>
        <w:rPr>
          <w:rStyle w:val="VerbatimChar"/>
        </w:rPr>
        <w:t xml:space="preserve">│                                │  PG-VL-BRUTO         │          │</w:t>
      </w:r>
      <w:r>
        <w:br/>
      </w:r>
      <w:r>
        <w:rPr>
          <w:rStyle w:val="VerbatimChar"/>
        </w:rPr>
        <w:t xml:space="preserve">│                                │  PG-VL-LIQ           │          │</w:t>
      </w:r>
      <w:r>
        <w:br/>
      </w:r>
      <w:r>
        <w:rPr>
          <w:rStyle w:val="VerbatimChar"/>
        </w:rPr>
        <w:t xml:space="preserve">│                                │  PG-DT-CRED          │          │</w:t>
      </w:r>
      <w:r>
        <w:br/>
      </w:r>
      <w:r>
        <w:rPr>
          <w:rStyle w:val="VerbatimChar"/>
        </w:rPr>
        <w:t xml:space="preserve">│                                │  PG-CD-STATUS    (DE)│          │</w:t>
      </w:r>
      <w:r>
        <w:br/>
      </w:r>
      <w:r>
        <w:rPr>
          <w:rStyle w:val="VerbatimChar"/>
        </w:rPr>
        <w:t xml:space="preserve">│                                │  PG-CD-BANCO         │          │</w:t>
      </w:r>
      <w:r>
        <w:br/>
      </w:r>
      <w:r>
        <w:rPr>
          <w:rStyle w:val="VerbatimChar"/>
        </w:rPr>
        <w:t xml:space="preserve">│                                │                      │          │</w:t>
      </w:r>
      <w:r>
        <w:br/>
      </w:r>
      <w:r>
        <w:rPr>
          <w:rStyle w:val="VerbatimChar"/>
        </w:rPr>
        <w:t xml:space="preserve">│                                └──────────────────────┘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Legenda: PK = chave primária (super descriptor)                │</w:t>
      </w:r>
      <w:r>
        <w:br/>
      </w:r>
      <w:r>
        <w:rPr>
          <w:rStyle w:val="VerbatimChar"/>
        </w:rPr>
        <w:t xml:space="preserve">│           DE = descritor (índice Adabas)                         │</w:t>
      </w:r>
      <w:r>
        <w:br/>
      </w:r>
      <w:r>
        <w:rPr>
          <w:rStyle w:val="VerbatimChar"/>
        </w:rPr>
        <w:t xml:space="preserve">│           PE = grupo periódico                                   │</w:t>
      </w:r>
      <w:r>
        <w:br/>
      </w:r>
      <w:r>
        <w:rPr>
          <w:rStyle w:val="VerbatimChar"/>
        </w:rPr>
        <w:t xml:space="preserve">│           MU = campo multivalorado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bookmarkEnd w:id="19"/>
    <w:bookmarkStart w:id="20" w:name="convenção-de-nomenclatura-de-campos"/>
    <w:p>
      <w:pPr>
        <w:pStyle w:val="Heading3"/>
      </w:pPr>
      <w:r>
        <w:t xml:space="preserve">3.2. Convenção de Nomenclatura de Campos</w:t>
      </w:r>
    </w:p>
    <w:p>
      <w:pPr>
        <w:pStyle w:val="FirstParagraph"/>
      </w:pPr>
      <w:r>
        <w:t xml:space="preserve">Adotaremos a seguinte convenção para nomes de campos Adabas, em conformidade com o padrão de nomenclatura da SUPDE (NT-SUPDE-007/1995):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Prefixo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BN-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PS-</w:t>
            </w:r>
          </w:p>
        </w:tc>
        <w:tc>
          <w:tcPr/>
          <w:p>
            <w:pPr>
              <w:pStyle w:val="Compact"/>
            </w:pPr>
            <w:r>
              <w:t xml:space="preserve">Programa Social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PG-</w:t>
            </w:r>
          </w:p>
        </w:tc>
        <w:tc>
          <w:tcPr/>
          <w:p>
            <w:pPr>
              <w:pStyle w:val="Compact"/>
            </w:pPr>
            <w:r>
              <w:t xml:space="preserve">Pagamento</w:t>
            </w:r>
          </w:p>
        </w:tc>
      </w:tr>
    </w:tbl>
    <w:p>
      <w:pPr>
        <w:pStyle w:val="BodyText"/>
      </w:pPr>
      <w:r>
        <w:t xml:space="preserve">Os sufixos indicam o tipo de dado: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Sufixo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NM-</w:t>
            </w:r>
          </w:p>
        </w:tc>
        <w:tc>
          <w:tcPr/>
          <w:p>
            <w:pPr>
              <w:pStyle w:val="Compact"/>
            </w:pPr>
            <w:r>
              <w:t xml:space="preserve">Nome/descrição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BN-NM-BENEF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NR-</w:t>
            </w:r>
          </w:p>
        </w:tc>
        <w:tc>
          <w:tcPr/>
          <w:p>
            <w:pPr>
              <w:pStyle w:val="Compact"/>
            </w:pPr>
            <w:r>
              <w:t xml:space="preserve">Número/código numérico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BN-NR-CPF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CD-</w:t>
            </w:r>
          </w:p>
        </w:tc>
        <w:tc>
          <w:tcPr/>
          <w:p>
            <w:pPr>
              <w:pStyle w:val="Compact"/>
            </w:pPr>
            <w:r>
              <w:t xml:space="preserve">Código/classificação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BN-CD-SIT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DT-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PG-DT-CRED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VL-</w:t>
            </w:r>
          </w:p>
        </w:tc>
        <w:tc>
          <w:tcPr/>
          <w:p>
            <w:pPr>
              <w:pStyle w:val="Compact"/>
            </w:pPr>
            <w:r>
              <w:t xml:space="preserve">Valor monetário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PG-VL-BRUTO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QT-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BN-QT-DEPEND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IN-</w:t>
            </w:r>
          </w:p>
        </w:tc>
        <w:tc>
          <w:tcPr/>
          <w:p>
            <w:pPr>
              <w:pStyle w:val="Compact"/>
            </w:pPr>
            <w:r>
              <w:t xml:space="preserve">Indicador (S/N)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PS-IN-ATIVO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SG-</w:t>
            </w:r>
          </w:p>
        </w:tc>
        <w:tc>
          <w:tcPr/>
          <w:p>
            <w:pPr>
              <w:pStyle w:val="Compact"/>
            </w:pPr>
            <w:r>
              <w:t xml:space="preserve">Sigla</w:t>
            </w:r>
          </w:p>
        </w:tc>
        <w:tc>
          <w:tcPr/>
          <w:p>
            <w:pPr>
              <w:pStyle w:val="Compact"/>
            </w:pPr>
            <w:r>
              <w:t xml:space="preserve">(reservado)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Restrição:</w:t>
      </w:r>
      <w:r>
        <w:t xml:space="preserve"> </w:t>
      </w:r>
      <w:r>
        <w:t xml:space="preserve">Nomes de campos limitados a 20 caracteres, conforme limitação do Natural 4.2.</w:t>
      </w:r>
    </w:p>
    <w:bookmarkEnd w:id="20"/>
    <w:bookmarkStart w:id="21" w:name="estimativa-de-volumetria-inicial"/>
    <w:p>
      <w:pPr>
        <w:pStyle w:val="Heading3"/>
      </w:pPr>
      <w:r>
        <w:t xml:space="preserve">3.3. Estimativa de Volumetria Inicial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DDM</w:t>
            </w:r>
          </w:p>
        </w:tc>
        <w:tc>
          <w:tcPr/>
          <w:p>
            <w:pPr>
              <w:pStyle w:val="Compact"/>
            </w:pPr>
            <w:r>
              <w:t xml:space="preserve">Volume inicial</w:t>
            </w:r>
          </w:p>
        </w:tc>
        <w:tc>
          <w:tcPr/>
          <w:p>
            <w:pPr>
              <w:pStyle w:val="Compact"/>
            </w:pPr>
            <w:r>
              <w:t xml:space="preserve">Crescimento estimado/ano</w:t>
            </w:r>
          </w:p>
        </w:tc>
        <w:tc>
          <w:tcPr/>
          <w:p>
            <w:pPr>
              <w:pStyle w:val="Compact"/>
            </w:pPr>
            <w:r>
              <w:t xml:space="preserve">Projeção 5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BENEFICIARIO</w:t>
            </w:r>
          </w:p>
        </w:tc>
        <w:tc>
          <w:tcPr/>
          <w:p>
            <w:pPr>
              <w:pStyle w:val="Compact"/>
            </w:pPr>
            <w:r>
              <w:t xml:space="preserve">1.200.000 (migração SIPAG)</w:t>
            </w:r>
          </w:p>
        </w:tc>
        <w:tc>
          <w:tcPr/>
          <w:p>
            <w:pPr>
              <w:pStyle w:val="Compact"/>
            </w:pPr>
            <w:r>
              <w:t xml:space="preserve">300.000</w:t>
            </w:r>
          </w:p>
        </w:tc>
        <w:tc>
          <w:tcPr/>
          <w:p>
            <w:pPr>
              <w:pStyle w:val="Compact"/>
            </w:pPr>
            <w:r>
              <w:t xml:space="preserve">2.700.000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PROGRAMA-SOCIAL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</w:t>
            </w:r>
          </w:p>
        </w:tc>
        <w:tc>
          <w:tcPr/>
          <w:p>
            <w:pPr>
              <w:pStyle w:val="Compact"/>
            </w:pPr>
            <w:r>
              <w:t xml:space="preserve">0 (novo)</w:t>
            </w:r>
          </w:p>
        </w:tc>
        <w:tc>
          <w:tcPr/>
          <w:p>
            <w:pPr>
              <w:pStyle w:val="Compact"/>
            </w:pPr>
            <w:r>
              <w:t xml:space="preserve">14.400.000 (1,2M x 12)</w:t>
            </w:r>
          </w:p>
        </w:tc>
        <w:tc>
          <w:tcPr/>
          <w:p>
            <w:pPr>
              <w:pStyle w:val="Compact"/>
            </w:pPr>
            <w:r>
              <w:t xml:space="preserve">72.000.000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sobre a projeção:</w:t>
      </w:r>
      <w:r>
        <w:t xml:space="preserve"> </w:t>
      </w:r>
      <w:r>
        <w:t xml:space="preserve">Consideramos crescimento linear de 25% ao ano no cadastro de beneficiários, compatível com a expansão prevista dos programas sociais do Governo Federal. A projeção pode variar em função de novas políticas públicas.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fluxo-de-processamento-batch"/>
    <w:p>
      <w:pPr>
        <w:pStyle w:val="Heading2"/>
      </w:pPr>
      <w:r>
        <w:t xml:space="preserve">4. Fluxo de Processamento Batch</w:t>
      </w:r>
    </w:p>
    <w:bookmarkStart w:id="23" w:name="diagrama-de-fluxo-planejado"/>
    <w:p>
      <w:pPr>
        <w:pStyle w:val="Heading3"/>
      </w:pPr>
      <w:r>
        <w:t xml:space="preserve">4.1. Diagrama de Fluxo Planejado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INÍCIO DO CICLO   │</w:t>
      </w:r>
      <w:r>
        <w:br/>
      </w:r>
      <w:r>
        <w:rPr>
          <w:rStyle w:val="VerbatimChar"/>
        </w:rPr>
        <w:t xml:space="preserve">                    │   (1o dia útil)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 BATCHPGT         │</w:t>
      </w:r>
      <w:r>
        <w:br/>
      </w:r>
      <w:r>
        <w:rPr>
          <w:rStyle w:val="VerbatimChar"/>
        </w:rPr>
        <w:t xml:space="preserve">                    │                     │</w:t>
      </w:r>
      <w:r>
        <w:br/>
      </w:r>
      <w:r>
        <w:rPr>
          <w:rStyle w:val="VerbatimChar"/>
        </w:rPr>
        <w:t xml:space="preserve">                    │  1. Ler BENEFICIARIO│</w:t>
      </w:r>
      <w:r>
        <w:br/>
      </w:r>
      <w:r>
        <w:rPr>
          <w:rStyle w:val="VerbatimChar"/>
        </w:rPr>
        <w:t xml:space="preserve">                    │  2. Calcular valor  │</w:t>
      </w:r>
      <w:r>
        <w:br/>
      </w:r>
      <w:r>
        <w:rPr>
          <w:rStyle w:val="VerbatimChar"/>
        </w:rPr>
        <w:t xml:space="preserve">                    │  3. Gravar PAGAMENTO│</w:t>
      </w:r>
      <w:r>
        <w:br/>
      </w:r>
      <w:r>
        <w:rPr>
          <w:rStyle w:val="VerbatimChar"/>
        </w:rPr>
        <w:t xml:space="preserve">                    │  4. Gerar CNAB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   │                     │</w:t>
      </w:r>
      <w:r>
        <w:br/>
      </w:r>
      <w:r>
        <w:rPr>
          <w:rStyle w:val="VerbatimChar"/>
        </w:rPr>
        <w:t xml:space="preserve">                    ▼                     ▼</w:t>
      </w:r>
      <w:r>
        <w:br/>
      </w:r>
      <w:r>
        <w:rPr>
          <w:rStyle w:val="VerbatimChar"/>
        </w:rPr>
        <w:t xml:space="preserve">         ┌──────────────────┐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         │  Arquivo CNAB    │  │  BATCHREL         │</w:t>
      </w:r>
      <w:r>
        <w:br/>
      </w:r>
      <w:r>
        <w:rPr>
          <w:rStyle w:val="VerbatimChar"/>
        </w:rPr>
        <w:t xml:space="preserve">         │  (remessa BB)    │  │                   │</w:t>
      </w:r>
      <w:r>
        <w:br/>
      </w:r>
      <w:r>
        <w:rPr>
          <w:rStyle w:val="VerbatimChar"/>
        </w:rPr>
        <w:t xml:space="preserve">         │                  │  │  Relatórios       │</w:t>
      </w:r>
      <w:r>
        <w:br/>
      </w:r>
      <w:r>
        <w:rPr>
          <w:rStyle w:val="VerbatimChar"/>
        </w:rPr>
        <w:t xml:space="preserve">         │  Envio D+1       │  │  totalizadores    │</w:t>
      </w:r>
      <w:r>
        <w:br/>
      </w:r>
      <w:r>
        <w:rPr>
          <w:rStyle w:val="VerbatimChar"/>
        </w:rPr>
        <w:t xml:space="preserve">         └────────┬─────────┘  └──────────────────┘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┌──────────────────┐</w:t>
      </w:r>
      <w:r>
        <w:br/>
      </w:r>
      <w:r>
        <w:rPr>
          <w:rStyle w:val="VerbatimChar"/>
        </w:rPr>
        <w:t xml:space="preserve">         │  Retorno BB      │</w:t>
      </w:r>
      <w:r>
        <w:br/>
      </w:r>
      <w:r>
        <w:rPr>
          <w:rStyle w:val="VerbatimChar"/>
        </w:rPr>
        <w:t xml:space="preserve">         │  (D+3)           │</w:t>
      </w:r>
      <w:r>
        <w:br/>
      </w:r>
      <w:r>
        <w:rPr>
          <w:rStyle w:val="VerbatimChar"/>
        </w:rPr>
        <w:t xml:space="preserve">         └────────┬─────────┘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┌──────────────────┐</w:t>
      </w:r>
      <w:r>
        <w:br/>
      </w:r>
      <w:r>
        <w:rPr>
          <w:rStyle w:val="VerbatimChar"/>
        </w:rPr>
        <w:t xml:space="preserve">         │  BATCHCON         │</w:t>
      </w:r>
      <w:r>
        <w:br/>
      </w:r>
      <w:r>
        <w:rPr>
          <w:rStyle w:val="VerbatimChar"/>
        </w:rPr>
        <w:t xml:space="preserve">         │                   │</w:t>
      </w:r>
      <w:r>
        <w:br/>
      </w:r>
      <w:r>
        <w:rPr>
          <w:rStyle w:val="VerbatimChar"/>
        </w:rPr>
        <w:t xml:space="preserve">         │  Conciliação      │</w:t>
      </w:r>
      <w:r>
        <w:br/>
      </w:r>
      <w:r>
        <w:rPr>
          <w:rStyle w:val="VerbatimChar"/>
        </w:rPr>
        <w:t xml:space="preserve">         │  CNAB x SIAFI     │</w:t>
      </w:r>
      <w:r>
        <w:br/>
      </w:r>
      <w:r>
        <w:rPr>
          <w:rStyle w:val="VerbatimChar"/>
        </w:rPr>
        <w:t xml:space="preserve">         └──────────────────┘</w:t>
      </w:r>
    </w:p>
    <w:bookmarkEnd w:id="23"/>
    <w:bookmarkStart w:id="24" w:name="agendamento-batch-previsto"/>
    <w:p>
      <w:pPr>
        <w:pStyle w:val="Heading3"/>
      </w:pPr>
      <w:r>
        <w:t xml:space="preserve">4.2. Agendamento Batch Previsto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Horário</w:t>
            </w:r>
          </w:p>
        </w:tc>
        <w:tc>
          <w:tcPr/>
          <w:p>
            <w:pPr>
              <w:pStyle w:val="Compact"/>
            </w:pPr>
            <w: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Dependência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SIFAP-PGT</w:t>
            </w:r>
          </w:p>
        </w:tc>
        <w:tc>
          <w:tcPr/>
          <w:p>
            <w:pPr>
              <w:pStyle w:val="Compact"/>
            </w:pPr>
            <w:r>
              <w:t xml:space="preserve">Mensal (1o DU)</w:t>
            </w:r>
          </w:p>
        </w:tc>
        <w:tc>
          <w:tcPr/>
          <w:p>
            <w:pPr>
              <w:pStyle w:val="Compact"/>
            </w:pPr>
            <w:r>
              <w:t xml:space="preserve">22:00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SIFAP-REL</w:t>
            </w:r>
          </w:p>
        </w:tc>
        <w:tc>
          <w:tcPr/>
          <w:p>
            <w:pPr>
              <w:pStyle w:val="Compact"/>
            </w:pPr>
            <w:r>
              <w:t xml:space="preserve">Mensal (2o DU)</w:t>
            </w:r>
          </w:p>
        </w:tc>
        <w:tc>
          <w:tcPr/>
          <w:p>
            <w:pPr>
              <w:pStyle w:val="Compact"/>
            </w:pPr>
            <w:r>
              <w:t xml:space="preserve">06:00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t xml:space="preserve">SIFAP-PGT (RC=0)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SIFAP-CON</w:t>
            </w:r>
          </w:p>
        </w:tc>
        <w:tc>
          <w:tcPr/>
          <w:p>
            <w:pPr>
              <w:pStyle w:val="Compact"/>
            </w:pPr>
            <w:r>
              <w:t xml:space="preserve">Mensal (5o DU)</w:t>
            </w:r>
          </w:p>
        </w:tc>
        <w:tc>
          <w:tcPr/>
          <w:p>
            <w:pPr>
              <w:pStyle w:val="Compact"/>
            </w:pPr>
            <w:r>
              <w:t xml:space="preserve">22:00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Recebimento retorno BB</w:t>
            </w:r>
          </w:p>
        </w:tc>
      </w:tr>
    </w:tbl>
    <w:bookmarkEnd w:id="24"/>
    <w:bookmarkStart w:id="25" w:name="estimativa-de-tempo-de-processamento"/>
    <w:p>
      <w:pPr>
        <w:pStyle w:val="Heading3"/>
      </w:pPr>
      <w:r>
        <w:t xml:space="preserve">4.3. Estimativa de Tempo de Processamento</w:t>
      </w:r>
    </w:p>
    <w:p>
      <w:pPr>
        <w:pStyle w:val="FirstParagraph"/>
      </w:pPr>
      <w:r>
        <w:t xml:space="preserve">Com base em benchmarks realizados no ambiente de homologação do SERPRO (mainframe IBM 9672-R36, 256 MB RAM):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112"/>
        <w:gridCol w:w="2816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Volume base</w:t>
            </w:r>
          </w:p>
        </w:tc>
        <w:tc>
          <w:tcPr/>
          <w:p>
            <w:pPr>
              <w:pStyle w:val="Compact"/>
            </w:pPr>
            <w:r>
              <w:t xml:space="preserve">Tempo estimado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SIFAP-PGT</w:t>
            </w:r>
          </w:p>
        </w:tc>
        <w:tc>
          <w:tcPr/>
          <w:p>
            <w:pPr>
              <w:pStyle w:val="Compact"/>
            </w:pPr>
            <w:r>
              <w:t xml:space="preserve">1.200.000 registros</w:t>
            </w:r>
          </w:p>
        </w:tc>
        <w:tc>
          <w:tcPr/>
          <w:p>
            <w:pPr>
              <w:pStyle w:val="Compact"/>
            </w:pPr>
            <w:r>
              <w:t xml:space="preserve">1h30min</w:t>
            </w:r>
          </w:p>
        </w:tc>
        <w:tc>
          <w:tcPr/>
          <w:p>
            <w:pPr>
              <w:pStyle w:val="Compact"/>
            </w:pPr>
            <w:r>
              <w:t xml:space="preserve">Processamento sequencial com I/O Adabas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SIFAP-REL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20min</w:t>
            </w:r>
          </w:p>
        </w:tc>
        <w:tc>
          <w:tcPr/>
          <w:p>
            <w:pPr>
              <w:pStyle w:val="Compact"/>
            </w:pPr>
            <w:r>
              <w:t xml:space="preserve">Leitura de totalizadores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SIFAP-CON</w:t>
            </w:r>
          </w:p>
        </w:tc>
        <w:tc>
          <w:tcPr/>
          <w:p>
            <w:pPr>
              <w:pStyle w:val="Compact"/>
            </w:pPr>
            <w:r>
              <w:t xml:space="preserve">~1.200.000 registros</w:t>
            </w:r>
          </w:p>
        </w:tc>
        <w:tc>
          <w:tcPr/>
          <w:p>
            <w:pPr>
              <w:pStyle w:val="Compact"/>
            </w:pPr>
            <w:r>
              <w:t xml:space="preserve">45min</w:t>
            </w:r>
          </w:p>
        </w:tc>
        <w:tc>
          <w:tcPr/>
          <w:p>
            <w:pPr>
              <w:pStyle w:val="Compact"/>
            </w:pPr>
            <w:r>
              <w:t xml:space="preserve">Match entre CNAB e PAGAMENTO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Premissa:</w:t>
      </w:r>
      <w:r>
        <w:t xml:space="preserve"> </w:t>
      </w:r>
      <w:r>
        <w:t xml:space="preserve">Estes tempos são estimativas baseadas no volume inicial. O crescimento da base de beneficiários implicará aumento proporcional no tempo de processamento. Recomenda-se revisão do dimensionamento quando o volume atingir 2.500.000 registros.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integração-com-siafi"/>
    <w:p>
      <w:pPr>
        <w:pStyle w:val="Heading2"/>
      </w:pPr>
      <w:r>
        <w:t xml:space="preserve">5. Integração com SIAFI</w:t>
      </w:r>
    </w:p>
    <w:bookmarkStart w:id="27" w:name="modelo-de-integração-previsto"/>
    <w:p>
      <w:pPr>
        <w:pStyle w:val="Heading3"/>
      </w:pPr>
      <w:r>
        <w:t xml:space="preserve">5.1. Modelo de Integração Previsto</w:t>
      </w:r>
    </w:p>
    <w:p>
      <w:pPr>
        <w:pStyle w:val="FirstParagraph"/>
      </w:pPr>
      <w:r>
        <w:t xml:space="preserve">A integração com o SIAFI — Sistema Integrado de Administração Financeira do Governo Federal será realizada conforme o seguinte modelo: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                      ┌──────────────┐</w:t>
      </w:r>
      <w:r>
        <w:br/>
      </w:r>
      <w:r>
        <w:rPr>
          <w:rStyle w:val="VerbatimChar"/>
        </w:rPr>
        <w:t xml:space="preserve">│    SIFAP     │                           │    SIAFI     │</w:t>
      </w:r>
      <w:r>
        <w:br/>
      </w:r>
      <w:r>
        <w:rPr>
          <w:rStyle w:val="VerbatimChar"/>
        </w:rPr>
        <w:t xml:space="preserve">│              │    Arquivo TXT            │              │</w:t>
      </w:r>
      <w:r>
        <w:br/>
      </w:r>
      <w:r>
        <w:rPr>
          <w:rStyle w:val="VerbatimChar"/>
        </w:rPr>
        <w:t xml:space="preserve">│  BATCHPGT   ─┼──────────────────────────►│  Recepção    │</w:t>
      </w:r>
      <w:r>
        <w:br/>
      </w:r>
      <w:r>
        <w:rPr>
          <w:rStyle w:val="VerbatimChar"/>
        </w:rPr>
        <w:t xml:space="preserve">│              │    (Ordens Bancárias)      │              │</w:t>
      </w:r>
      <w:r>
        <w:br/>
      </w:r>
      <w:r>
        <w:rPr>
          <w:rStyle w:val="VerbatimChar"/>
        </w:rPr>
        <w:t xml:space="preserve">│              │                           │              │</w:t>
      </w:r>
      <w:r>
        <w:br/>
      </w:r>
      <w:r>
        <w:rPr>
          <w:rStyle w:val="VerbatimChar"/>
        </w:rPr>
        <w:t xml:space="preserve">│  BATCHCON   ◄┼───────────────────────────┼─ Confirmação │</w:t>
      </w:r>
      <w:r>
        <w:br/>
      </w:r>
      <w:r>
        <w:rPr>
          <w:rStyle w:val="VerbatimChar"/>
        </w:rPr>
        <w:t xml:space="preserve">│              │    Arquivo TXT            │              │</w:t>
      </w:r>
      <w:r>
        <w:br/>
      </w:r>
      <w:r>
        <w:rPr>
          <w:rStyle w:val="VerbatimChar"/>
        </w:rPr>
        <w:t xml:space="preserve">│              │    (Retorno)              │              │</w:t>
      </w:r>
      <w:r>
        <w:br/>
      </w:r>
      <w:r>
        <w:rPr>
          <w:rStyle w:val="VerbatimChar"/>
        </w:rPr>
        <w:t xml:space="preserve">└──────────────┘                           └──────────────┘</w:t>
      </w:r>
    </w:p>
    <w:p>
      <w:pPr>
        <w:pStyle w:val="FirstParagraph"/>
      </w:pPr>
      <w:r>
        <w:rPr>
          <w:b/>
          <w:bCs/>
        </w:rPr>
        <w:t xml:space="preserve">Formato previsto:</w:t>
      </w:r>
      <w:r>
        <w:t xml:space="preserve"> </w:t>
      </w:r>
      <w:r>
        <w:t xml:space="preserve">Arquivo texto posicional, layout definido pela STN (Secretaria do Tesouro Nacional), conforme Instrução Normativa STN no 04/1996.</w:t>
      </w:r>
    </w:p>
    <w:p>
      <w:pPr>
        <w:pStyle w:val="BodyText"/>
      </w:pPr>
      <w:r>
        <w:rPr>
          <w:b/>
          <w:bCs/>
        </w:rPr>
        <w:t xml:space="preserve">Meio de transmissão:</w:t>
      </w:r>
      <w:r>
        <w:t xml:space="preserve"> </w:t>
      </w:r>
      <w:r>
        <w:t xml:space="preserve">Transferência via VTAM/SNA entre mainframes SERPRO e STN.</w:t>
      </w:r>
    </w:p>
    <w:p>
      <w:pPr>
        <w:pStyle w:val="BodyText"/>
      </w:pPr>
      <w:r>
        <w:rPr>
          <w:b/>
          <w:bCs/>
        </w:rPr>
        <w:t xml:space="preserve">Periodicidade:</w:t>
      </w:r>
      <w:r>
        <w:t xml:space="preserve"> </w:t>
      </w:r>
      <w:r>
        <w:t xml:space="preserve">Mensal, D+2 após processamento da folha.</w:t>
      </w:r>
    </w:p>
    <w:bookmarkEnd w:id="27"/>
    <w:bookmarkStart w:id="28" w:name="campos-do-arquivo-de-integração-siafi"/>
    <w:p>
      <w:pPr>
        <w:pStyle w:val="Heading3"/>
      </w:pPr>
      <w:r>
        <w:t xml:space="preserve">5.2. Campos do Arquivo de Integração SIAFI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096"/>
        <w:gridCol w:w="1630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Posição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001-002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Tipo de registro (01=Header, 02=Detalhe, 99=Trailer)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003-016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CPF do beneficiário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017-056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Nome do beneficiário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057-069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Valor da ordem bancária (11 inteiros + 2 decimais)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070-077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Data de crédito (AAAAMMDD)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078-080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Código do banco pagador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081-084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Código da agência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085-094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Número da conta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095-100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Ano/mês de referência (AAAAMM)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101-110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Código da ordem bancária SIAFI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111-130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Reserva para uso futuro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segurança-e-controle-de-acesso"/>
    <w:p>
      <w:pPr>
        <w:pStyle w:val="Heading2"/>
      </w:pPr>
      <w:r>
        <w:t xml:space="preserve">6. Segurança e Controle de Acesso</w:t>
      </w:r>
    </w:p>
    <w:bookmarkStart w:id="30" w:name="modelo-de-acesso"/>
    <w:p>
      <w:pPr>
        <w:pStyle w:val="Heading3"/>
      </w:pPr>
      <w:r>
        <w:t xml:space="preserve">6.1. Modelo de Acesso</w:t>
      </w:r>
    </w:p>
    <w:p>
      <w:pPr>
        <w:pStyle w:val="FirstParagraph"/>
      </w:pPr>
      <w:r>
        <w:t xml:space="preserve">O controle de acesso ao SIFAP será implementado em dois níveis: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Nível Natural Security:</w:t>
      </w:r>
      <w:r>
        <w:t xml:space="preserve"> </w:t>
      </w:r>
      <w:r>
        <w:t xml:space="preserve">Controle de acesso à biblioteca SIFAP e seus objetos, gerenciado pelo Natural Security (NATSEC). Perfis definidos:</w:t>
      </w:r>
    </w:p>
    <w:p>
      <w:pPr>
        <w:pStyle w:val="Compact"/>
        <w:numPr>
          <w:ilvl w:val="1"/>
          <w:numId w:val="1004"/>
        </w:numPr>
      </w:pPr>
      <w:r>
        <w:t xml:space="preserve">OPERADOR: acesso a programas de cadastro e consulta;</w:t>
      </w:r>
    </w:p>
    <w:p>
      <w:pPr>
        <w:pStyle w:val="Compact"/>
        <w:numPr>
          <w:ilvl w:val="1"/>
          <w:numId w:val="1004"/>
        </w:numPr>
      </w:pPr>
      <w:r>
        <w:t xml:space="preserve">SUPERVISOR: acesso completo, incluindo exclusão e parametrização;</w:t>
      </w:r>
    </w:p>
    <w:p>
      <w:pPr>
        <w:pStyle w:val="Compact"/>
        <w:numPr>
          <w:ilvl w:val="1"/>
          <w:numId w:val="1004"/>
        </w:numPr>
      </w:pPr>
      <w:r>
        <w:t xml:space="preserve">AUDITOR: acesso somente leitura a todos os módulos + relatórios de auditoria.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Nível Aplicação:</w:t>
      </w:r>
      <w:r>
        <w:t xml:space="preserve"> </w:t>
      </w:r>
      <w:r>
        <w:t xml:space="preserve">Verificação adicional via GDA (Global Data Area) de sessão, contendo código do usuário, perfil e regional de origem.</w:t>
      </w:r>
    </w:p>
    <w:bookmarkEnd w:id="30"/>
    <w:bookmarkStart w:id="31" w:name="trilha-de-auditoria"/>
    <w:p>
      <w:pPr>
        <w:pStyle w:val="Heading3"/>
      </w:pPr>
      <w:r>
        <w:t xml:space="preserve">6.2. Trilha de Auditoria</w:t>
      </w:r>
    </w:p>
    <w:p>
      <w:pPr>
        <w:pStyle w:val="FirstParagraph"/>
      </w:pPr>
      <w:r>
        <w:t xml:space="preserve">Toda operação que altere dados no sistema (inclusão, alteração, exclusão) gerará um registro de auditoria contendo:</w:t>
      </w:r>
    </w:p>
    <w:p>
      <w:pPr>
        <w:pStyle w:val="Compact"/>
        <w:numPr>
          <w:ilvl w:val="0"/>
          <w:numId w:val="1005"/>
        </w:numPr>
      </w:pPr>
      <w:r>
        <w:t xml:space="preserve">Código do usuário;</w:t>
      </w:r>
    </w:p>
    <w:p>
      <w:pPr>
        <w:pStyle w:val="Compact"/>
        <w:numPr>
          <w:ilvl w:val="0"/>
          <w:numId w:val="1005"/>
        </w:numPr>
      </w:pPr>
      <w:r>
        <w:t xml:space="preserve">Data e hora da operação;</w:t>
      </w:r>
    </w:p>
    <w:p>
      <w:pPr>
        <w:pStyle w:val="Compact"/>
        <w:numPr>
          <w:ilvl w:val="0"/>
          <w:numId w:val="1005"/>
        </w:numPr>
      </w:pPr>
      <w:r>
        <w:t xml:space="preserve">Programa que originou a operação;</w:t>
      </w:r>
    </w:p>
    <w:p>
      <w:pPr>
        <w:pStyle w:val="Compact"/>
        <w:numPr>
          <w:ilvl w:val="0"/>
          <w:numId w:val="1005"/>
        </w:numPr>
      </w:pPr>
      <w:r>
        <w:t xml:space="preserve">Tipo de operação (I=Inclusão, A=Alteração, E=Exclusão);</w:t>
      </w:r>
    </w:p>
    <w:p>
      <w:pPr>
        <w:pStyle w:val="Compact"/>
        <w:numPr>
          <w:ilvl w:val="0"/>
          <w:numId w:val="1005"/>
        </w:numPr>
      </w:pPr>
      <w:r>
        <w:t xml:space="preserve">Identificação do registro afetado;</w:t>
      </w:r>
    </w:p>
    <w:p>
      <w:pPr>
        <w:pStyle w:val="Compact"/>
        <w:numPr>
          <w:ilvl w:val="0"/>
          <w:numId w:val="1005"/>
        </w:numPr>
      </w:pPr>
      <w:r>
        <w:t xml:space="preserve">Valores anterior e posterior (para alterações).</w:t>
      </w:r>
    </w:p>
    <w:p>
      <w:pPr>
        <w:pStyle w:val="BlockText"/>
      </w:pPr>
      <w:r>
        <w:rPr>
          <w:b/>
          <w:bCs/>
        </w:rPr>
        <w:t xml:space="preserve">Nota de projeto:</w:t>
      </w:r>
      <w:r>
        <w:t xml:space="preserve"> </w:t>
      </w:r>
      <w:r>
        <w:t xml:space="preserve">Na fase inicial, os registros de auditoria serão gravados em campos do tipo MU (multiple value) no próprio DDM BENEFICIARIO, utilizando um grupo periódico (PE) para histórico. Esta abordagem simplifica a implementação e evita a criação de um DDM adicional.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evolução-prevista"/>
    <w:p>
      <w:pPr>
        <w:pStyle w:val="Heading2"/>
      </w:pPr>
      <w:r>
        <w:t xml:space="preserve">7. Evolução Prevista</w:t>
      </w:r>
    </w:p>
    <w:bookmarkStart w:id="33" w:name="roadmap-de-funcionalidades"/>
    <w:p>
      <w:pPr>
        <w:pStyle w:val="Heading3"/>
      </w:pPr>
      <w:r>
        <w:t xml:space="preserve">7.1. Roadmap de Funcionalidades</w:t>
      </w:r>
    </w:p>
    <w:p>
      <w:pPr>
        <w:pStyle w:val="FirstParagraph"/>
      </w:pPr>
      <w:r>
        <w:t xml:space="preserve">A evolução do SIFAP está planejada nas seguintes fases, sujeitas à aprovação e priorização pelo comitê gestor do projeto: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424"/>
        <w:gridCol w:w="2586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Prazo Previsto</w:t>
            </w:r>
          </w:p>
        </w:tc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1</w:t>
            </w:r>
          </w:p>
        </w:tc>
        <w:tc>
          <w:tcPr/>
          <w:p>
            <w:pPr>
              <w:pStyle w:val="Compact"/>
            </w:pPr>
            <w:r>
              <w:t xml:space="preserve">Jun—Dez/1997</w:t>
            </w:r>
          </w:p>
        </w:tc>
        <w:tc>
          <w:tcPr/>
          <w:p>
            <w:pPr>
              <w:pStyle w:val="Compact"/>
            </w:pPr>
            <w:r>
              <w:t xml:space="preserve">Módulos de Cadastro e Consulta (CADBENEF, CADDEPEND, CADPROG, CONSBENF)</w:t>
            </w:r>
          </w:p>
        </w:tc>
        <w:tc>
          <w:tcPr/>
          <w:p>
            <w:pPr>
              <w:pStyle w:val="Compact"/>
            </w:pPr>
            <w:r>
              <w:t xml:space="preserve">Obrigatória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2</w:t>
            </w:r>
          </w:p>
        </w:tc>
        <w:tc>
          <w:tcPr/>
          <w:p>
            <w:pPr>
              <w:pStyle w:val="Compact"/>
            </w:pPr>
            <w:r>
              <w:t xml:space="preserve">Jan—Jul/1998</w:t>
            </w:r>
          </w:p>
        </w:tc>
        <w:tc>
          <w:tcPr/>
          <w:p>
            <w:pPr>
              <w:pStyle w:val="Compact"/>
            </w:pPr>
            <w:r>
              <w:t xml:space="preserve">Módulo de Processamento Batch (BATCHPGT, BATCHREL)</w:t>
            </w:r>
          </w:p>
        </w:tc>
        <w:tc>
          <w:tcPr/>
          <w:p>
            <w:pPr>
              <w:pStyle w:val="Compact"/>
            </w:pPr>
            <w:r>
              <w:t xml:space="preserve">Obrigatória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3</w:t>
            </w:r>
          </w:p>
        </w:tc>
        <w:tc>
          <w:tcPr/>
          <w:p>
            <w:pPr>
              <w:pStyle w:val="Compact"/>
            </w:pPr>
            <w:r>
              <w:t xml:space="preserve">Ago—Dez/1998</w:t>
            </w:r>
          </w:p>
        </w:tc>
        <w:tc>
          <w:tcPr/>
          <w:p>
            <w:pPr>
              <w:pStyle w:val="Compact"/>
            </w:pPr>
            <w:r>
              <w:t xml:space="preserve">Módulo de Auditoria (AUDCONSUL, AUDRELAT) + Conciliação SIAFI (BATCHCON)</w:t>
            </w:r>
          </w:p>
        </w:tc>
        <w:tc>
          <w:tcPr/>
          <w:p>
            <w:pPr>
              <w:pStyle w:val="Compact"/>
            </w:pPr>
            <w:r>
              <w:t xml:space="preserve">Desejável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4</w:t>
            </w:r>
          </w:p>
        </w:tc>
        <w:tc>
          <w:tcPr/>
          <w:p>
            <w:pPr>
              <w:pStyle w:val="Compact"/>
            </w:pPr>
            <w:r>
              <w:t xml:space="preserve">1o sem/1999</w:t>
            </w:r>
          </w:p>
        </w:tc>
        <w:tc>
          <w:tcPr/>
          <w:p>
            <w:pPr>
              <w:pStyle w:val="Compact"/>
            </w:pPr>
            <w:r>
              <w:t xml:space="preserve">Módulo de Validação (VALBENEF, VALDOCS) — validação automatizada de cadastro</w:t>
            </w:r>
          </w:p>
        </w:tc>
        <w:tc>
          <w:tcPr/>
          <w:p>
            <w:pPr>
              <w:pStyle w:val="Compact"/>
            </w:pPr>
            <w:r>
              <w:t xml:space="preserve">Desejável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5</w:t>
            </w:r>
          </w:p>
        </w:tc>
        <w:tc>
          <w:tcPr/>
          <w:p>
            <w:pPr>
              <w:pStyle w:val="Compact"/>
            </w:pPr>
            <w:r>
              <w:t xml:space="preserve">2o sem/1999</w:t>
            </w:r>
          </w:p>
        </w:tc>
        <w:tc>
          <w:tcPr/>
          <w:p>
            <w:pPr>
              <w:pStyle w:val="Compact"/>
            </w:pPr>
            <w:r>
              <w:t xml:space="preserve">Geração de relatórios gerenciais avançados — gráficos e consolidações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6</w:t>
            </w:r>
          </w:p>
        </w:tc>
        <w:tc>
          <w:tcPr/>
          <w:p>
            <w:pPr>
              <w:pStyle w:val="Compact"/>
            </w:pPr>
            <w:r>
              <w:t xml:space="preserve">1o sem/2000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 Web</w:t>
            </w:r>
            <w:r>
              <w:t xml:space="preserve"> </w:t>
            </w:r>
            <w:r>
              <w:t xml:space="preserve">— interface de consulta via Intranet para os órgãos gestores (SENARC, SAS). Tecnologia prevista: Natural Web Interface + servidor HTTP SERPRO.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7</w:t>
            </w:r>
          </w:p>
        </w:tc>
        <w:tc>
          <w:tcPr/>
          <w:p>
            <w:pPr>
              <w:pStyle w:val="Compact"/>
            </w:pPr>
            <w:r>
              <w:t xml:space="preserve">2o sem/2000</w:t>
            </w:r>
          </w:p>
        </w:tc>
        <w:tc>
          <w:tcPr/>
          <w:p>
            <w:pPr>
              <w:pStyle w:val="Compact"/>
            </w:pPr>
            <w:r>
              <w:t xml:space="preserve">Integração online com Receita Federal para validação de CPF em tempo real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</w:tr>
    </w:tbl>
    <w:bookmarkEnd w:id="33"/>
    <w:bookmarkStart w:id="34" w:name="premissas-para-evolução"/>
    <w:p>
      <w:pPr>
        <w:pStyle w:val="Heading3"/>
      </w:pPr>
      <w:r>
        <w:t xml:space="preserve">7.2. Premissas para Evolução</w:t>
      </w:r>
    </w:p>
    <w:p>
      <w:pPr>
        <w:pStyle w:val="Compact"/>
        <w:numPr>
          <w:ilvl w:val="0"/>
          <w:numId w:val="1006"/>
        </w:numPr>
      </w:pPr>
      <w:r>
        <w:t xml:space="preserve">Manutenção de equipe de pelo menos 4 analistas/programadores Natural dedicados ao SIFAP;</w:t>
      </w:r>
    </w:p>
    <w:p>
      <w:pPr>
        <w:pStyle w:val="Compact"/>
        <w:numPr>
          <w:ilvl w:val="0"/>
          <w:numId w:val="1006"/>
        </w:numPr>
      </w:pPr>
      <w:r>
        <w:t xml:space="preserve">Disponibilidade de ambiente de homologação no mainframe SERPRO;</w:t>
      </w:r>
    </w:p>
    <w:p>
      <w:pPr>
        <w:pStyle w:val="Compact"/>
        <w:numPr>
          <w:ilvl w:val="0"/>
          <w:numId w:val="1006"/>
        </w:numPr>
      </w:pPr>
      <w:r>
        <w:t xml:space="preserve">Apoio do comitê gestor SAS/MPAS para definição de requisitos;</w:t>
      </w:r>
    </w:p>
    <w:p>
      <w:pPr>
        <w:pStyle w:val="Compact"/>
        <w:numPr>
          <w:ilvl w:val="0"/>
          <w:numId w:val="1006"/>
        </w:numPr>
      </w:pPr>
      <w:r>
        <w:t xml:space="preserve">Estabilidade da plataforma Natural/Adabas no SERPRO (sem previsão de descontinuação);</w:t>
      </w:r>
    </w:p>
    <w:p>
      <w:pPr>
        <w:pStyle w:val="Compact"/>
        <w:numPr>
          <w:ilvl w:val="0"/>
          <w:numId w:val="1006"/>
        </w:numPr>
      </w:pPr>
      <w:r>
        <w:t xml:space="preserve">Orçamento para aquisição de licenças Natural Web Interface (Fase 6).</w:t>
      </w:r>
    </w:p>
    <w:bookmarkEnd w:id="34"/>
    <w:bookmarkStart w:id="35" w:name="considerações-sobre-o-módulo-web-fase-6"/>
    <w:p>
      <w:pPr>
        <w:pStyle w:val="Heading3"/>
      </w:pPr>
      <w:r>
        <w:t xml:space="preserve">7.3. Considerações sobre o Módulo Web (Fase 6)</w:t>
      </w:r>
    </w:p>
    <w:p>
      <w:pPr>
        <w:pStyle w:val="FirstParagraph"/>
      </w:pPr>
      <w:r>
        <w:t xml:space="preserve">O módulo web previsto para o 1o semestre de 2000 utilizará a tecnologia</w:t>
      </w:r>
      <w:r>
        <w:t xml:space="preserve"> </w:t>
      </w:r>
      <w:r>
        <w:rPr>
          <w:b/>
          <w:bCs/>
        </w:rPr>
        <w:t xml:space="preserve">Natural Web Interface</w:t>
      </w:r>
      <w:r>
        <w:t xml:space="preserve"> </w:t>
      </w:r>
      <w:r>
        <w:t xml:space="preserve">(NWI), que permite a exposição de telas Natural como páginas HTML acessíveis via navegador web. Esta tecnologia está em fase de avaliação pelo SERPRO e deverá ser homologada até o final de 1998.</w:t>
      </w:r>
    </w:p>
    <w:p>
      <w:pPr>
        <w:pStyle w:val="BodyText"/>
      </w:pPr>
      <w:r>
        <w:t xml:space="preserve">A interface web do SIFAP permitirá:</w:t>
      </w:r>
    </w:p>
    <w:p>
      <w:pPr>
        <w:pStyle w:val="Compact"/>
        <w:numPr>
          <w:ilvl w:val="0"/>
          <w:numId w:val="1007"/>
        </w:numPr>
      </w:pPr>
      <w:r>
        <w:t xml:space="preserve">Consulta de beneficiários por CPF, NIS ou nome (equivalente ao CONSBENF);</w:t>
      </w:r>
    </w:p>
    <w:p>
      <w:pPr>
        <w:pStyle w:val="Compact"/>
        <w:numPr>
          <w:ilvl w:val="0"/>
          <w:numId w:val="1007"/>
        </w:numPr>
      </w:pPr>
      <w:r>
        <w:t xml:space="preserve">Consulta de pagamentos por período;</w:t>
      </w:r>
    </w:p>
    <w:p>
      <w:pPr>
        <w:pStyle w:val="Compact"/>
        <w:numPr>
          <w:ilvl w:val="0"/>
          <w:numId w:val="1007"/>
        </w:numPr>
      </w:pPr>
      <w:r>
        <w:t xml:space="preserve">Emissão de extratos para os órgãos gestores;</w:t>
      </w:r>
    </w:p>
    <w:p>
      <w:pPr>
        <w:pStyle w:val="Compact"/>
        <w:numPr>
          <w:ilvl w:val="0"/>
          <w:numId w:val="1007"/>
        </w:numPr>
      </w:pPr>
      <w:r>
        <w:t xml:space="preserve">Acesso via Intranet SERPRO (rede INFOVIA do Governo Federal).</w:t>
      </w:r>
    </w:p>
    <w:p>
      <w:pPr>
        <w:pStyle w:val="Block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A viabilidade técnica do NWI depende de homologação pelo Comitê de Arquitetura do SERPRO. Caso o NWI não seja aprovado, avaliar alternativa com</w:t>
      </w:r>
      <w:r>
        <w:t xml:space="preserve"> </w:t>
      </w:r>
      <w:r>
        <w:rPr>
          <w:b/>
          <w:bCs/>
        </w:rPr>
        <w:t xml:space="preserve">Entire X</w:t>
      </w:r>
      <w:r>
        <w:t xml:space="preserve"> </w:t>
      </w:r>
      <w:r>
        <w:t xml:space="preserve">(middleware Natural-HTTP) ou desenvolvimento de front-end separado em Java/Servlet com acesso ao Adabas via JDBC.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ronograma-de-desenvolvimento"/>
    <w:p>
      <w:pPr>
        <w:pStyle w:val="Heading2"/>
      </w:pPr>
      <w:r>
        <w:t xml:space="preserve">8. Cronograma de Desenvolvimento</w:t>
      </w:r>
    </w:p>
    <w:bookmarkStart w:id="37" w:name="fase-1-cadastro-e-consulta"/>
    <w:p>
      <w:pPr>
        <w:pStyle w:val="Heading3"/>
      </w:pPr>
      <w:r>
        <w:t xml:space="preserve">8.1. Fase 1 — Cadastro e Consulta</w:t>
      </w:r>
    </w:p>
    <w:p>
      <w:pPr>
        <w:pStyle w:val="SourceCode"/>
      </w:pPr>
      <w:r>
        <w:rPr>
          <w:rStyle w:val="VerbatimChar"/>
        </w:rPr>
        <w:t xml:space="preserve">Jun/97  Jul/97  Ago/97  Set/97  Out/97  Nov/97  Dez/97</w:t>
      </w:r>
      <w:r>
        <w:br/>
      </w:r>
      <w:r>
        <w:rPr>
          <w:rStyle w:val="VerbatimChar"/>
        </w:rPr>
        <w:t xml:space="preserve">  │       │       │       │       │       │       │</w:t>
      </w:r>
      <w:r>
        <w:br/>
      </w:r>
      <w:r>
        <w:rPr>
          <w:rStyle w:val="VerbatimChar"/>
        </w:rPr>
        <w:t xml:space="preserve">  ├───────┤ Especificação detalhada</w:t>
      </w:r>
      <w:r>
        <w:br/>
      </w:r>
      <w:r>
        <w:rPr>
          <w:rStyle w:val="VerbatimChar"/>
        </w:rPr>
        <w:t xml:space="preserve">  │       ├───────┼───────┤ Modelagem Adabas + DDMs</w:t>
      </w:r>
      <w:r>
        <w:br/>
      </w:r>
      <w:r>
        <w:rPr>
          <w:rStyle w:val="VerbatimChar"/>
        </w:rPr>
        <w:t xml:space="preserve">  │       │       ├───────┼───────┤ Codificação CADBENEF/CADPROG</w:t>
      </w:r>
      <w:r>
        <w:br/>
      </w:r>
      <w:r>
        <w:rPr>
          <w:rStyle w:val="VerbatimChar"/>
        </w:rPr>
        <w:t xml:space="preserve">  │       │       │       ├───────┤ Codificação CONSBENF/CADDEPEND</w:t>
      </w:r>
      <w:r>
        <w:br/>
      </w:r>
      <w:r>
        <w:rPr>
          <w:rStyle w:val="VerbatimChar"/>
        </w:rPr>
        <w:t xml:space="preserve">  │       │       │       │       ├───────┤ Testes integrados</w:t>
      </w:r>
      <w:r>
        <w:br/>
      </w:r>
      <w:r>
        <w:rPr>
          <w:rStyle w:val="VerbatimChar"/>
        </w:rPr>
        <w:t xml:space="preserve">  │       │       │       │       │       ├───────┤ Homologação + Implantação</w:t>
      </w:r>
    </w:p>
    <w:bookmarkEnd w:id="37"/>
    <w:bookmarkStart w:id="38" w:name="fase-2-processamento-batch"/>
    <w:p>
      <w:pPr>
        <w:pStyle w:val="Heading3"/>
      </w:pPr>
      <w:r>
        <w:t xml:space="preserve">8.2. Fase 2 — Processamento Batch</w:t>
      </w:r>
    </w:p>
    <w:p>
      <w:pPr>
        <w:pStyle w:val="SourceCode"/>
      </w:pPr>
      <w:r>
        <w:rPr>
          <w:rStyle w:val="VerbatimChar"/>
        </w:rPr>
        <w:t xml:space="preserve">Jan/98  Fev/98  Mar/98  Abr/98  Mai/98  Jun/98  Jul/98</w:t>
      </w:r>
      <w:r>
        <w:br/>
      </w:r>
      <w:r>
        <w:rPr>
          <w:rStyle w:val="VerbatimChar"/>
        </w:rPr>
        <w:t xml:space="preserve">  │       │       │       │       │       │       │</w:t>
      </w:r>
      <w:r>
        <w:br/>
      </w:r>
      <w:r>
        <w:rPr>
          <w:rStyle w:val="VerbatimChar"/>
        </w:rPr>
        <w:t xml:space="preserve">  ├───────┤ Especificação BATCHPGT</w:t>
      </w:r>
      <w:r>
        <w:br/>
      </w:r>
      <w:r>
        <w:rPr>
          <w:rStyle w:val="VerbatimChar"/>
        </w:rPr>
        <w:t xml:space="preserve">  │       ├───────┼───────┤ Codificação BATCHPGT</w:t>
      </w:r>
      <w:r>
        <w:br/>
      </w:r>
      <w:r>
        <w:rPr>
          <w:rStyle w:val="VerbatimChar"/>
        </w:rPr>
        <w:t xml:space="preserve">  │       │       │       ├───────┤ Layout CNAB + testes BB</w:t>
      </w:r>
      <w:r>
        <w:br/>
      </w:r>
      <w:r>
        <w:rPr>
          <w:rStyle w:val="VerbatimChar"/>
        </w:rPr>
        <w:t xml:space="preserve">  │       │       │       │       ├───────┤ BATCHREL + testes</w:t>
      </w:r>
      <w:r>
        <w:br/>
      </w:r>
      <w:r>
        <w:rPr>
          <w:rStyle w:val="VerbatimChar"/>
        </w:rPr>
        <w:t xml:space="preserve">  │       │       │       │       │       ├───────┤ Homologação + Produção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quipe-do-projeto"/>
    <w:p>
      <w:pPr>
        <w:pStyle w:val="Heading2"/>
      </w:pPr>
      <w:r>
        <w:t xml:space="preserve">9. Equipe do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4425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Função no Projeto</w:t>
            </w:r>
          </w:p>
        </w:tc>
        <w:tc>
          <w:tcPr/>
          <w:p>
            <w:pPr>
              <w:pStyle w:val="Compact"/>
            </w:pPr>
            <w:r>
              <w:t xml:space="preserve">Lotação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Roberto Carlos Ferreira</w:t>
            </w:r>
          </w:p>
        </w:tc>
        <w:tc>
          <w:tcPr/>
          <w:p>
            <w:pPr>
              <w:pStyle w:val="Compact"/>
            </w:pPr>
            <w:r>
              <w:t xml:space="preserve">Coordenador Técnico / Arquiteto</w:t>
            </w:r>
          </w:p>
        </w:tc>
        <w:tc>
          <w:tcPr/>
          <w:p>
            <w:pPr>
              <w:pStyle w:val="Compact"/>
            </w:pPr>
            <w:r>
              <w:t xml:space="preserve">SUPDE/DESIF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Maria Helena Costa</w:t>
            </w:r>
          </w:p>
        </w:tc>
        <w:tc>
          <w:tcPr/>
          <w:p>
            <w:pPr>
              <w:pStyle w:val="Compact"/>
            </w:pPr>
            <w:r>
              <w:t xml:space="preserve">Coordenadora DESIF / Sponsor técnico</w:t>
            </w:r>
          </w:p>
        </w:tc>
        <w:tc>
          <w:tcPr/>
          <w:p>
            <w:pPr>
              <w:pStyle w:val="Compact"/>
            </w:pPr>
            <w:r>
              <w:t xml:space="preserve">SUPDE/DESIF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José Aparecido Lima</w:t>
            </w:r>
          </w:p>
        </w:tc>
        <w:tc>
          <w:tcPr/>
          <w:p>
            <w:pPr>
              <w:pStyle w:val="Compact"/>
            </w:pPr>
            <w:r>
              <w:t xml:space="preserve">Programador Natural — Módulo Batch</w:t>
            </w:r>
          </w:p>
        </w:tc>
        <w:tc>
          <w:tcPr/>
          <w:p>
            <w:pPr>
              <w:pStyle w:val="Compact"/>
            </w:pPr>
            <w:r>
              <w:t xml:space="preserve">SUPDE/DESIF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Fernanda Cristina de Oliveira</w:t>
            </w:r>
          </w:p>
        </w:tc>
        <w:tc>
          <w:tcPr/>
          <w:p>
            <w:pPr>
              <w:pStyle w:val="Compact"/>
            </w:pPr>
            <w:r>
              <w:t xml:space="preserve">Analista de Negócios / Especificação</w:t>
            </w:r>
          </w:p>
        </w:tc>
        <w:tc>
          <w:tcPr/>
          <w:p>
            <w:pPr>
              <w:pStyle w:val="Compact"/>
            </w:pPr>
            <w:r>
              <w:t xml:space="preserve">SUPDE/DESIF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Cláudia Regina dos Santos</w:t>
            </w:r>
          </w:p>
        </w:tc>
        <w:tc>
          <w:tcPr/>
          <w:p>
            <w:pPr>
              <w:pStyle w:val="Compact"/>
            </w:pPr>
            <w:r>
              <w:t xml:space="preserve">DBA Adabas — Modelagem de dados</w:t>
            </w:r>
          </w:p>
        </w:tc>
        <w:tc>
          <w:tcPr/>
          <w:p>
            <w:pPr>
              <w:pStyle w:val="Compact"/>
            </w:pPr>
            <w:r>
              <w:t xml:space="preserve">SUPDE/DESIF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Antônio Carlos Ribeiro</w:t>
            </w:r>
          </w:p>
        </w:tc>
        <w:tc>
          <w:tcPr/>
          <w:p>
            <w:pPr>
              <w:pStyle w:val="Compact"/>
            </w:pPr>
            <w:r>
              <w:t xml:space="preserve">Analista de Suporte — Infraestrutura</w:t>
            </w:r>
          </w:p>
        </w:tc>
        <w:tc>
          <w:tcPr/>
          <w:p>
            <w:pPr>
              <w:pStyle w:val="Compact"/>
            </w:pPr>
            <w:r>
              <w:t xml:space="preserve">SUPDE/DESIF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Mário Sérgio Andrade</w:t>
            </w:r>
          </w:p>
        </w:tc>
        <w:tc>
          <w:tcPr/>
          <w:p>
            <w:pPr>
              <w:pStyle w:val="Compact"/>
            </w:pPr>
            <w:r>
              <w:t xml:space="preserve">Programador Natural — Módulo Cadastro</w:t>
            </w:r>
          </w:p>
        </w:tc>
        <w:tc>
          <w:tcPr/>
          <w:p>
            <w:pPr>
              <w:pStyle w:val="Compact"/>
            </w:pPr>
            <w:r>
              <w:t xml:space="preserve">SUPDE/DESIF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Sandra Lúcia Pereira</w:t>
            </w:r>
          </w:p>
        </w:tc>
        <w:tc>
          <w:tcPr/>
          <w:p>
            <w:pPr>
              <w:pStyle w:val="Compact"/>
            </w:pPr>
            <w:r>
              <w:t xml:space="preserve">Programadora Natural — Módulo Consulta</w:t>
            </w:r>
          </w:p>
        </w:tc>
        <w:tc>
          <w:tcPr/>
          <w:p>
            <w:pPr>
              <w:pStyle w:val="Compact"/>
            </w:pPr>
            <w:r>
              <w:t xml:space="preserve">SUPDE/DESIF</w:t>
            </w:r>
          </w:p>
        </w:tc>
      </w:tr>
    </w:tbl>
    <w:p>
      <w:pPr>
        <w:pStyle w:val="Block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Mário Sérgio Andrade e Sandra Lúcia Pereira foram desligados do projeto em dezembro de 1997 por remanejamento interno. Suas atividades foram absorvidas pelos demais membros da equipe, contribuindo para o atraso de 4 meses no prazo original do projeto (14 meses previstos → 18 meses realizados).</w:t>
      </w:r>
    </w:p>
    <w:p>
      <w:r>
        <w:pict>
          <v:rect style="width:0;height:1.5pt" o:hralign="center" o:hrstd="t" o:hr="t"/>
        </w:pict>
      </w:r>
    </w:p>
    <w:bookmarkEnd w:id="40"/>
    <w:bookmarkStart w:id="41" w:name="riscos-identificados"/>
    <w:p>
      <w:pPr>
        <w:pStyle w:val="Heading2"/>
      </w:pPr>
      <w:r>
        <w:t xml:space="preserve">10. Riscos Identificados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232"/>
        <w:gridCol w:w="2640"/>
        <w:gridCol w:w="1584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Atraso na migração dos dados do SIPAG/DOS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Iniciar mapeamento de dados em paralelo à Fase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Indisponibilidade do ambiente de homologação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Solicitar ambiente dedicado à SUPDE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Alteração de requisitos pela SAS/MPAS durante o desenvolvimento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Congelar requisitos por fase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Saída de membros da equipe por remanejamento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Documentar e compartilhar conhecimento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Limitação de desempenho Adabas com volumes acima de 2M registros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Monitorar e otimizar descritores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Descontinuação do Natural/Adabas pelo SERPRO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Acompanhar diretrizes técnicas da SUPDE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sobre R4:</w:t>
      </w:r>
      <w:r>
        <w:t xml:space="preserve"> </w:t>
      </w:r>
      <w:r>
        <w:t xml:space="preserve">Este risco se materializou parcialmente com a saída de Mário Sérgio e Sandra Lúcia em dezembro/1997. A mitigação por documentação e compartilhamento de conhecimento foi parcialmente executada, porém a prática não foi mantida ao longo da vida do sistema.</w:t>
      </w:r>
    </w:p>
    <w:p>
      <w:r>
        <w:pict>
          <v:rect style="width:0;height:1.5pt" o:hralign="center" o:hrstd="t" o:hr="t"/>
        </w:pict>
      </w:r>
    </w:p>
    <w:bookmarkEnd w:id="41"/>
    <w:bookmarkStart w:id="42" w:name="aprovações"/>
    <w:p>
      <w:pPr>
        <w:pStyle w:val="Heading2"/>
      </w:pPr>
      <w:r>
        <w:t xml:space="preserve">11. Aprovações</w:t>
      </w:r>
    </w:p>
    <w:p>
      <w:pPr>
        <w:pStyle w:val="FirstParagraph"/>
      </w:pPr>
      <w:r>
        <w:t xml:space="preserve">Este documento foi revisado e aprovado para início do desenvolvimento conforme assinaturas abaixo: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Roberto Carlos Ferreira</w:t>
      </w:r>
      <w:r>
        <w:t xml:space="preserve"> </w:t>
      </w:r>
      <w:r>
        <w:t xml:space="preserve">Analista de Sistemas Sênior — SUPDE/DESIF</w:t>
      </w:r>
      <w:r>
        <w:t xml:space="preserve"> </w:t>
      </w:r>
      <w:r>
        <w:t xml:space="preserve">Coordenador Técnico do Projeto SIFAP</w:t>
      </w:r>
      <w:r>
        <w:t xml:space="preserve"> </w:t>
      </w:r>
      <w:r>
        <w:t xml:space="preserve">Brasília, 20 de maio de 1997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Maria Helena Costa</w:t>
      </w:r>
      <w:r>
        <w:t xml:space="preserve"> </w:t>
      </w:r>
      <w:r>
        <w:t xml:space="preserve">Coordenadora — DESIF/SUPDE</w:t>
      </w:r>
      <w:r>
        <w:t xml:space="preserve"> </w:t>
      </w:r>
      <w:r>
        <w:t xml:space="preserve">Brasília, 22 de maio de 1997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Antônio Marcos Silva</w:t>
      </w:r>
      <w:r>
        <w:t xml:space="preserve"> </w:t>
      </w:r>
      <w:r>
        <w:t xml:space="preserve">Gerente — SUPDE</w:t>
      </w:r>
      <w:r>
        <w:t xml:space="preserve"> </w:t>
      </w:r>
      <w:r>
        <w:t xml:space="preserve">Superintendência de Desenvolvimento</w:t>
      </w:r>
      <w:r>
        <w:t xml:space="preserve"> </w:t>
      </w:r>
      <w:r>
        <w:t xml:space="preserve">Brasília, 26 de maio de 1997</w:t>
      </w:r>
    </w:p>
    <w:p>
      <w:r>
        <w:pict>
          <v:rect style="width:0;height:1.5pt" o:hralign="center" o:hrstd="t" o:hr="t"/>
        </w:pict>
      </w:r>
    </w:p>
    <w:bookmarkEnd w:id="42"/>
    <w:bookmarkStart w:id="44" w:name="anexo-a-glossário-do-projeto"/>
    <w:p>
      <w:pPr>
        <w:pStyle w:val="Heading2"/>
      </w:pPr>
      <w:r>
        <w:t xml:space="preserve">Anexo A — Glossário do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Adabas</w:t>
            </w:r>
          </w:p>
        </w:tc>
        <w:tc>
          <w:tcPr/>
          <w:p>
            <w:pPr>
              <w:pStyle w:val="Compact"/>
            </w:pPr>
            <w:r>
              <w:t xml:space="preserve">Adaptable Database System — SGBD da Software AG utilizado no mainframe SERPRO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CNAB</w:t>
            </w:r>
          </w:p>
        </w:tc>
        <w:tc>
          <w:tcPr/>
          <w:p>
            <w:pPr>
              <w:pStyle w:val="Compact"/>
            </w:pPr>
            <w:r>
              <w:t xml:space="preserve">Centro Nacional de Automação Bancária — padrão de arquivo para transações bancárias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Com*plete</w:t>
            </w:r>
          </w:p>
        </w:tc>
        <w:tc>
          <w:tcPr/>
          <w:p>
            <w:pPr>
              <w:pStyle w:val="Compact"/>
            </w:pPr>
            <w:r>
              <w:t xml:space="preserve">Monitor de teleprocessamento da Software AG para telas 3270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DDM</w:t>
            </w:r>
          </w:p>
        </w:tc>
        <w:tc>
          <w:tcPr/>
          <w:p>
            <w:pPr>
              <w:pStyle w:val="Compact"/>
            </w:pPr>
            <w:r>
              <w:t xml:space="preserve">Data Definition Module — definição lógica de acesso a arquivo Adabas no Natural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Descritor — campo indexado no Adabas, utilizado como critério de busca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FDT</w:t>
            </w:r>
          </w:p>
        </w:tc>
        <w:tc>
          <w:tcPr/>
          <w:p>
            <w:pPr>
              <w:pStyle w:val="Compact"/>
            </w:pPr>
            <w:r>
              <w:t xml:space="preserve">Field Definition Table — definição física dos campos de um arquivo Adabas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FNR</w:t>
            </w:r>
          </w:p>
        </w:tc>
        <w:tc>
          <w:tcPr/>
          <w:p>
            <w:pPr>
              <w:pStyle w:val="Compact"/>
            </w:pPr>
            <w:r>
              <w:t xml:space="preserve">File Number — número que identifica um arquivo no Adabas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GDA</w:t>
            </w:r>
          </w:p>
        </w:tc>
        <w:tc>
          <w:tcPr/>
          <w:p>
            <w:pPr>
              <w:pStyle w:val="Compact"/>
            </w:pPr>
            <w:r>
              <w:t xml:space="preserve">Global Data Area — área de dados compartilhada entre programas Natural na sessão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INFOVIA</w:t>
            </w:r>
          </w:p>
        </w:tc>
        <w:tc>
          <w:tcPr/>
          <w:p>
            <w:pPr>
              <w:pStyle w:val="Compact"/>
            </w:pPr>
            <w:r>
              <w:t xml:space="preserve">Rede de comunicação de dados do Governo Federal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JES2</w:t>
            </w:r>
          </w:p>
        </w:tc>
        <w:tc>
          <w:tcPr/>
          <w:p>
            <w:pPr>
              <w:pStyle w:val="Compact"/>
            </w:pPr>
            <w:r>
              <w:t xml:space="preserve">Job Entry Subsystem — subsistema de gerenciamento de jobs batch no MVS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</w:t>
            </w:r>
          </w:p>
        </w:tc>
        <w:tc>
          <w:tcPr/>
          <w:p>
            <w:pPr>
              <w:pStyle w:val="Compact"/>
            </w:pPr>
            <w:r>
              <w:t xml:space="preserve">Local Data Area — área de dados local de um programa Natural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Multiple Value — campo que pode conter múltiplos valores no Adabas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</w:t>
            </w:r>
          </w:p>
        </w:tc>
        <w:tc>
          <w:tcPr/>
          <w:p>
            <w:pPr>
              <w:pStyle w:val="Compact"/>
            </w:pPr>
            <w:r>
              <w:t xml:space="preserve">Linguagem de programação 4GL da Software AG para ambiente mainframe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NWI</w:t>
            </w:r>
          </w:p>
        </w:tc>
        <w:tc>
          <w:tcPr/>
          <w:p>
            <w:pPr>
              <w:pStyle w:val="Compact"/>
            </w:pPr>
            <w:r>
              <w:t xml:space="preserve">Natural Web Interface — tecnologia para exposição de telas Natural como 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Periodic Group — grupo de campos que se repete no Adabas (histórico)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SIAFI</w:t>
            </w:r>
          </w:p>
        </w:tc>
        <w:tc>
          <w:tcPr/>
          <w:p>
            <w:pPr>
              <w:pStyle w:val="Compact"/>
            </w:pPr>
            <w:r>
              <w:t xml:space="preserve">Sistema Integrado de Administração Financeira do Governo Federal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SIPAG/DOS</w:t>
            </w:r>
          </w:p>
        </w:tc>
        <w:tc>
          <w:tcPr/>
          <w:p>
            <w:pPr>
              <w:pStyle w:val="Compact"/>
            </w:pPr>
            <w:r>
              <w:t xml:space="preserve">Sistema de Pagamentos — aplicação Clipper anterior ao SIFAP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</w:t>
            </w:r>
          </w:p>
        </w:tc>
        <w:tc>
          <w:tcPr/>
          <w:p>
            <w:pPr>
              <w:pStyle w:val="Compact"/>
            </w:pPr>
            <w:r>
              <w:t xml:space="preserve">Systems Network Architecture — protocolo de comunicação IBM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STN</w:t>
            </w:r>
          </w:p>
        </w:tc>
        <w:tc>
          <w:tcPr/>
          <w:p>
            <w:pPr>
              <w:pStyle w:val="Compact"/>
            </w:pPr>
            <w:r>
              <w:t xml:space="preserve">Secretaria do Tesouro Nacional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VTAM</w:t>
            </w:r>
          </w:p>
        </w:tc>
        <w:tc>
          <w:tcPr/>
          <w:p>
            <w:pPr>
              <w:pStyle w:val="Compact"/>
            </w:pPr>
            <w:r>
              <w:t xml:space="preserve">Virtual Telecommunications Access Method — software de comunicação IBM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SERPRO — Serviço Federal de Processamento de Dados</w:t>
      </w:r>
      <w:r>
        <w:t xml:space="preserve"> </w:t>
      </w:r>
      <w:r>
        <w:rPr>
          <w:b/>
          <w:bCs/>
        </w:rPr>
        <w:t xml:space="preserve">Documento Confidencial</w:t>
      </w:r>
      <w:r>
        <w:t xml:space="preserve"> </w:t>
      </w:r>
      <w:r>
        <w:rPr>
          <w:b/>
          <w:bCs/>
        </w:rPr>
        <w:t xml:space="preserve">Reprodução e distribuição restritas ao âmbito do projeto SIFAP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43">
        <w:r>
          <w:rPr>
            <w:rStyle w:val="Hyperlink"/>
          </w:rPr>
          <w:t xml:space="preserve">Voltar ao cenário legado</w:t>
        </w:r>
      </w:hyperlink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.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.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SIFAP — Documento de Arquitetura Técnica</dc:title>
  <dc:creator>Roberto Carlos Ferreira — Analista de Sistemas Sênior</dc:creator>
  <cp:keywords/>
  <dcterms:created xsi:type="dcterms:W3CDTF">2026-04-23T02:12:26Z</dcterms:created>
  <dcterms:modified xsi:type="dcterms:W3CDTF">2026-04-23T02:12:26Z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CONFIDENCIAL</vt:lpwstr>
  </property>
  <property fmtid="{D5CDD505-2E9C-101B-9397-08002B2CF9AE}" pid="3" name="client">
    <vt:lpwstr>SAS/MPAS — Secretaria de Assistência Social</vt:lpwstr>
  </property>
  <property fmtid="{D5CDD505-2E9C-101B-9397-08002B2CF9AE}" pid="4" name="date">
    <vt:lpwstr>1997-05-20</vt:lpwstr>
  </property>
  <property fmtid="{D5CDD505-2E9C-101B-9397-08002B2CF9AE}" pid="5" name="project">
    <vt:lpwstr>SIFAP — Sistema de Fiscalização e Administração de Pagamentos</vt:lpwstr>
  </property>
  <property fmtid="{D5CDD505-2E9C-101B-9397-08002B2CF9AE}" pid="6" name="sponsor">
    <vt:lpwstr>SUPDE/DESIF — SERPRO</vt:lpwstr>
  </property>
  <property fmtid="{D5CDD505-2E9C-101B-9397-08002B2CF9AE}" pid="7" name="version">
    <vt:lpwstr>1.0.0</vt:lpwstr>
  </property>
</Properties>
</file>