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enter"/>
      </w:pPr>
      <w:r>
        <w:rPr>
          <w:rFonts w:ascii="Times New Roman" w:hAnsi="Times New Roman" w:eastAsia="Times New Roman"/>
          <w:b/>
          <w:sz w:val="28"/>
        </w:rPr>
        <w:t>Техническое задание</w:t>
      </w:r>
    </w:p>
    <w:p>
      <w:pPr>
        <w:pStyle w:val="TitleCenter"/>
      </w:pPr>
      <w:r>
        <w:rPr>
          <w:rFonts w:ascii="Times New Roman" w:hAnsi="Times New Roman" w:eastAsia="Times New Roman"/>
          <w:b/>
          <w:sz w:val="28"/>
        </w:rPr>
        <w:t>на научно-исследовательскую работу</w:t>
      </w:r>
    </w:p>
    <w:p>
      <w:pPr>
        <w:pStyle w:val="TitleCenter"/>
      </w:pPr>
      <w:r>
        <w:rPr>
          <w:rFonts w:ascii="Times New Roman" w:hAnsi="Times New Roman" w:eastAsia="Times New Roman"/>
          <w:b/>
          <w:sz w:val="28"/>
        </w:rPr>
        <w:t>в рамках программно-целевого финансирования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pStyle w:val="SectionHead"/>
      </w:pPr>
      <w:r>
        <w:rPr>
          <w:rFonts w:ascii="Times New Roman" w:hAnsi="Times New Roman" w:eastAsia="Times New Roman"/>
          <w:b/>
          <w:sz w:val="24"/>
        </w:rPr>
        <w:t>1. Общие сведения: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1.1. Наименование приоритета для научной, научно-технической программы (далее - программа): Энергия, передовые материалы и транспорт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1.2. Наименование специализированного направления программы: Декарбонизация индустрии; цифровые платформы; промышленная аналитика.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1.3. Наименование программы: Платформа учета и снижения углеродного следа для металлургических предприятий.</w:t>
      </w:r>
    </w:p>
    <w:p>
      <w:pPr>
        <w:pStyle w:val="SectionHead"/>
      </w:pPr>
      <w:r>
        <w:rPr>
          <w:rFonts w:ascii="Times New Roman" w:hAnsi="Times New Roman" w:eastAsia="Times New Roman"/>
          <w:b/>
          <w:sz w:val="24"/>
        </w:rPr>
        <w:t>2. Цели и задачи программы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2.1. Цель программы: Разработать платформу мониторинга и сценарной оптимизации углеродного следа металлургического предприятия с точностью расчета выбросов не ниже 95 процентов и выявлением не менее 5 сценариев сокращения выбросов.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2.2. Для достижения поставленной цели должны быть решены следующие задачи: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1. Формирование модели источников выбросов и факторного учета.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2. Интеграция производственных и энергетических данных предприятия.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3. Разработка дашборда сценарной аналитики.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4. Пилотная апробация на одном металлургическом контуре.</w:t>
      </w:r>
    </w:p>
    <w:p>
      <w:pPr>
        <w:pStyle w:val="SectionHead"/>
      </w:pPr>
      <w:r>
        <w:rPr>
          <w:rFonts w:ascii="Times New Roman" w:hAnsi="Times New Roman" w:eastAsia="Times New Roman"/>
          <w:b/>
          <w:sz w:val="24"/>
        </w:rPr>
        <w:t>3. Какие пункты стратегических и программных документов решает (указать конкретные пункты):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1. Концепция по переходу Республики Казахстан к 'зеленой экономике', пункт 3.1.2 'Снижение негативного воздействия на окружающую среду'.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2. Концепция по переходу Республики Казахстан к 'зеленой экономике', пункт 3.3.1 'Энергоэффективность и энергосбережение'.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3. Национальный план развития Республики Казахстан до 2029 года, п. 3.3 'Инновации, цифровая и креативная экономика'.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4. Концепция развития высшего образования и науки в Республике Казахстан на 2023-2029 годы, глава 3, параграф 5.</w:t>
      </w:r>
    </w:p>
    <w:p>
      <w:pPr>
        <w:pStyle w:val="SectionHead"/>
      </w:pPr>
      <w:r>
        <w:rPr>
          <w:rFonts w:ascii="Times New Roman" w:hAnsi="Times New Roman" w:eastAsia="Times New Roman"/>
          <w:b/>
          <w:sz w:val="24"/>
        </w:rPr>
        <w:t>4. Ожидаемые результаты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4.1. Прямые результаты: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1. Создан цифровой модуль инвентаризации выбросов и сценарной аналитики.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2. Проведена пилотная апробация на одном контуре металлургического производства.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3. Выявлены не менее 5 сценариев снижения выбросов с оценкой CAPEX/OPEX.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4. Подготовлены 3 статьи, 1 авторское свидетельство и 1 методические рекомендации.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4.2. Конечный результат: Программа обеспечит предприятия инструментом для перехода от эпизодической отчетности к регулярной аналитике выбросов и выбора экономически обоснованных мер декарбонизации.</w:t>
      </w:r>
    </w:p>
    <w:p>
      <w:pPr>
        <w:pStyle w:val="SectionHead"/>
      </w:pPr>
      <w:r>
        <w:rPr>
          <w:rFonts w:ascii="Times New Roman" w:hAnsi="Times New Roman" w:eastAsia="Times New Roman"/>
          <w:b/>
          <w:sz w:val="24"/>
        </w:rPr>
        <w:t>5. Предельная сумма программы на весь срок реализации программы и по годам, в тыс. тенге: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820 000 тыс. тенге, в том числе: 2026 г. - 265 000; 2027 г. - 277 500; 2028 г. - 277 500.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Custom">
    <w:name w:val="BodyCustom"/>
    <w:basedOn w:val="Normal"/>
    <w:pPr>
      <w:spacing w:lineRule="auto" w:line="276" w:after="120"/>
      <w:ind w:firstLine="709"/>
      <w:jc w:val="both"/>
    </w:pPr>
    <w:rPr>
      <w:rFonts w:ascii="Times New Roman" w:hAnsi="Times New Roman" w:eastAsia="Times New Roman"/>
      <w:sz w:val="24"/>
    </w:rPr>
  </w:style>
  <w:style w:type="paragraph" w:customStyle="1" w:styleId="SectionHead">
    <w:name w:val="SectionHead"/>
    <w:basedOn w:val="Normal"/>
    <w:pPr>
      <w:spacing w:before="120" w:after="120"/>
      <w:jc w:val="left"/>
    </w:pPr>
    <w:rPr>
      <w:rFonts w:ascii="Times New Roman" w:hAnsi="Times New Roman" w:eastAsia="Times New Roman"/>
      <w:b/>
      <w:sz w:val="24"/>
    </w:rPr>
  </w:style>
  <w:style w:type="paragraph" w:customStyle="1" w:styleId="TitleCenter">
    <w:name w:val="TitleCenter"/>
    <w:basedOn w:val="Normal"/>
    <w:pPr>
      <w:spacing w:after="40"/>
      <w:jc w:val="center"/>
    </w:pPr>
    <w:rPr>
      <w:rFonts w:ascii="Times New Roman" w:hAnsi="Times New Roman" w:eastAsia="Times New Roman"/>
      <w:b/>
      <w:sz w:val="28"/>
    </w:rPr>
  </w:style>
  <w:style w:type="paragraph" w:customStyle="1" w:styleId="ListCustom">
    <w:name w:val="ListCustom"/>
    <w:basedOn w:val="Normal"/>
    <w:pPr>
      <w:spacing w:lineRule="auto" w:line="276" w:after="60"/>
      <w:ind w:left="454" w:hanging="283"/>
      <w:jc w:val="both"/>
    </w:pPr>
    <w:rPr>
      <w:rFonts w:ascii="Times New Roman" w:hAnsi="Times New Roman" w:eastAsia="Times New Roman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