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Транспортные материалы; безопасность движения; импортонезависимость.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Композиционные фрикционные материалы для железнодорожных тормозных систем.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лабораторные составы фрикционных материалов с повышением износостойкости на 20 процентов и снижением пылеобразования на 15 процентов относительно серийного аналога.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Подбор армирующих и связующих компонентов композита.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Проведение трибологических испытаний и оценки термостабильности.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Оптимизация состава по критерию трения, износа и экологичности.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Подготовка технических требований к опытным образцам.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по переходу Республики Казахстан к 'зеленой экономике', пункт 3.1.2 'Снижение негативного воздействия на окружающую среду'.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по переходу Республики Казахстан к 'зеленой экономике', пункт 3.3.1 'Энергоэффективность и энергосбережение'.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Получены 4 лабораторных состава и результаты сравнительных испытаний.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Подготовлены 2 статьи, 1 заявка на патент и технические требования к опытным образцам.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Подтверждено снижение пылеобразования и рост износостойкости на лабораторном уровне.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 план перехода к стендовым испытаниям.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Программа создаст базу для разработки отечественных фрикционных материалов для железнодорожной отрасли, однако коммерциализация зависит от следующего этапа испытаний.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650 000 тыс. тенге, в том числе: 2026 г. - 210 000; 2027 г. - 220 000; 2028 г. - 220 000.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