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DC673">
      <w:pPr>
        <w:pStyle w:val="12"/>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CAN NIGERIA GET TO ‘DENMARK’ </w:t>
      </w:r>
    </w:p>
    <w:p w14:paraId="5B6B972B">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AN ANALYSIS AND ADAPTATION OF FRANCIS FUKUYAMA’S “THE ORIGIN OF POLITICAL ORDER: FROM THE PRE HUMAN TIMES TO THE FRENCH REVOLUTION” )</w:t>
      </w:r>
    </w:p>
    <w:p w14:paraId="1C42E2CD">
      <w:pPr>
        <w:pStyle w:val="12"/>
        <w:spacing w:line="480" w:lineRule="auto"/>
        <w:jc w:val="center"/>
        <w:rPr>
          <w:rFonts w:hint="default" w:ascii="Times New Roman" w:hAnsi="Times New Roman" w:cs="Times New Roman"/>
          <w:b/>
          <w:bCs/>
          <w:sz w:val="24"/>
          <w:szCs w:val="24"/>
          <w:lang w:val="en-US"/>
        </w:rPr>
      </w:pPr>
      <w:r>
        <w:rPr>
          <w:rStyle w:val="14"/>
          <w:rFonts w:hint="default"/>
          <w:lang w:val="en-US"/>
        </w:rPr>
        <w:t>A philosophical Investigation into the Institutions of State in</w:t>
      </w:r>
      <w:r>
        <w:rPr>
          <w:rStyle w:val="14"/>
        </w:rPr>
        <w:t xml:space="preserve"> Francis</w:t>
      </w:r>
      <w:r>
        <w:rPr>
          <w:rStyle w:val="14"/>
          <w:rFonts w:hint="default"/>
          <w:lang w:val="en-US"/>
        </w:rPr>
        <w:t xml:space="preserve"> </w:t>
      </w:r>
      <w:r>
        <w:rPr>
          <w:rStyle w:val="14"/>
        </w:rPr>
        <w:t>Fukuyama</w:t>
      </w:r>
      <w:r>
        <w:rPr>
          <w:rStyle w:val="14"/>
          <w:rFonts w:hint="default"/>
          <w:lang w:val="en-US"/>
        </w:rPr>
        <w:t>’s</w:t>
      </w:r>
      <w:r>
        <w:rPr>
          <w:rStyle w:val="8"/>
        </w:rPr>
        <w:t xml:space="preserve"> </w:t>
      </w:r>
      <w:r>
        <w:rPr>
          <w:rStyle w:val="8"/>
          <w:rFonts w:hint="default"/>
          <w:lang w:val="en-US"/>
        </w:rPr>
        <w:t>“</w:t>
      </w:r>
      <w:r>
        <w:rPr>
          <w:rStyle w:val="8"/>
        </w:rPr>
        <w:t>Origins of Political Order</w:t>
      </w:r>
      <w:r>
        <w:rPr>
          <w:rStyle w:val="8"/>
          <w:rFonts w:hint="default"/>
          <w:lang w:val="en-US"/>
        </w:rPr>
        <w:t>”</w:t>
      </w:r>
    </w:p>
    <w:p w14:paraId="4D038EB7">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BY</w:t>
      </w:r>
    </w:p>
    <w:p w14:paraId="1C86DDD2">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MEMBERS OF GROUP 4</w:t>
      </w:r>
    </w:p>
    <w:p w14:paraId="7CF884DF">
      <w:pPr>
        <w:pStyle w:val="12"/>
        <w:spacing w:line="480" w:lineRule="auto"/>
        <w:jc w:val="center"/>
        <w:rPr>
          <w:rFonts w:ascii="Times New Roman" w:hAnsi="Times New Roman" w:cs="Times New Roman"/>
          <w:b/>
          <w:bCs/>
          <w:sz w:val="24"/>
          <w:szCs w:val="24"/>
        </w:rPr>
      </w:pPr>
    </w:p>
    <w:p w14:paraId="650E5911">
      <w:pPr>
        <w:pStyle w:val="12"/>
        <w:spacing w:line="480" w:lineRule="auto"/>
        <w:jc w:val="center"/>
        <w:rPr>
          <w:rFonts w:ascii="Times New Roman" w:hAnsi="Times New Roman" w:cs="Times New Roman"/>
          <w:b/>
          <w:bCs/>
          <w:sz w:val="24"/>
          <w:szCs w:val="24"/>
        </w:rPr>
      </w:pPr>
    </w:p>
    <w:p w14:paraId="727BDD54">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DEPARTMENT OF PHILOSOPHY, BIGARD</w:t>
      </w:r>
    </w:p>
    <w:p w14:paraId="14E6DEE6">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MEMORIAL SEMINARY, ENUGU, IN AFFILIAION</w:t>
      </w:r>
    </w:p>
    <w:p w14:paraId="7801C8EF">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WITH THE UNIVERSITY OF IBADAN, IBADAN,</w:t>
      </w:r>
    </w:p>
    <w:p w14:paraId="77867F8B">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NIGERIA.</w:t>
      </w:r>
    </w:p>
    <w:p w14:paraId="7DD7E81C">
      <w:pPr>
        <w:pStyle w:val="12"/>
        <w:spacing w:line="480" w:lineRule="auto"/>
        <w:jc w:val="center"/>
        <w:rPr>
          <w:rFonts w:ascii="Times New Roman" w:hAnsi="Times New Roman" w:cs="Times New Roman"/>
          <w:b/>
          <w:bCs/>
          <w:sz w:val="24"/>
          <w:szCs w:val="24"/>
        </w:rPr>
      </w:pPr>
    </w:p>
    <w:p w14:paraId="5EF07AAC">
      <w:pPr>
        <w:pStyle w:val="12"/>
        <w:spacing w:line="480" w:lineRule="auto"/>
        <w:jc w:val="center"/>
        <w:rPr>
          <w:rFonts w:ascii="Times New Roman" w:hAnsi="Times New Roman" w:cs="Times New Roman"/>
          <w:b/>
          <w:bCs/>
          <w:sz w:val="24"/>
          <w:szCs w:val="24"/>
        </w:rPr>
      </w:pPr>
    </w:p>
    <w:p w14:paraId="4A9F061B">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COURSE: SOCIAL AND POLITICAL PHILOSOPHY.</w:t>
      </w:r>
    </w:p>
    <w:p w14:paraId="51BA09AE">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COURSE CODE: PHI 305</w:t>
      </w:r>
    </w:p>
    <w:p w14:paraId="69124A2D">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LECTURER: DR. JUSTIN ANYAROGBU</w:t>
      </w:r>
    </w:p>
    <w:p w14:paraId="7DB484C0">
      <w:pPr>
        <w:pStyle w:val="12"/>
        <w:spacing w:line="480" w:lineRule="auto"/>
        <w:jc w:val="center"/>
        <w:rPr>
          <w:rFonts w:ascii="Times New Roman" w:hAnsi="Times New Roman" w:cs="Times New Roman"/>
          <w:b/>
          <w:bCs/>
          <w:sz w:val="24"/>
          <w:szCs w:val="24"/>
        </w:rPr>
      </w:pPr>
    </w:p>
    <w:p w14:paraId="1155A2E1">
      <w:pPr>
        <w:pStyle w:val="12"/>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NOVEMBER, 2025.</w:t>
      </w:r>
    </w:p>
    <w:p w14:paraId="1D563F39">
      <w:pPr>
        <w:pStyle w:val="12"/>
        <w:spacing w:line="480" w:lineRule="auto"/>
        <w:jc w:val="center"/>
        <w:rPr>
          <w:rFonts w:ascii="Times New Roman" w:hAnsi="Times New Roman" w:cs="Times New Roman"/>
          <w:b/>
          <w:bCs/>
          <w:sz w:val="24"/>
          <w:szCs w:val="24"/>
        </w:rPr>
      </w:pPr>
    </w:p>
    <w:p w14:paraId="10C42B00">
      <w:pPr>
        <w:pStyle w:val="12"/>
        <w:spacing w:line="480" w:lineRule="auto"/>
        <w:jc w:val="center"/>
        <w:rPr>
          <w:rFonts w:ascii="Times New Roman" w:hAnsi="Times New Roman" w:cs="Times New Roman"/>
          <w:b/>
          <w:bCs/>
          <w:sz w:val="24"/>
          <w:szCs w:val="24"/>
        </w:rPr>
      </w:pPr>
    </w:p>
    <w:p w14:paraId="50B268CE">
      <w:pPr>
        <w:pStyle w:val="12"/>
        <w:spacing w:line="480" w:lineRule="auto"/>
        <w:jc w:val="center"/>
        <w:rPr>
          <w:rFonts w:ascii="Times New Roman" w:hAnsi="Times New Roman" w:cs="Times New Roman"/>
          <w:b/>
          <w:bCs/>
          <w:sz w:val="24"/>
          <w:szCs w:val="24"/>
        </w:rPr>
      </w:pPr>
    </w:p>
    <w:p w14:paraId="05999762">
      <w:pPr>
        <w:pStyle w:val="12"/>
        <w:spacing w:line="480" w:lineRule="auto"/>
        <w:rPr>
          <w:rFonts w:ascii="Times New Roman" w:hAnsi="Times New Roman" w:cs="Times New Roman"/>
          <w:b/>
          <w:bCs/>
          <w:sz w:val="24"/>
          <w:szCs w:val="24"/>
        </w:rPr>
      </w:pPr>
    </w:p>
    <w:p w14:paraId="676B7D73">
      <w:pPr>
        <w:pStyle w:val="12"/>
        <w:rPr>
          <w:rFonts w:ascii="Times New Roman" w:hAnsi="Times New Roman" w:cs="Times New Roman"/>
          <w:b/>
          <w:bCs/>
          <w:sz w:val="24"/>
          <w:szCs w:val="24"/>
        </w:rPr>
      </w:pPr>
    </w:p>
    <w:p w14:paraId="21B8A415">
      <w:pPr>
        <w:pStyle w:val="12"/>
        <w:rPr>
          <w:rFonts w:ascii="Times New Roman" w:hAnsi="Times New Roman" w:cs="Times New Roman"/>
          <w:b/>
          <w:bCs/>
          <w:sz w:val="24"/>
          <w:szCs w:val="24"/>
        </w:rPr>
      </w:pPr>
    </w:p>
    <w:p w14:paraId="437B8468">
      <w:pPr>
        <w:pStyle w:val="12"/>
        <w:rPr>
          <w:rFonts w:ascii="Times New Roman" w:hAnsi="Times New Roman" w:cs="Times New Roman"/>
          <w:b/>
          <w:bCs/>
          <w:sz w:val="24"/>
          <w:szCs w:val="24"/>
        </w:rPr>
      </w:pPr>
      <w:r>
        <w:rPr>
          <w:rFonts w:ascii="Times New Roman" w:hAnsi="Times New Roman" w:cs="Times New Roman"/>
          <w:b/>
          <w:bCs/>
          <w:sz w:val="24"/>
          <w:szCs w:val="24"/>
        </w:rPr>
        <w:t>MEMBERS OF GROUP 4</w:t>
      </w:r>
    </w:p>
    <w:p w14:paraId="74936E42">
      <w:pPr>
        <w:pStyle w:val="12"/>
        <w:spacing w:line="360" w:lineRule="auto"/>
        <w:rPr>
          <w:rFonts w:ascii="Times New Roman" w:hAnsi="Times New Roman" w:cs="Times New Roman"/>
          <w:b/>
          <w:bCs/>
          <w:sz w:val="24"/>
          <w:szCs w:val="24"/>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1"/>
        <w:gridCol w:w="2999"/>
        <w:gridCol w:w="1603"/>
        <w:gridCol w:w="1403"/>
        <w:gridCol w:w="1697"/>
        <w:gridCol w:w="1057"/>
      </w:tblGrid>
      <w:tr w14:paraId="4EF7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591" w:type="dxa"/>
            <w:tcBorders>
              <w:top w:val="single" w:color="auto" w:sz="4" w:space="0"/>
              <w:left w:val="single" w:color="auto" w:sz="4" w:space="0"/>
              <w:bottom w:val="single" w:color="auto" w:sz="4" w:space="0"/>
              <w:right w:val="single" w:color="auto" w:sz="4" w:space="0"/>
            </w:tcBorders>
          </w:tcPr>
          <w:p w14:paraId="56F9CA11">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S/N</w:t>
            </w:r>
          </w:p>
        </w:tc>
        <w:tc>
          <w:tcPr>
            <w:tcW w:w="2999" w:type="dxa"/>
            <w:tcBorders>
              <w:top w:val="single" w:color="auto" w:sz="4" w:space="0"/>
              <w:left w:val="single" w:color="auto" w:sz="4" w:space="0"/>
              <w:bottom w:val="single" w:color="auto" w:sz="4" w:space="0"/>
              <w:right w:val="single" w:color="auto" w:sz="4" w:space="0"/>
            </w:tcBorders>
          </w:tcPr>
          <w:p w14:paraId="47C9E430">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NAME</w:t>
            </w:r>
          </w:p>
        </w:tc>
        <w:tc>
          <w:tcPr>
            <w:tcW w:w="1603" w:type="dxa"/>
            <w:tcBorders>
              <w:top w:val="single" w:color="auto" w:sz="4" w:space="0"/>
              <w:left w:val="single" w:color="auto" w:sz="4" w:space="0"/>
              <w:bottom w:val="single" w:color="auto" w:sz="4" w:space="0"/>
              <w:right w:val="single" w:color="auto" w:sz="4" w:space="0"/>
            </w:tcBorders>
          </w:tcPr>
          <w:p w14:paraId="2743E280">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REG NO</w:t>
            </w:r>
          </w:p>
        </w:tc>
        <w:tc>
          <w:tcPr>
            <w:tcW w:w="1403" w:type="dxa"/>
            <w:tcBorders>
              <w:top w:val="single" w:color="auto" w:sz="4" w:space="0"/>
              <w:left w:val="single" w:color="auto" w:sz="4" w:space="0"/>
              <w:bottom w:val="single" w:color="auto" w:sz="4" w:space="0"/>
              <w:right w:val="single" w:color="auto" w:sz="4" w:space="0"/>
            </w:tcBorders>
          </w:tcPr>
          <w:p w14:paraId="725512E7">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GENERAL MARK</w:t>
            </w:r>
          </w:p>
        </w:tc>
        <w:tc>
          <w:tcPr>
            <w:tcW w:w="1697" w:type="dxa"/>
            <w:tcBorders>
              <w:top w:val="single" w:color="auto" w:sz="4" w:space="0"/>
              <w:left w:val="single" w:color="auto" w:sz="4" w:space="0"/>
              <w:bottom w:val="single" w:color="auto" w:sz="4" w:space="0"/>
              <w:right w:val="single" w:color="auto" w:sz="4" w:space="0"/>
            </w:tcBorders>
          </w:tcPr>
          <w:p w14:paraId="44C30FEB">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MARKS FOR INDIVIDUAL QUESTIONS</w:t>
            </w:r>
          </w:p>
        </w:tc>
        <w:tc>
          <w:tcPr>
            <w:tcW w:w="1057" w:type="dxa"/>
            <w:tcBorders>
              <w:top w:val="single" w:color="auto" w:sz="4" w:space="0"/>
              <w:left w:val="single" w:color="auto" w:sz="4" w:space="0"/>
              <w:bottom w:val="single" w:color="auto" w:sz="4" w:space="0"/>
              <w:right w:val="single" w:color="auto" w:sz="4" w:space="0"/>
            </w:tcBorders>
          </w:tcPr>
          <w:p w14:paraId="0A4688B6">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TOTAL</w:t>
            </w:r>
          </w:p>
        </w:tc>
      </w:tr>
      <w:tr w14:paraId="1319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01990AB7">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w:t>
            </w:r>
          </w:p>
        </w:tc>
        <w:tc>
          <w:tcPr>
            <w:tcW w:w="2999" w:type="dxa"/>
            <w:tcBorders>
              <w:top w:val="single" w:color="auto" w:sz="4" w:space="0"/>
              <w:left w:val="single" w:color="auto" w:sz="4" w:space="0"/>
              <w:bottom w:val="single" w:color="auto" w:sz="4" w:space="0"/>
              <w:right w:val="single" w:color="auto" w:sz="4" w:space="0"/>
            </w:tcBorders>
          </w:tcPr>
          <w:p w14:paraId="673CCCD2">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IWUNDU INNOCENT</w:t>
            </w:r>
          </w:p>
        </w:tc>
        <w:tc>
          <w:tcPr>
            <w:tcW w:w="1603" w:type="dxa"/>
            <w:tcBorders>
              <w:top w:val="single" w:color="auto" w:sz="4" w:space="0"/>
              <w:left w:val="single" w:color="auto" w:sz="4" w:space="0"/>
              <w:bottom w:val="single" w:color="auto" w:sz="4" w:space="0"/>
              <w:right w:val="single" w:color="auto" w:sz="4" w:space="0"/>
            </w:tcBorders>
          </w:tcPr>
          <w:p w14:paraId="228A72ED">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BMS/IB/3172</w:t>
            </w:r>
          </w:p>
        </w:tc>
        <w:tc>
          <w:tcPr>
            <w:tcW w:w="1403" w:type="dxa"/>
            <w:tcBorders>
              <w:top w:val="single" w:color="auto" w:sz="4" w:space="0"/>
              <w:left w:val="single" w:color="auto" w:sz="4" w:space="0"/>
              <w:bottom w:val="single" w:color="auto" w:sz="4" w:space="0"/>
              <w:right w:val="single" w:color="auto" w:sz="4" w:space="0"/>
            </w:tcBorders>
          </w:tcPr>
          <w:p w14:paraId="3467BCD9">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0AC4A701">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3547807F">
            <w:pPr>
              <w:pStyle w:val="12"/>
              <w:spacing w:line="360" w:lineRule="auto"/>
              <w:rPr>
                <w:rFonts w:ascii="Times New Roman" w:hAnsi="Times New Roman" w:cs="Times New Roman"/>
                <w:b/>
                <w:bCs/>
                <w:sz w:val="24"/>
                <w:szCs w:val="24"/>
              </w:rPr>
            </w:pPr>
          </w:p>
        </w:tc>
      </w:tr>
      <w:tr w14:paraId="7ACDA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4B839706">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2</w:t>
            </w:r>
          </w:p>
        </w:tc>
        <w:tc>
          <w:tcPr>
            <w:tcW w:w="2999" w:type="dxa"/>
            <w:tcBorders>
              <w:top w:val="single" w:color="auto" w:sz="4" w:space="0"/>
              <w:left w:val="single" w:color="auto" w:sz="4" w:space="0"/>
              <w:bottom w:val="single" w:color="auto" w:sz="4" w:space="0"/>
              <w:right w:val="single" w:color="auto" w:sz="4" w:space="0"/>
            </w:tcBorders>
          </w:tcPr>
          <w:p w14:paraId="1245A00B">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IYIDA CAJETAN</w:t>
            </w:r>
          </w:p>
        </w:tc>
        <w:tc>
          <w:tcPr>
            <w:tcW w:w="1603" w:type="dxa"/>
            <w:tcBorders>
              <w:top w:val="single" w:color="auto" w:sz="4" w:space="0"/>
              <w:left w:val="single" w:color="auto" w:sz="4" w:space="0"/>
              <w:bottom w:val="single" w:color="auto" w:sz="4" w:space="0"/>
              <w:right w:val="single" w:color="auto" w:sz="4" w:space="0"/>
            </w:tcBorders>
          </w:tcPr>
          <w:p w14:paraId="141977D4">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BMS/IB/3173</w:t>
            </w:r>
          </w:p>
        </w:tc>
        <w:tc>
          <w:tcPr>
            <w:tcW w:w="1403" w:type="dxa"/>
            <w:tcBorders>
              <w:top w:val="single" w:color="auto" w:sz="4" w:space="0"/>
              <w:left w:val="single" w:color="auto" w:sz="4" w:space="0"/>
              <w:bottom w:val="single" w:color="auto" w:sz="4" w:space="0"/>
              <w:right w:val="single" w:color="auto" w:sz="4" w:space="0"/>
            </w:tcBorders>
          </w:tcPr>
          <w:p w14:paraId="3016AB7A">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70BD2848">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23BF3E81">
            <w:pPr>
              <w:pStyle w:val="12"/>
              <w:spacing w:line="360" w:lineRule="auto"/>
              <w:rPr>
                <w:rFonts w:ascii="Times New Roman" w:hAnsi="Times New Roman" w:cs="Times New Roman"/>
                <w:b/>
                <w:bCs/>
                <w:sz w:val="24"/>
                <w:szCs w:val="24"/>
              </w:rPr>
            </w:pPr>
          </w:p>
        </w:tc>
      </w:tr>
      <w:tr w14:paraId="0B992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3EA045D3">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3</w:t>
            </w:r>
          </w:p>
        </w:tc>
        <w:tc>
          <w:tcPr>
            <w:tcW w:w="2999" w:type="dxa"/>
            <w:tcBorders>
              <w:top w:val="single" w:color="auto" w:sz="4" w:space="0"/>
              <w:left w:val="single" w:color="auto" w:sz="4" w:space="0"/>
              <w:bottom w:val="single" w:color="auto" w:sz="4" w:space="0"/>
              <w:right w:val="single" w:color="auto" w:sz="4" w:space="0"/>
            </w:tcBorders>
          </w:tcPr>
          <w:p w14:paraId="25A38599">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JACOB SIXTUS</w:t>
            </w:r>
          </w:p>
        </w:tc>
        <w:tc>
          <w:tcPr>
            <w:tcW w:w="1603" w:type="dxa"/>
            <w:tcBorders>
              <w:top w:val="single" w:color="auto" w:sz="4" w:space="0"/>
              <w:left w:val="single" w:color="auto" w:sz="4" w:space="0"/>
              <w:bottom w:val="single" w:color="auto" w:sz="4" w:space="0"/>
              <w:right w:val="single" w:color="auto" w:sz="4" w:space="0"/>
            </w:tcBorders>
          </w:tcPr>
          <w:p w14:paraId="0D48FF2C">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BMS/IB/3174</w:t>
            </w:r>
          </w:p>
        </w:tc>
        <w:tc>
          <w:tcPr>
            <w:tcW w:w="1403" w:type="dxa"/>
            <w:tcBorders>
              <w:top w:val="single" w:color="auto" w:sz="4" w:space="0"/>
              <w:left w:val="single" w:color="auto" w:sz="4" w:space="0"/>
              <w:bottom w:val="single" w:color="auto" w:sz="4" w:space="0"/>
              <w:right w:val="single" w:color="auto" w:sz="4" w:space="0"/>
            </w:tcBorders>
          </w:tcPr>
          <w:p w14:paraId="4472047D">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65231084">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0D3D8161">
            <w:pPr>
              <w:pStyle w:val="12"/>
              <w:spacing w:line="360" w:lineRule="auto"/>
              <w:rPr>
                <w:rFonts w:ascii="Times New Roman" w:hAnsi="Times New Roman" w:cs="Times New Roman"/>
                <w:b/>
                <w:bCs/>
                <w:sz w:val="24"/>
                <w:szCs w:val="24"/>
              </w:rPr>
            </w:pPr>
          </w:p>
        </w:tc>
      </w:tr>
      <w:tr w14:paraId="09C3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0EC0CD86">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4</w:t>
            </w:r>
          </w:p>
        </w:tc>
        <w:tc>
          <w:tcPr>
            <w:tcW w:w="2999" w:type="dxa"/>
            <w:tcBorders>
              <w:top w:val="single" w:color="auto" w:sz="4" w:space="0"/>
              <w:left w:val="single" w:color="auto" w:sz="4" w:space="0"/>
              <w:bottom w:val="single" w:color="auto" w:sz="4" w:space="0"/>
              <w:right w:val="single" w:color="auto" w:sz="4" w:space="0"/>
            </w:tcBorders>
          </w:tcPr>
          <w:p w14:paraId="159936BE">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MAMAH PIUS</w:t>
            </w:r>
          </w:p>
        </w:tc>
        <w:tc>
          <w:tcPr>
            <w:tcW w:w="1603" w:type="dxa"/>
            <w:tcBorders>
              <w:top w:val="single" w:color="auto" w:sz="4" w:space="0"/>
              <w:left w:val="single" w:color="auto" w:sz="4" w:space="0"/>
              <w:bottom w:val="single" w:color="auto" w:sz="4" w:space="0"/>
              <w:right w:val="single" w:color="auto" w:sz="4" w:space="0"/>
            </w:tcBorders>
          </w:tcPr>
          <w:p w14:paraId="31D5DF2E">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BMS/IB/3176</w:t>
            </w:r>
          </w:p>
        </w:tc>
        <w:tc>
          <w:tcPr>
            <w:tcW w:w="1403" w:type="dxa"/>
            <w:tcBorders>
              <w:top w:val="single" w:color="auto" w:sz="4" w:space="0"/>
              <w:left w:val="single" w:color="auto" w:sz="4" w:space="0"/>
              <w:bottom w:val="single" w:color="auto" w:sz="4" w:space="0"/>
              <w:right w:val="single" w:color="auto" w:sz="4" w:space="0"/>
            </w:tcBorders>
          </w:tcPr>
          <w:p w14:paraId="74DFBE7A">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469B3532">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4B54A823">
            <w:pPr>
              <w:pStyle w:val="12"/>
              <w:spacing w:line="360" w:lineRule="auto"/>
              <w:rPr>
                <w:rFonts w:ascii="Times New Roman" w:hAnsi="Times New Roman" w:cs="Times New Roman"/>
                <w:b/>
                <w:bCs/>
                <w:sz w:val="24"/>
                <w:szCs w:val="24"/>
              </w:rPr>
            </w:pPr>
          </w:p>
        </w:tc>
      </w:tr>
      <w:tr w14:paraId="38FE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2084F993">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5</w:t>
            </w:r>
          </w:p>
        </w:tc>
        <w:tc>
          <w:tcPr>
            <w:tcW w:w="2999" w:type="dxa"/>
            <w:tcBorders>
              <w:top w:val="single" w:color="auto" w:sz="4" w:space="0"/>
              <w:left w:val="single" w:color="auto" w:sz="4" w:space="0"/>
              <w:bottom w:val="single" w:color="auto" w:sz="4" w:space="0"/>
              <w:right w:val="single" w:color="auto" w:sz="4" w:space="0"/>
            </w:tcBorders>
          </w:tcPr>
          <w:p w14:paraId="28674995">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MAMAH DANIEL</w:t>
            </w:r>
          </w:p>
        </w:tc>
        <w:tc>
          <w:tcPr>
            <w:tcW w:w="1603" w:type="dxa"/>
            <w:tcBorders>
              <w:top w:val="single" w:color="auto" w:sz="4" w:space="0"/>
              <w:left w:val="single" w:color="auto" w:sz="4" w:space="0"/>
              <w:bottom w:val="single" w:color="auto" w:sz="4" w:space="0"/>
              <w:right w:val="single" w:color="auto" w:sz="4" w:space="0"/>
            </w:tcBorders>
          </w:tcPr>
          <w:p w14:paraId="1D7E900E">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BMS/IB/3177</w:t>
            </w:r>
          </w:p>
        </w:tc>
        <w:tc>
          <w:tcPr>
            <w:tcW w:w="1403" w:type="dxa"/>
            <w:tcBorders>
              <w:top w:val="single" w:color="auto" w:sz="4" w:space="0"/>
              <w:left w:val="single" w:color="auto" w:sz="4" w:space="0"/>
              <w:bottom w:val="single" w:color="auto" w:sz="4" w:space="0"/>
              <w:right w:val="single" w:color="auto" w:sz="4" w:space="0"/>
            </w:tcBorders>
          </w:tcPr>
          <w:p w14:paraId="1B692209">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2B4B688C">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06F67BF5">
            <w:pPr>
              <w:pStyle w:val="12"/>
              <w:spacing w:line="360" w:lineRule="auto"/>
              <w:rPr>
                <w:rFonts w:ascii="Times New Roman" w:hAnsi="Times New Roman" w:cs="Times New Roman"/>
                <w:b/>
                <w:bCs/>
                <w:sz w:val="24"/>
                <w:szCs w:val="24"/>
              </w:rPr>
            </w:pPr>
          </w:p>
        </w:tc>
      </w:tr>
      <w:tr w14:paraId="6247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097FFA33">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6</w:t>
            </w:r>
          </w:p>
        </w:tc>
        <w:tc>
          <w:tcPr>
            <w:tcW w:w="2999" w:type="dxa"/>
            <w:tcBorders>
              <w:top w:val="single" w:color="auto" w:sz="4" w:space="0"/>
              <w:left w:val="single" w:color="auto" w:sz="4" w:space="0"/>
              <w:bottom w:val="single" w:color="auto" w:sz="4" w:space="0"/>
              <w:right w:val="single" w:color="auto" w:sz="4" w:space="0"/>
            </w:tcBorders>
          </w:tcPr>
          <w:p w14:paraId="0DAE3A7E">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MBA JOACHIM</w:t>
            </w:r>
          </w:p>
        </w:tc>
        <w:tc>
          <w:tcPr>
            <w:tcW w:w="1603" w:type="dxa"/>
            <w:tcBorders>
              <w:top w:val="single" w:color="auto" w:sz="4" w:space="0"/>
              <w:left w:val="single" w:color="auto" w:sz="4" w:space="0"/>
              <w:bottom w:val="single" w:color="auto" w:sz="4" w:space="0"/>
              <w:right w:val="single" w:color="auto" w:sz="4" w:space="0"/>
            </w:tcBorders>
          </w:tcPr>
          <w:p w14:paraId="70069D95">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BMS/IB/3178</w:t>
            </w:r>
          </w:p>
        </w:tc>
        <w:tc>
          <w:tcPr>
            <w:tcW w:w="1403" w:type="dxa"/>
            <w:tcBorders>
              <w:top w:val="single" w:color="auto" w:sz="4" w:space="0"/>
              <w:left w:val="single" w:color="auto" w:sz="4" w:space="0"/>
              <w:bottom w:val="single" w:color="auto" w:sz="4" w:space="0"/>
              <w:right w:val="single" w:color="auto" w:sz="4" w:space="0"/>
            </w:tcBorders>
          </w:tcPr>
          <w:p w14:paraId="48D8449B">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2BCCC24E">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6946F590">
            <w:pPr>
              <w:pStyle w:val="12"/>
              <w:spacing w:line="360" w:lineRule="auto"/>
              <w:rPr>
                <w:rFonts w:ascii="Times New Roman" w:hAnsi="Times New Roman" w:cs="Times New Roman"/>
                <w:b/>
                <w:bCs/>
                <w:sz w:val="24"/>
                <w:szCs w:val="24"/>
              </w:rPr>
            </w:pPr>
          </w:p>
        </w:tc>
      </w:tr>
      <w:tr w14:paraId="6DBD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6B9C6486">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7</w:t>
            </w:r>
          </w:p>
        </w:tc>
        <w:tc>
          <w:tcPr>
            <w:tcW w:w="2999" w:type="dxa"/>
            <w:tcBorders>
              <w:top w:val="single" w:color="auto" w:sz="4" w:space="0"/>
              <w:left w:val="single" w:color="auto" w:sz="4" w:space="0"/>
              <w:bottom w:val="single" w:color="auto" w:sz="4" w:space="0"/>
              <w:right w:val="single" w:color="auto" w:sz="4" w:space="0"/>
            </w:tcBorders>
          </w:tcPr>
          <w:p w14:paraId="69C960F0">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NDIBE TITUS</w:t>
            </w:r>
          </w:p>
        </w:tc>
        <w:tc>
          <w:tcPr>
            <w:tcW w:w="1603" w:type="dxa"/>
            <w:tcBorders>
              <w:top w:val="single" w:color="auto" w:sz="4" w:space="0"/>
              <w:left w:val="single" w:color="auto" w:sz="4" w:space="0"/>
              <w:bottom w:val="single" w:color="auto" w:sz="4" w:space="0"/>
              <w:right w:val="single" w:color="auto" w:sz="4" w:space="0"/>
            </w:tcBorders>
          </w:tcPr>
          <w:p w14:paraId="6D98C58E">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BMS/IB/3179</w:t>
            </w:r>
          </w:p>
        </w:tc>
        <w:tc>
          <w:tcPr>
            <w:tcW w:w="1403" w:type="dxa"/>
            <w:tcBorders>
              <w:top w:val="single" w:color="auto" w:sz="4" w:space="0"/>
              <w:left w:val="single" w:color="auto" w:sz="4" w:space="0"/>
              <w:bottom w:val="single" w:color="auto" w:sz="4" w:space="0"/>
              <w:right w:val="single" w:color="auto" w:sz="4" w:space="0"/>
            </w:tcBorders>
          </w:tcPr>
          <w:p w14:paraId="18DFC7C8">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5C000C69">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08E9004C">
            <w:pPr>
              <w:pStyle w:val="12"/>
              <w:spacing w:line="360" w:lineRule="auto"/>
              <w:rPr>
                <w:rFonts w:ascii="Times New Roman" w:hAnsi="Times New Roman" w:cs="Times New Roman"/>
                <w:b/>
                <w:bCs/>
                <w:sz w:val="24"/>
                <w:szCs w:val="24"/>
              </w:rPr>
            </w:pPr>
          </w:p>
        </w:tc>
      </w:tr>
      <w:tr w14:paraId="54E9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0CEE98DA">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8</w:t>
            </w:r>
          </w:p>
        </w:tc>
        <w:tc>
          <w:tcPr>
            <w:tcW w:w="2999" w:type="dxa"/>
            <w:tcBorders>
              <w:top w:val="single" w:color="auto" w:sz="4" w:space="0"/>
              <w:left w:val="single" w:color="auto" w:sz="4" w:space="0"/>
              <w:bottom w:val="single" w:color="auto" w:sz="4" w:space="0"/>
              <w:right w:val="single" w:color="auto" w:sz="4" w:space="0"/>
            </w:tcBorders>
          </w:tcPr>
          <w:p w14:paraId="386AAC40">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NGWU MAXWELL</w:t>
            </w:r>
          </w:p>
        </w:tc>
        <w:tc>
          <w:tcPr>
            <w:tcW w:w="1603" w:type="dxa"/>
            <w:tcBorders>
              <w:top w:val="single" w:color="auto" w:sz="4" w:space="0"/>
              <w:left w:val="single" w:color="auto" w:sz="4" w:space="0"/>
              <w:bottom w:val="single" w:color="auto" w:sz="4" w:space="0"/>
              <w:right w:val="single" w:color="auto" w:sz="4" w:space="0"/>
            </w:tcBorders>
          </w:tcPr>
          <w:p w14:paraId="6F5EF0E8">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BMS/IB/3181</w:t>
            </w:r>
          </w:p>
        </w:tc>
        <w:tc>
          <w:tcPr>
            <w:tcW w:w="1403" w:type="dxa"/>
            <w:tcBorders>
              <w:top w:val="single" w:color="auto" w:sz="4" w:space="0"/>
              <w:left w:val="single" w:color="auto" w:sz="4" w:space="0"/>
              <w:bottom w:val="single" w:color="auto" w:sz="4" w:space="0"/>
              <w:right w:val="single" w:color="auto" w:sz="4" w:space="0"/>
            </w:tcBorders>
          </w:tcPr>
          <w:p w14:paraId="284CF66F">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2B96C76F">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526DAF43">
            <w:pPr>
              <w:pStyle w:val="12"/>
              <w:spacing w:line="360" w:lineRule="auto"/>
              <w:rPr>
                <w:rFonts w:ascii="Times New Roman" w:hAnsi="Times New Roman" w:cs="Times New Roman"/>
                <w:b/>
                <w:bCs/>
                <w:sz w:val="24"/>
                <w:szCs w:val="24"/>
              </w:rPr>
            </w:pPr>
          </w:p>
        </w:tc>
      </w:tr>
      <w:tr w14:paraId="5CF8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1AA7FBBB">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9</w:t>
            </w:r>
          </w:p>
        </w:tc>
        <w:tc>
          <w:tcPr>
            <w:tcW w:w="2999" w:type="dxa"/>
            <w:tcBorders>
              <w:top w:val="single" w:color="auto" w:sz="4" w:space="0"/>
              <w:left w:val="single" w:color="auto" w:sz="4" w:space="0"/>
              <w:bottom w:val="single" w:color="auto" w:sz="4" w:space="0"/>
              <w:right w:val="single" w:color="auto" w:sz="4" w:space="0"/>
            </w:tcBorders>
          </w:tcPr>
          <w:p w14:paraId="3970FEBD">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NNABUIFE BENJAMIN</w:t>
            </w:r>
          </w:p>
        </w:tc>
        <w:tc>
          <w:tcPr>
            <w:tcW w:w="1603" w:type="dxa"/>
            <w:tcBorders>
              <w:top w:val="single" w:color="auto" w:sz="4" w:space="0"/>
              <w:left w:val="single" w:color="auto" w:sz="4" w:space="0"/>
              <w:bottom w:val="single" w:color="auto" w:sz="4" w:space="0"/>
              <w:right w:val="single" w:color="auto" w:sz="4" w:space="0"/>
            </w:tcBorders>
          </w:tcPr>
          <w:p w14:paraId="3EE96F47">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BMS/IB/3182</w:t>
            </w:r>
          </w:p>
        </w:tc>
        <w:tc>
          <w:tcPr>
            <w:tcW w:w="1403" w:type="dxa"/>
            <w:tcBorders>
              <w:top w:val="single" w:color="auto" w:sz="4" w:space="0"/>
              <w:left w:val="single" w:color="auto" w:sz="4" w:space="0"/>
              <w:bottom w:val="single" w:color="auto" w:sz="4" w:space="0"/>
              <w:right w:val="single" w:color="auto" w:sz="4" w:space="0"/>
            </w:tcBorders>
          </w:tcPr>
          <w:p w14:paraId="1C5ECFBC">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7C542A12">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43DEFF62">
            <w:pPr>
              <w:pStyle w:val="12"/>
              <w:spacing w:line="360" w:lineRule="auto"/>
              <w:rPr>
                <w:rFonts w:ascii="Times New Roman" w:hAnsi="Times New Roman" w:cs="Times New Roman"/>
                <w:b/>
                <w:bCs/>
                <w:sz w:val="24"/>
                <w:szCs w:val="24"/>
              </w:rPr>
            </w:pPr>
          </w:p>
        </w:tc>
      </w:tr>
      <w:tr w14:paraId="2268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35669866">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10</w:t>
            </w:r>
          </w:p>
        </w:tc>
        <w:tc>
          <w:tcPr>
            <w:tcW w:w="2999" w:type="dxa"/>
            <w:tcBorders>
              <w:top w:val="single" w:color="auto" w:sz="4" w:space="0"/>
              <w:left w:val="single" w:color="auto" w:sz="4" w:space="0"/>
              <w:bottom w:val="single" w:color="auto" w:sz="4" w:space="0"/>
              <w:right w:val="single" w:color="auto" w:sz="4" w:space="0"/>
            </w:tcBorders>
          </w:tcPr>
          <w:p w14:paraId="3BF159FF">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NNAGBOH CHARLES</w:t>
            </w:r>
          </w:p>
        </w:tc>
        <w:tc>
          <w:tcPr>
            <w:tcW w:w="1603" w:type="dxa"/>
            <w:tcBorders>
              <w:top w:val="single" w:color="auto" w:sz="4" w:space="0"/>
              <w:left w:val="single" w:color="auto" w:sz="4" w:space="0"/>
              <w:bottom w:val="single" w:color="auto" w:sz="4" w:space="0"/>
              <w:right w:val="single" w:color="auto" w:sz="4" w:space="0"/>
            </w:tcBorders>
          </w:tcPr>
          <w:p w14:paraId="3516566B">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BMS/IB/3183</w:t>
            </w:r>
          </w:p>
        </w:tc>
        <w:tc>
          <w:tcPr>
            <w:tcW w:w="1403" w:type="dxa"/>
            <w:tcBorders>
              <w:top w:val="single" w:color="auto" w:sz="4" w:space="0"/>
              <w:left w:val="single" w:color="auto" w:sz="4" w:space="0"/>
              <w:bottom w:val="single" w:color="auto" w:sz="4" w:space="0"/>
              <w:right w:val="single" w:color="auto" w:sz="4" w:space="0"/>
            </w:tcBorders>
          </w:tcPr>
          <w:p w14:paraId="34FE04FD">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101227A5">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23878E3B">
            <w:pPr>
              <w:pStyle w:val="12"/>
              <w:spacing w:line="360" w:lineRule="auto"/>
              <w:rPr>
                <w:rFonts w:ascii="Times New Roman" w:hAnsi="Times New Roman" w:cs="Times New Roman"/>
                <w:b/>
                <w:bCs/>
                <w:sz w:val="24"/>
                <w:szCs w:val="24"/>
              </w:rPr>
            </w:pPr>
          </w:p>
        </w:tc>
      </w:tr>
      <w:tr w14:paraId="0C51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103EF6C2">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11</w:t>
            </w:r>
          </w:p>
        </w:tc>
        <w:tc>
          <w:tcPr>
            <w:tcW w:w="2999" w:type="dxa"/>
            <w:tcBorders>
              <w:top w:val="single" w:color="auto" w:sz="4" w:space="0"/>
              <w:left w:val="single" w:color="auto" w:sz="4" w:space="0"/>
              <w:bottom w:val="single" w:color="auto" w:sz="4" w:space="0"/>
              <w:right w:val="single" w:color="auto" w:sz="4" w:space="0"/>
            </w:tcBorders>
          </w:tcPr>
          <w:p w14:paraId="5A8D321D">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NNAMENE JUSTIN</w:t>
            </w:r>
          </w:p>
        </w:tc>
        <w:tc>
          <w:tcPr>
            <w:tcW w:w="1603" w:type="dxa"/>
            <w:tcBorders>
              <w:top w:val="single" w:color="auto" w:sz="4" w:space="0"/>
              <w:left w:val="single" w:color="auto" w:sz="4" w:space="0"/>
              <w:bottom w:val="single" w:color="auto" w:sz="4" w:space="0"/>
              <w:right w:val="single" w:color="auto" w:sz="4" w:space="0"/>
            </w:tcBorders>
          </w:tcPr>
          <w:p w14:paraId="75C860DE">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BMS/IB/3184</w:t>
            </w:r>
          </w:p>
        </w:tc>
        <w:tc>
          <w:tcPr>
            <w:tcW w:w="1403" w:type="dxa"/>
            <w:tcBorders>
              <w:top w:val="single" w:color="auto" w:sz="4" w:space="0"/>
              <w:left w:val="single" w:color="auto" w:sz="4" w:space="0"/>
              <w:bottom w:val="single" w:color="auto" w:sz="4" w:space="0"/>
              <w:right w:val="single" w:color="auto" w:sz="4" w:space="0"/>
            </w:tcBorders>
          </w:tcPr>
          <w:p w14:paraId="233918CA">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6078C5D6">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144A9563">
            <w:pPr>
              <w:pStyle w:val="12"/>
              <w:spacing w:line="360" w:lineRule="auto"/>
              <w:rPr>
                <w:rFonts w:ascii="Times New Roman" w:hAnsi="Times New Roman" w:cs="Times New Roman"/>
                <w:b/>
                <w:bCs/>
                <w:sz w:val="24"/>
                <w:szCs w:val="24"/>
              </w:rPr>
            </w:pPr>
          </w:p>
        </w:tc>
      </w:tr>
      <w:tr w14:paraId="64EAF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338048AC">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12</w:t>
            </w:r>
          </w:p>
        </w:tc>
        <w:tc>
          <w:tcPr>
            <w:tcW w:w="2999" w:type="dxa"/>
            <w:tcBorders>
              <w:top w:val="single" w:color="auto" w:sz="4" w:space="0"/>
              <w:left w:val="single" w:color="auto" w:sz="4" w:space="0"/>
              <w:bottom w:val="single" w:color="auto" w:sz="4" w:space="0"/>
              <w:right w:val="single" w:color="auto" w:sz="4" w:space="0"/>
            </w:tcBorders>
          </w:tcPr>
          <w:p w14:paraId="5B70C5A0">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NWAGU PAUL</w:t>
            </w:r>
          </w:p>
        </w:tc>
        <w:tc>
          <w:tcPr>
            <w:tcW w:w="1603" w:type="dxa"/>
            <w:tcBorders>
              <w:top w:val="single" w:color="auto" w:sz="4" w:space="0"/>
              <w:left w:val="single" w:color="auto" w:sz="4" w:space="0"/>
              <w:bottom w:val="single" w:color="auto" w:sz="4" w:space="0"/>
              <w:right w:val="single" w:color="auto" w:sz="4" w:space="0"/>
            </w:tcBorders>
          </w:tcPr>
          <w:p w14:paraId="105A6E7C">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BMS/IB/3185</w:t>
            </w:r>
          </w:p>
        </w:tc>
        <w:tc>
          <w:tcPr>
            <w:tcW w:w="1403" w:type="dxa"/>
            <w:tcBorders>
              <w:top w:val="single" w:color="auto" w:sz="4" w:space="0"/>
              <w:left w:val="single" w:color="auto" w:sz="4" w:space="0"/>
              <w:bottom w:val="single" w:color="auto" w:sz="4" w:space="0"/>
              <w:right w:val="single" w:color="auto" w:sz="4" w:space="0"/>
            </w:tcBorders>
          </w:tcPr>
          <w:p w14:paraId="784D38FA">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458FB5EC">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3542F62D">
            <w:pPr>
              <w:pStyle w:val="12"/>
              <w:spacing w:line="360" w:lineRule="auto"/>
              <w:rPr>
                <w:rFonts w:ascii="Times New Roman" w:hAnsi="Times New Roman" w:cs="Times New Roman"/>
                <w:b/>
                <w:bCs/>
                <w:sz w:val="24"/>
                <w:szCs w:val="24"/>
              </w:rPr>
            </w:pPr>
          </w:p>
        </w:tc>
      </w:tr>
      <w:tr w14:paraId="1B63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24CE02CB">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13</w:t>
            </w:r>
          </w:p>
        </w:tc>
        <w:tc>
          <w:tcPr>
            <w:tcW w:w="2999" w:type="dxa"/>
            <w:tcBorders>
              <w:top w:val="single" w:color="auto" w:sz="4" w:space="0"/>
              <w:left w:val="single" w:color="auto" w:sz="4" w:space="0"/>
              <w:bottom w:val="single" w:color="auto" w:sz="4" w:space="0"/>
              <w:right w:val="single" w:color="auto" w:sz="4" w:space="0"/>
            </w:tcBorders>
          </w:tcPr>
          <w:p w14:paraId="0E4DE7FC">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NWANKWO EMMANUEL</w:t>
            </w:r>
          </w:p>
        </w:tc>
        <w:tc>
          <w:tcPr>
            <w:tcW w:w="1603" w:type="dxa"/>
            <w:tcBorders>
              <w:top w:val="single" w:color="auto" w:sz="4" w:space="0"/>
              <w:left w:val="single" w:color="auto" w:sz="4" w:space="0"/>
              <w:bottom w:val="single" w:color="auto" w:sz="4" w:space="0"/>
              <w:right w:val="single" w:color="auto" w:sz="4" w:space="0"/>
            </w:tcBorders>
          </w:tcPr>
          <w:p w14:paraId="5DC977E6">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BMS/IB/3186</w:t>
            </w:r>
          </w:p>
        </w:tc>
        <w:tc>
          <w:tcPr>
            <w:tcW w:w="1403" w:type="dxa"/>
            <w:tcBorders>
              <w:top w:val="single" w:color="auto" w:sz="4" w:space="0"/>
              <w:left w:val="single" w:color="auto" w:sz="4" w:space="0"/>
              <w:bottom w:val="single" w:color="auto" w:sz="4" w:space="0"/>
              <w:right w:val="single" w:color="auto" w:sz="4" w:space="0"/>
            </w:tcBorders>
          </w:tcPr>
          <w:p w14:paraId="1509AC17">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2F1BB9A9">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55AE50ED">
            <w:pPr>
              <w:pStyle w:val="12"/>
              <w:spacing w:line="360" w:lineRule="auto"/>
              <w:rPr>
                <w:rFonts w:ascii="Times New Roman" w:hAnsi="Times New Roman" w:cs="Times New Roman"/>
                <w:b/>
                <w:bCs/>
                <w:sz w:val="24"/>
                <w:szCs w:val="24"/>
              </w:rPr>
            </w:pPr>
          </w:p>
        </w:tc>
      </w:tr>
      <w:tr w14:paraId="62A7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4F806D3D">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14</w:t>
            </w:r>
          </w:p>
        </w:tc>
        <w:tc>
          <w:tcPr>
            <w:tcW w:w="2999" w:type="dxa"/>
            <w:tcBorders>
              <w:top w:val="single" w:color="auto" w:sz="4" w:space="0"/>
              <w:left w:val="single" w:color="auto" w:sz="4" w:space="0"/>
              <w:bottom w:val="single" w:color="auto" w:sz="4" w:space="0"/>
              <w:right w:val="single" w:color="auto" w:sz="4" w:space="0"/>
            </w:tcBorders>
          </w:tcPr>
          <w:p w14:paraId="0CEBA7F0">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NWODO FRANCIS</w:t>
            </w:r>
          </w:p>
        </w:tc>
        <w:tc>
          <w:tcPr>
            <w:tcW w:w="1603" w:type="dxa"/>
            <w:tcBorders>
              <w:top w:val="single" w:color="auto" w:sz="4" w:space="0"/>
              <w:left w:val="single" w:color="auto" w:sz="4" w:space="0"/>
              <w:bottom w:val="single" w:color="auto" w:sz="4" w:space="0"/>
              <w:right w:val="single" w:color="auto" w:sz="4" w:space="0"/>
            </w:tcBorders>
          </w:tcPr>
          <w:p w14:paraId="47964F72">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BMS/IB/3188</w:t>
            </w:r>
          </w:p>
        </w:tc>
        <w:tc>
          <w:tcPr>
            <w:tcW w:w="1403" w:type="dxa"/>
            <w:tcBorders>
              <w:top w:val="single" w:color="auto" w:sz="4" w:space="0"/>
              <w:left w:val="single" w:color="auto" w:sz="4" w:space="0"/>
              <w:bottom w:val="single" w:color="auto" w:sz="4" w:space="0"/>
              <w:right w:val="single" w:color="auto" w:sz="4" w:space="0"/>
            </w:tcBorders>
          </w:tcPr>
          <w:p w14:paraId="6C729729">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031DFC6E">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3069B73E">
            <w:pPr>
              <w:pStyle w:val="12"/>
              <w:spacing w:line="360" w:lineRule="auto"/>
              <w:rPr>
                <w:rFonts w:ascii="Times New Roman" w:hAnsi="Times New Roman" w:cs="Times New Roman"/>
                <w:b/>
                <w:bCs/>
                <w:sz w:val="24"/>
                <w:szCs w:val="24"/>
              </w:rPr>
            </w:pPr>
          </w:p>
        </w:tc>
      </w:tr>
      <w:tr w14:paraId="16305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516354F0">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15</w:t>
            </w:r>
          </w:p>
        </w:tc>
        <w:tc>
          <w:tcPr>
            <w:tcW w:w="2999" w:type="dxa"/>
            <w:tcBorders>
              <w:top w:val="single" w:color="auto" w:sz="4" w:space="0"/>
              <w:left w:val="single" w:color="auto" w:sz="4" w:space="0"/>
              <w:bottom w:val="single" w:color="auto" w:sz="4" w:space="0"/>
              <w:right w:val="single" w:color="auto" w:sz="4" w:space="0"/>
            </w:tcBorders>
          </w:tcPr>
          <w:p w14:paraId="6ABE51BA">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NWONU PASCHAL</w:t>
            </w:r>
          </w:p>
        </w:tc>
        <w:tc>
          <w:tcPr>
            <w:tcW w:w="1603" w:type="dxa"/>
            <w:tcBorders>
              <w:top w:val="single" w:color="auto" w:sz="4" w:space="0"/>
              <w:left w:val="single" w:color="auto" w:sz="4" w:space="0"/>
              <w:bottom w:val="single" w:color="auto" w:sz="4" w:space="0"/>
              <w:right w:val="single" w:color="auto" w:sz="4" w:space="0"/>
            </w:tcBorders>
          </w:tcPr>
          <w:p w14:paraId="225244E8">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BMS/IB/3189</w:t>
            </w:r>
          </w:p>
        </w:tc>
        <w:tc>
          <w:tcPr>
            <w:tcW w:w="1403" w:type="dxa"/>
            <w:tcBorders>
              <w:top w:val="single" w:color="auto" w:sz="4" w:space="0"/>
              <w:left w:val="single" w:color="auto" w:sz="4" w:space="0"/>
              <w:bottom w:val="single" w:color="auto" w:sz="4" w:space="0"/>
              <w:right w:val="single" w:color="auto" w:sz="4" w:space="0"/>
            </w:tcBorders>
          </w:tcPr>
          <w:p w14:paraId="492A472E">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75F993D0">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02A8862E">
            <w:pPr>
              <w:pStyle w:val="12"/>
              <w:spacing w:line="360" w:lineRule="auto"/>
              <w:rPr>
                <w:rFonts w:ascii="Times New Roman" w:hAnsi="Times New Roman" w:cs="Times New Roman"/>
                <w:b/>
                <w:bCs/>
                <w:sz w:val="24"/>
                <w:szCs w:val="24"/>
              </w:rPr>
            </w:pPr>
          </w:p>
        </w:tc>
      </w:tr>
      <w:tr w14:paraId="7B0C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719E13DB">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16</w:t>
            </w:r>
          </w:p>
        </w:tc>
        <w:tc>
          <w:tcPr>
            <w:tcW w:w="2999" w:type="dxa"/>
            <w:tcBorders>
              <w:top w:val="single" w:color="auto" w:sz="4" w:space="0"/>
              <w:left w:val="single" w:color="auto" w:sz="4" w:space="0"/>
              <w:bottom w:val="single" w:color="auto" w:sz="4" w:space="0"/>
              <w:right w:val="single" w:color="auto" w:sz="4" w:space="0"/>
            </w:tcBorders>
          </w:tcPr>
          <w:p w14:paraId="586CA31B">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NWOYE EMMANUEL</w:t>
            </w:r>
          </w:p>
        </w:tc>
        <w:tc>
          <w:tcPr>
            <w:tcW w:w="1603" w:type="dxa"/>
            <w:tcBorders>
              <w:top w:val="single" w:color="auto" w:sz="4" w:space="0"/>
              <w:left w:val="single" w:color="auto" w:sz="4" w:space="0"/>
              <w:bottom w:val="single" w:color="auto" w:sz="4" w:space="0"/>
              <w:right w:val="single" w:color="auto" w:sz="4" w:space="0"/>
            </w:tcBorders>
          </w:tcPr>
          <w:p w14:paraId="5ABA2809">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BMS/IB/3190</w:t>
            </w:r>
          </w:p>
        </w:tc>
        <w:tc>
          <w:tcPr>
            <w:tcW w:w="1403" w:type="dxa"/>
            <w:tcBorders>
              <w:top w:val="single" w:color="auto" w:sz="4" w:space="0"/>
              <w:left w:val="single" w:color="auto" w:sz="4" w:space="0"/>
              <w:bottom w:val="single" w:color="auto" w:sz="4" w:space="0"/>
              <w:right w:val="single" w:color="auto" w:sz="4" w:space="0"/>
            </w:tcBorders>
          </w:tcPr>
          <w:p w14:paraId="329ECA52">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10C47898">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5C5319A9">
            <w:pPr>
              <w:pStyle w:val="12"/>
              <w:spacing w:line="360" w:lineRule="auto"/>
              <w:rPr>
                <w:rFonts w:ascii="Times New Roman" w:hAnsi="Times New Roman" w:cs="Times New Roman"/>
                <w:b/>
                <w:bCs/>
                <w:sz w:val="24"/>
                <w:szCs w:val="24"/>
              </w:rPr>
            </w:pPr>
          </w:p>
        </w:tc>
      </w:tr>
      <w:tr w14:paraId="34BA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4A926166">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17</w:t>
            </w:r>
          </w:p>
        </w:tc>
        <w:tc>
          <w:tcPr>
            <w:tcW w:w="2999" w:type="dxa"/>
            <w:tcBorders>
              <w:top w:val="single" w:color="auto" w:sz="4" w:space="0"/>
              <w:left w:val="single" w:color="auto" w:sz="4" w:space="0"/>
              <w:bottom w:val="single" w:color="auto" w:sz="4" w:space="0"/>
              <w:right w:val="single" w:color="auto" w:sz="4" w:space="0"/>
            </w:tcBorders>
          </w:tcPr>
          <w:p w14:paraId="6CAF6822">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OBASI ANTHONY</w:t>
            </w:r>
          </w:p>
        </w:tc>
        <w:tc>
          <w:tcPr>
            <w:tcW w:w="1603" w:type="dxa"/>
            <w:tcBorders>
              <w:top w:val="single" w:color="auto" w:sz="4" w:space="0"/>
              <w:left w:val="single" w:color="auto" w:sz="4" w:space="0"/>
              <w:bottom w:val="single" w:color="auto" w:sz="4" w:space="0"/>
              <w:right w:val="single" w:color="auto" w:sz="4" w:space="0"/>
            </w:tcBorders>
          </w:tcPr>
          <w:p w14:paraId="203AD7A4">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BMS/IB/3191</w:t>
            </w:r>
          </w:p>
        </w:tc>
        <w:tc>
          <w:tcPr>
            <w:tcW w:w="1403" w:type="dxa"/>
            <w:tcBorders>
              <w:top w:val="single" w:color="auto" w:sz="4" w:space="0"/>
              <w:left w:val="single" w:color="auto" w:sz="4" w:space="0"/>
              <w:bottom w:val="single" w:color="auto" w:sz="4" w:space="0"/>
              <w:right w:val="single" w:color="auto" w:sz="4" w:space="0"/>
            </w:tcBorders>
          </w:tcPr>
          <w:p w14:paraId="0C6F68A7">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290E7961">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2B53463F">
            <w:pPr>
              <w:pStyle w:val="12"/>
              <w:spacing w:line="360" w:lineRule="auto"/>
              <w:rPr>
                <w:rFonts w:ascii="Times New Roman" w:hAnsi="Times New Roman" w:cs="Times New Roman"/>
                <w:b/>
                <w:bCs/>
                <w:sz w:val="24"/>
                <w:szCs w:val="24"/>
              </w:rPr>
            </w:pPr>
          </w:p>
        </w:tc>
      </w:tr>
      <w:tr w14:paraId="35E2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7FCFAEBA">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18</w:t>
            </w:r>
          </w:p>
        </w:tc>
        <w:tc>
          <w:tcPr>
            <w:tcW w:w="2999" w:type="dxa"/>
            <w:tcBorders>
              <w:top w:val="single" w:color="auto" w:sz="4" w:space="0"/>
              <w:left w:val="single" w:color="auto" w:sz="4" w:space="0"/>
              <w:bottom w:val="single" w:color="auto" w:sz="4" w:space="0"/>
              <w:right w:val="single" w:color="auto" w:sz="4" w:space="0"/>
            </w:tcBorders>
          </w:tcPr>
          <w:p w14:paraId="5D6F05A9">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OBAYI VITALIS</w:t>
            </w:r>
          </w:p>
        </w:tc>
        <w:tc>
          <w:tcPr>
            <w:tcW w:w="1603" w:type="dxa"/>
            <w:tcBorders>
              <w:top w:val="single" w:color="auto" w:sz="4" w:space="0"/>
              <w:left w:val="single" w:color="auto" w:sz="4" w:space="0"/>
              <w:bottom w:val="single" w:color="auto" w:sz="4" w:space="0"/>
              <w:right w:val="single" w:color="auto" w:sz="4" w:space="0"/>
            </w:tcBorders>
          </w:tcPr>
          <w:p w14:paraId="07391A69">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BMS/IB/3196</w:t>
            </w:r>
          </w:p>
        </w:tc>
        <w:tc>
          <w:tcPr>
            <w:tcW w:w="1403" w:type="dxa"/>
            <w:tcBorders>
              <w:top w:val="single" w:color="auto" w:sz="4" w:space="0"/>
              <w:left w:val="single" w:color="auto" w:sz="4" w:space="0"/>
              <w:bottom w:val="single" w:color="auto" w:sz="4" w:space="0"/>
              <w:right w:val="single" w:color="auto" w:sz="4" w:space="0"/>
            </w:tcBorders>
          </w:tcPr>
          <w:p w14:paraId="34B6E4D8">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6775FCDF">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3472DF03">
            <w:pPr>
              <w:pStyle w:val="12"/>
              <w:spacing w:line="360" w:lineRule="auto"/>
              <w:rPr>
                <w:rFonts w:ascii="Times New Roman" w:hAnsi="Times New Roman" w:cs="Times New Roman"/>
                <w:b/>
                <w:bCs/>
                <w:sz w:val="24"/>
                <w:szCs w:val="24"/>
              </w:rPr>
            </w:pPr>
          </w:p>
        </w:tc>
      </w:tr>
      <w:tr w14:paraId="47E0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163C3FAB">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19</w:t>
            </w:r>
          </w:p>
        </w:tc>
        <w:tc>
          <w:tcPr>
            <w:tcW w:w="2999" w:type="dxa"/>
            <w:tcBorders>
              <w:top w:val="single" w:color="auto" w:sz="4" w:space="0"/>
              <w:left w:val="single" w:color="auto" w:sz="4" w:space="0"/>
              <w:bottom w:val="single" w:color="auto" w:sz="4" w:space="0"/>
              <w:right w:val="single" w:color="auto" w:sz="4" w:space="0"/>
            </w:tcBorders>
          </w:tcPr>
          <w:p w14:paraId="20633926">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OCHALA DANIEL</w:t>
            </w:r>
          </w:p>
        </w:tc>
        <w:tc>
          <w:tcPr>
            <w:tcW w:w="1603" w:type="dxa"/>
            <w:tcBorders>
              <w:top w:val="single" w:color="auto" w:sz="4" w:space="0"/>
              <w:left w:val="single" w:color="auto" w:sz="4" w:space="0"/>
              <w:bottom w:val="single" w:color="auto" w:sz="4" w:space="0"/>
              <w:right w:val="single" w:color="auto" w:sz="4" w:space="0"/>
            </w:tcBorders>
          </w:tcPr>
          <w:p w14:paraId="199418DC">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BMS/IB/3193</w:t>
            </w:r>
          </w:p>
        </w:tc>
        <w:tc>
          <w:tcPr>
            <w:tcW w:w="1403" w:type="dxa"/>
            <w:tcBorders>
              <w:top w:val="single" w:color="auto" w:sz="4" w:space="0"/>
              <w:left w:val="single" w:color="auto" w:sz="4" w:space="0"/>
              <w:bottom w:val="single" w:color="auto" w:sz="4" w:space="0"/>
              <w:right w:val="single" w:color="auto" w:sz="4" w:space="0"/>
            </w:tcBorders>
          </w:tcPr>
          <w:p w14:paraId="618A7049">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17027B7C">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55480B27">
            <w:pPr>
              <w:pStyle w:val="12"/>
              <w:spacing w:line="360" w:lineRule="auto"/>
              <w:rPr>
                <w:rFonts w:ascii="Times New Roman" w:hAnsi="Times New Roman" w:cs="Times New Roman"/>
                <w:b/>
                <w:bCs/>
                <w:sz w:val="24"/>
                <w:szCs w:val="24"/>
              </w:rPr>
            </w:pPr>
          </w:p>
        </w:tc>
      </w:tr>
      <w:tr w14:paraId="217B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Borders>
              <w:top w:val="single" w:color="auto" w:sz="4" w:space="0"/>
              <w:left w:val="single" w:color="auto" w:sz="4" w:space="0"/>
              <w:bottom w:val="single" w:color="auto" w:sz="4" w:space="0"/>
              <w:right w:val="single" w:color="auto" w:sz="4" w:space="0"/>
            </w:tcBorders>
          </w:tcPr>
          <w:p w14:paraId="246D2706">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20</w:t>
            </w:r>
          </w:p>
        </w:tc>
        <w:tc>
          <w:tcPr>
            <w:tcW w:w="2999" w:type="dxa"/>
            <w:tcBorders>
              <w:top w:val="single" w:color="auto" w:sz="4" w:space="0"/>
              <w:left w:val="single" w:color="auto" w:sz="4" w:space="0"/>
              <w:bottom w:val="single" w:color="auto" w:sz="4" w:space="0"/>
              <w:right w:val="single" w:color="auto" w:sz="4" w:space="0"/>
            </w:tcBorders>
          </w:tcPr>
          <w:p w14:paraId="0A7EE614">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ODEH ISAAC</w:t>
            </w:r>
          </w:p>
        </w:tc>
        <w:tc>
          <w:tcPr>
            <w:tcW w:w="1603" w:type="dxa"/>
            <w:tcBorders>
              <w:top w:val="single" w:color="auto" w:sz="4" w:space="0"/>
              <w:left w:val="single" w:color="auto" w:sz="4" w:space="0"/>
              <w:bottom w:val="single" w:color="auto" w:sz="4" w:space="0"/>
              <w:right w:val="single" w:color="auto" w:sz="4" w:space="0"/>
            </w:tcBorders>
          </w:tcPr>
          <w:p w14:paraId="414D3906">
            <w:pPr>
              <w:pStyle w:val="12"/>
              <w:spacing w:line="360" w:lineRule="auto"/>
              <w:rPr>
                <w:rFonts w:ascii="Times New Roman" w:hAnsi="Times New Roman" w:cs="Times New Roman"/>
                <w:b/>
                <w:bCs/>
                <w:sz w:val="24"/>
                <w:szCs w:val="24"/>
              </w:rPr>
            </w:pPr>
            <w:r>
              <w:rPr>
                <w:rFonts w:ascii="Times New Roman" w:hAnsi="Times New Roman" w:cs="Times New Roman"/>
                <w:b/>
                <w:bCs/>
                <w:sz w:val="24"/>
                <w:szCs w:val="24"/>
              </w:rPr>
              <w:t>BMS/IB/3194</w:t>
            </w:r>
          </w:p>
        </w:tc>
        <w:tc>
          <w:tcPr>
            <w:tcW w:w="1403" w:type="dxa"/>
            <w:tcBorders>
              <w:top w:val="single" w:color="auto" w:sz="4" w:space="0"/>
              <w:left w:val="single" w:color="auto" w:sz="4" w:space="0"/>
              <w:bottom w:val="single" w:color="auto" w:sz="4" w:space="0"/>
              <w:right w:val="single" w:color="auto" w:sz="4" w:space="0"/>
            </w:tcBorders>
          </w:tcPr>
          <w:p w14:paraId="4A917804">
            <w:pPr>
              <w:pStyle w:val="12"/>
              <w:spacing w:line="360" w:lineRule="auto"/>
              <w:rPr>
                <w:rFonts w:ascii="Times New Roman" w:hAnsi="Times New Roman" w:cs="Times New Roman"/>
                <w:b/>
                <w:bCs/>
                <w:sz w:val="24"/>
                <w:szCs w:val="24"/>
              </w:rPr>
            </w:pPr>
          </w:p>
        </w:tc>
        <w:tc>
          <w:tcPr>
            <w:tcW w:w="1697" w:type="dxa"/>
            <w:tcBorders>
              <w:top w:val="single" w:color="auto" w:sz="4" w:space="0"/>
              <w:left w:val="single" w:color="auto" w:sz="4" w:space="0"/>
              <w:bottom w:val="single" w:color="auto" w:sz="4" w:space="0"/>
              <w:right w:val="single" w:color="auto" w:sz="4" w:space="0"/>
            </w:tcBorders>
          </w:tcPr>
          <w:p w14:paraId="49B60D51">
            <w:pPr>
              <w:pStyle w:val="12"/>
              <w:spacing w:line="360" w:lineRule="auto"/>
              <w:rPr>
                <w:rFonts w:ascii="Times New Roman" w:hAnsi="Times New Roman" w:cs="Times New Roman"/>
                <w:b/>
                <w:bCs/>
                <w:sz w:val="24"/>
                <w:szCs w:val="24"/>
              </w:rPr>
            </w:pPr>
          </w:p>
        </w:tc>
        <w:tc>
          <w:tcPr>
            <w:tcW w:w="1057" w:type="dxa"/>
            <w:tcBorders>
              <w:top w:val="single" w:color="auto" w:sz="4" w:space="0"/>
              <w:left w:val="single" w:color="auto" w:sz="4" w:space="0"/>
              <w:bottom w:val="single" w:color="auto" w:sz="4" w:space="0"/>
              <w:right w:val="single" w:color="auto" w:sz="4" w:space="0"/>
            </w:tcBorders>
          </w:tcPr>
          <w:p w14:paraId="6829AA6D">
            <w:pPr>
              <w:pStyle w:val="12"/>
              <w:spacing w:line="360" w:lineRule="auto"/>
              <w:rPr>
                <w:rFonts w:ascii="Times New Roman" w:hAnsi="Times New Roman" w:cs="Times New Roman"/>
                <w:b/>
                <w:bCs/>
                <w:sz w:val="24"/>
                <w:szCs w:val="24"/>
              </w:rPr>
            </w:pPr>
          </w:p>
        </w:tc>
      </w:tr>
    </w:tbl>
    <w:p w14:paraId="17F157FD">
      <w:pPr>
        <w:pStyle w:val="12"/>
        <w:spacing w:line="360" w:lineRule="auto"/>
        <w:rPr>
          <w:rFonts w:ascii="Times New Roman" w:hAnsi="Times New Roman" w:cs="Times New Roman"/>
          <w:b/>
          <w:bCs/>
          <w:sz w:val="24"/>
          <w:szCs w:val="24"/>
        </w:rPr>
      </w:pPr>
    </w:p>
    <w:p w14:paraId="79DFF115">
      <w:pPr>
        <w:pStyle w:val="12"/>
        <w:rPr>
          <w:rFonts w:ascii="Times New Roman" w:hAnsi="Times New Roman" w:cs="Times New Roman"/>
          <w:b/>
          <w:bCs/>
          <w:sz w:val="24"/>
          <w:szCs w:val="24"/>
        </w:rPr>
      </w:pPr>
    </w:p>
    <w:p w14:paraId="66649421">
      <w:pPr>
        <w:pStyle w:val="12"/>
        <w:rPr>
          <w:rFonts w:ascii="Times New Roman" w:hAnsi="Times New Roman" w:cs="Times New Roman"/>
          <w:b/>
          <w:bCs/>
          <w:sz w:val="24"/>
          <w:szCs w:val="24"/>
        </w:rPr>
      </w:pPr>
    </w:p>
    <w:p w14:paraId="5E665C57">
      <w:pPr>
        <w:pStyle w:val="26"/>
        <w:rPr>
          <w:rFonts w:ascii="Times New Roman" w:hAnsi="Times New Roman" w:cs="Times New Roman"/>
          <w:b/>
          <w:bCs/>
          <w:sz w:val="24"/>
          <w:szCs w:val="24"/>
        </w:rPr>
      </w:pPr>
      <w:r>
        <w:rPr>
          <w:rFonts w:ascii="Times New Roman" w:hAnsi="Times New Roman" w:cs="Times New Roman"/>
          <w:b/>
          <w:bCs/>
          <w:sz w:val="24"/>
          <w:szCs w:val="24"/>
        </w:rPr>
        <w:t xml:space="preserve">TABLE OF CONTENT </w:t>
      </w:r>
    </w:p>
    <w:p w14:paraId="01CB7AA0">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1.0 Abstract</w:t>
      </w:r>
    </w:p>
    <w:p w14:paraId="1080CE0E">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2.0 Introduction</w:t>
      </w:r>
    </w:p>
    <w:p w14:paraId="386DA675">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3.0 Francis Fukuyama: A Detailed Biographical Overview</w:t>
      </w:r>
    </w:p>
    <w:p w14:paraId="0CB001C4">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 xml:space="preserve">4.0 </w:t>
      </w:r>
      <w:r>
        <w:rPr>
          <w:rFonts w:ascii="Times New Roman" w:hAnsi="Times New Roman" w:cs="Times New Roman"/>
          <w:b/>
          <w:bCs/>
          <w:color w:val="000000" w:themeColor="text1"/>
          <w14:textFill>
            <w14:solidFill>
              <w14:schemeClr w14:val="tx1"/>
            </w14:solidFill>
          </w14:textFill>
        </w:rPr>
        <w:t>The State of Nature: Francis Fukuyama in Contrast with Hobbes, Locke, and Rousseau</w:t>
      </w:r>
    </w:p>
    <w:p w14:paraId="14AB0241">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5.0 The Pillars of Political Institutions</w:t>
      </w:r>
    </w:p>
    <w:p w14:paraId="7F8232F4">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5.1 THE STATE BUILDING</w:t>
      </w:r>
    </w:p>
    <w:p w14:paraId="35846904">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5.1.1 The Modern State China Evolution: From Tribalism to Meritocracy</w:t>
      </w:r>
    </w:p>
    <w:p w14:paraId="47F4FAEB">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5.2 The Indian Path: Religion, Caste, and the Absence of a Centralized State</w:t>
      </w:r>
    </w:p>
    <w:p w14:paraId="71F7F39B">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5.3 Slavery and the Muslim Exit from Tribalism: Religion, Kinship, and the Foundations of Islamic Political Order</w:t>
      </w:r>
    </w:p>
    <w:p w14:paraId="504963FD">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6.0 THE RULE OF LAW</w:t>
      </w:r>
    </w:p>
    <w:p w14:paraId="212CC064">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6.1 The Papal Revolution and the Birth of the Rule of Law: Institutional Conflict, Legal Rationality, and the Rise of Western Political Order</w:t>
      </w:r>
    </w:p>
    <w:p w14:paraId="41CE38D0">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6.2 Christianity Undermines the Family: The Church, Kinship, and the Foundations of Western Individualism</w:t>
      </w:r>
    </w:p>
    <w:p w14:paraId="4F913A76">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7.0 THE ORIGINS OF ACCOUNTABILITY</w:t>
      </w:r>
    </w:p>
    <w:p w14:paraId="117C9577">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8.0 Political Development and Political Decay</w:t>
      </w:r>
    </w:p>
    <w:p w14:paraId="4DF47B46">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9.0 Political Orders and Political Decay in Modern History</w:t>
      </w:r>
    </w:p>
    <w:p w14:paraId="23728F7C">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10.0 Can Nigeria Get to Denmark? Applying Fukuyama’s Framework to State-Building in Nigeria</w:t>
      </w:r>
    </w:p>
    <w:p w14:paraId="7CF745DC">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10.1 Evaluating Nigeria Through Fukuyama’s Three Pillars of Political Development</w:t>
      </w:r>
    </w:p>
    <w:p w14:paraId="1738A652">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10.2 Institutional Reforms for Building Political Order in Nigeria</w:t>
      </w:r>
    </w:p>
    <w:p w14:paraId="735154EE">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10.3 Possible Pathways and Pitfalls: Comparative Lessons from Other Developing States</w:t>
      </w:r>
    </w:p>
    <w:p w14:paraId="7C00C643">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11.0 Rethinking "Denmark": Is It the Right Model for Nigeria?</w:t>
      </w:r>
    </w:p>
    <w:p w14:paraId="629AEC2F">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12.0 Conclusion and Evaluation</w:t>
      </w:r>
    </w:p>
    <w:p w14:paraId="56229A2F">
      <w:pPr>
        <w:spacing w:before="100" w:beforeAutospacing="1" w:after="100" w:afterAutospacing="1" w:line="240" w:lineRule="auto"/>
        <w:outlineLvl w:val="1"/>
        <w:rPr>
          <w:rFonts w:ascii="Times New Roman" w:hAnsi="Times New Roman" w:eastAsia="Times New Roman" w:cs="Times New Roman"/>
          <w:b/>
          <w:bCs/>
        </w:rPr>
      </w:pPr>
      <w:r>
        <w:rPr>
          <w:rFonts w:ascii="Times New Roman" w:hAnsi="Times New Roman" w:eastAsia="Times New Roman" w:cs="Times New Roman"/>
          <w:b/>
          <w:bCs/>
        </w:rPr>
        <w:t>13.0 Bibliography</w:t>
      </w:r>
    </w:p>
    <w:p w14:paraId="6D0A080B">
      <w:pPr>
        <w:spacing w:before="100" w:beforeAutospacing="1" w:after="100" w:afterAutospacing="1" w:line="480" w:lineRule="auto"/>
        <w:jc w:val="both"/>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1.0 Abstract</w:t>
      </w:r>
    </w:p>
    <w:p w14:paraId="34E3891B">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question “Can Nigeria get to Denmark?” draws from Francis Fukuyama’s metaphor of “Denmark” as the ideal modern state one that embodies </w:t>
      </w:r>
      <w:r>
        <w:rPr>
          <w:rFonts w:ascii="Times New Roman" w:hAnsi="Times New Roman" w:eastAsia="Times New Roman" w:cs="Times New Roman"/>
          <w:b/>
          <w:bCs/>
          <w:sz w:val="24"/>
          <w:szCs w:val="24"/>
        </w:rPr>
        <w:t>stability, rule of law, and accountability</w:t>
      </w:r>
      <w:r>
        <w:rPr>
          <w:rFonts w:ascii="Times New Roman" w:hAnsi="Times New Roman" w:eastAsia="Times New Roman" w:cs="Times New Roman"/>
          <w:sz w:val="24"/>
          <w:szCs w:val="24"/>
        </w:rPr>
        <w:t>.</w:t>
      </w:r>
      <w:r>
        <w:rPr>
          <w:rStyle w:val="10"/>
          <w:rFonts w:ascii="Times New Roman" w:hAnsi="Times New Roman" w:eastAsia="Times New Roman" w:cs="Times New Roman"/>
          <w:sz w:val="24"/>
          <w:szCs w:val="24"/>
        </w:rPr>
        <w:footnoteReference w:id="0"/>
      </w:r>
      <w:r>
        <w:rPr>
          <w:rFonts w:ascii="Times New Roman" w:hAnsi="Times New Roman" w:eastAsia="Times New Roman" w:cs="Times New Roman"/>
          <w:sz w:val="24"/>
          <w:szCs w:val="24"/>
        </w:rPr>
        <w:t xml:space="preserve"> This inquiry examines whether Nigeria, burdened by </w:t>
      </w:r>
      <w:r>
        <w:rPr>
          <w:rFonts w:ascii="Times New Roman" w:hAnsi="Times New Roman" w:eastAsia="Times New Roman" w:cs="Times New Roman"/>
          <w:b/>
          <w:bCs/>
          <w:sz w:val="24"/>
          <w:szCs w:val="24"/>
        </w:rPr>
        <w:t>patrimonialism</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corruption</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weak institutions</w:t>
      </w:r>
      <w:r>
        <w:rPr>
          <w:rFonts w:ascii="Times New Roman" w:hAnsi="Times New Roman" w:eastAsia="Times New Roman" w:cs="Times New Roman"/>
          <w:sz w:val="24"/>
          <w:szCs w:val="24"/>
        </w:rPr>
        <w:t xml:space="preserve">, can achieve the same equilibrium of political order that Fukuyama identifies in </w:t>
      </w:r>
      <w:r>
        <w:rPr>
          <w:rFonts w:ascii="Times New Roman" w:hAnsi="Times New Roman" w:eastAsia="Times New Roman" w:cs="Times New Roman"/>
          <w:i/>
          <w:iCs/>
          <w:sz w:val="24"/>
          <w:szCs w:val="24"/>
        </w:rPr>
        <w:t>The Origins of Political Order</w:t>
      </w:r>
      <w:r>
        <w:rPr>
          <w:rFonts w:ascii="Times New Roman" w:hAnsi="Times New Roman" w:eastAsia="Times New Roman" w:cs="Times New Roman"/>
          <w:sz w:val="24"/>
          <w:szCs w:val="24"/>
        </w:rPr>
        <w:t xml:space="preserve"> (2011).</w:t>
      </w:r>
    </w:p>
    <w:p w14:paraId="180F9512">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Fukuyama argues that political development depends on three interdependent pillars: a </w:t>
      </w:r>
      <w:r>
        <w:rPr>
          <w:rFonts w:ascii="Times New Roman" w:hAnsi="Times New Roman" w:eastAsia="Times New Roman" w:cs="Times New Roman"/>
          <w:b/>
          <w:bCs/>
          <w:sz w:val="24"/>
          <w:szCs w:val="24"/>
        </w:rPr>
        <w:t>strong and capable state</w:t>
      </w:r>
      <w:r>
        <w:rPr>
          <w:rFonts w:ascii="Times New Roman" w:hAnsi="Times New Roman" w:eastAsia="Times New Roman" w:cs="Times New Roman"/>
          <w:sz w:val="24"/>
          <w:szCs w:val="24"/>
        </w:rPr>
        <w:t xml:space="preserve">, the </w:t>
      </w:r>
      <w:r>
        <w:rPr>
          <w:rFonts w:ascii="Times New Roman" w:hAnsi="Times New Roman" w:eastAsia="Times New Roman" w:cs="Times New Roman"/>
          <w:b/>
          <w:bCs/>
          <w:sz w:val="24"/>
          <w:szCs w:val="24"/>
        </w:rPr>
        <w:t>rule of law</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political accountability</w:t>
      </w:r>
      <w:r>
        <w:rPr>
          <w:rFonts w:ascii="Times New Roman" w:hAnsi="Times New Roman" w:eastAsia="Times New Roman" w:cs="Times New Roman"/>
          <w:sz w:val="24"/>
          <w:szCs w:val="24"/>
        </w:rPr>
        <w:t>.</w:t>
      </w:r>
      <w:r>
        <w:rPr>
          <w:rStyle w:val="10"/>
          <w:rFonts w:ascii="Times New Roman" w:hAnsi="Times New Roman" w:eastAsia="Times New Roman" w:cs="Times New Roman"/>
          <w:sz w:val="24"/>
          <w:szCs w:val="24"/>
        </w:rPr>
        <w:footnoteReference w:id="1"/>
      </w:r>
      <w:r>
        <w:rPr>
          <w:rFonts w:ascii="Times New Roman" w:hAnsi="Times New Roman" w:eastAsia="Times New Roman" w:cs="Times New Roman"/>
          <w:sz w:val="24"/>
          <w:szCs w:val="24"/>
        </w:rPr>
        <w:t>Where these pillars evolve together, stable governance emerges; when they diverge, political decay follows. Nigeria’s experience since independence reflects this imbalance. The state possesses coercive power but limited administrative capacity; laws exist but are subverted by elites; and democratic accountability often gives way to clientelism.</w:t>
      </w:r>
      <w:r>
        <w:rPr>
          <w:rStyle w:val="10"/>
          <w:rFonts w:ascii="Times New Roman" w:hAnsi="Times New Roman" w:eastAsia="Times New Roman" w:cs="Times New Roman"/>
          <w:sz w:val="24"/>
          <w:szCs w:val="24"/>
        </w:rPr>
        <w:footnoteReference w:id="2"/>
      </w:r>
    </w:p>
    <w:p w14:paraId="28D69939">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Like the early kin-based societies Fukuyama describes, Nigeria remains trapped in </w:t>
      </w:r>
      <w:r>
        <w:rPr>
          <w:rFonts w:ascii="Times New Roman" w:hAnsi="Times New Roman" w:eastAsia="Times New Roman" w:cs="Times New Roman"/>
          <w:i/>
          <w:iCs/>
          <w:sz w:val="24"/>
          <w:szCs w:val="24"/>
        </w:rPr>
        <w:t xml:space="preserve">a </w:t>
      </w:r>
      <w:r>
        <w:rPr>
          <w:rFonts w:ascii="Times New Roman" w:hAnsi="Times New Roman" w:eastAsia="Times New Roman" w:cs="Times New Roman"/>
          <w:b/>
          <w:bCs/>
          <w:i/>
          <w:iCs/>
          <w:sz w:val="24"/>
          <w:szCs w:val="24"/>
        </w:rPr>
        <w:t>limited-access order</w:t>
      </w:r>
      <w:r>
        <w:rPr>
          <w:rFonts w:ascii="Times New Roman" w:hAnsi="Times New Roman" w:eastAsia="Times New Roman" w:cs="Times New Roman"/>
          <w:sz w:val="24"/>
          <w:szCs w:val="24"/>
        </w:rPr>
        <w:t xml:space="preserve"> a system where personal loyalty and patronage dominate impersonal rules.</w:t>
      </w:r>
      <w:r>
        <w:rPr>
          <w:rStyle w:val="10"/>
          <w:rFonts w:ascii="Times New Roman" w:hAnsi="Times New Roman" w:eastAsia="Times New Roman" w:cs="Times New Roman"/>
          <w:sz w:val="24"/>
          <w:szCs w:val="24"/>
        </w:rPr>
        <w:footnoteReference w:id="3"/>
      </w:r>
      <w:r>
        <w:rPr>
          <w:rFonts w:ascii="Times New Roman" w:hAnsi="Times New Roman" w:eastAsia="Times New Roman" w:cs="Times New Roman"/>
          <w:sz w:val="24"/>
          <w:szCs w:val="24"/>
        </w:rPr>
        <w:t xml:space="preserve"> Despite formal institutions, the Nigerian state functions largely through informal networks that mirror the re-patrimonialization Fukuyama warns of: the return of private interests into public office.</w:t>
      </w:r>
      <w:r>
        <w:rPr>
          <w:rStyle w:val="10"/>
          <w:rFonts w:ascii="Times New Roman" w:hAnsi="Times New Roman" w:eastAsia="Times New Roman" w:cs="Times New Roman"/>
          <w:sz w:val="24"/>
          <w:szCs w:val="24"/>
        </w:rPr>
        <w:footnoteReference w:id="4"/>
      </w:r>
      <w:r>
        <w:rPr>
          <w:rFonts w:ascii="Times New Roman" w:hAnsi="Times New Roman" w:eastAsia="Times New Roman" w:cs="Times New Roman"/>
          <w:sz w:val="24"/>
          <w:szCs w:val="24"/>
        </w:rPr>
        <w:t xml:space="preserve"> This explains persistent corruption, weak bureaucratic autonomy, and the politicization of public service.</w:t>
      </w:r>
    </w:p>
    <w:p w14:paraId="4BC0F6B3">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metaphor of Denmark thus represents an institutional condition rather than a geographic destination—a society where governance serves the public good and citizens trust their state. For Fukuyama, such progress emerges historically from </w:t>
      </w:r>
      <w:r>
        <w:rPr>
          <w:rFonts w:ascii="Times New Roman" w:hAnsi="Times New Roman" w:eastAsia="Times New Roman" w:cs="Times New Roman"/>
          <w:b/>
          <w:bCs/>
          <w:sz w:val="24"/>
          <w:szCs w:val="24"/>
        </w:rPr>
        <w:t>conflict, adaptation, and moral reform</w:t>
      </w:r>
      <w:r>
        <w:rPr>
          <w:rFonts w:ascii="Times New Roman" w:hAnsi="Times New Roman" w:eastAsia="Times New Roman" w:cs="Times New Roman"/>
          <w:sz w:val="24"/>
          <w:szCs w:val="24"/>
        </w:rPr>
        <w:t>, not mere imitation of Western models.</w:t>
      </w:r>
      <w:r>
        <w:rPr>
          <w:rStyle w:val="10"/>
          <w:rFonts w:ascii="Times New Roman" w:hAnsi="Times New Roman" w:eastAsia="Times New Roman" w:cs="Times New Roman"/>
          <w:sz w:val="24"/>
          <w:szCs w:val="24"/>
        </w:rPr>
        <w:footnoteReference w:id="5"/>
      </w:r>
      <w:r>
        <w:rPr>
          <w:rFonts w:ascii="Times New Roman" w:hAnsi="Times New Roman" w:eastAsia="Times New Roman" w:cs="Times New Roman"/>
          <w:sz w:val="24"/>
          <w:szCs w:val="24"/>
        </w:rPr>
        <w:t xml:space="preserve"> In China, state strength arose from bureaucratic innovation; in Europe, the rule of law emerged from the Church’s resistance to monarchic power; and in England, accountability evolved through negotiation between rulers and elites.</w:t>
      </w:r>
      <w:r>
        <w:rPr>
          <w:rStyle w:val="10"/>
          <w:rFonts w:ascii="Times New Roman" w:hAnsi="Times New Roman" w:eastAsia="Times New Roman" w:cs="Times New Roman"/>
          <w:sz w:val="24"/>
          <w:szCs w:val="24"/>
        </w:rPr>
        <w:footnoteReference w:id="6"/>
      </w:r>
      <w:r>
        <w:rPr>
          <w:rFonts w:ascii="Times New Roman" w:hAnsi="Times New Roman" w:eastAsia="Times New Roman" w:cs="Times New Roman"/>
          <w:sz w:val="24"/>
          <w:szCs w:val="24"/>
        </w:rPr>
        <w:t xml:space="preserve"> Nigeria’s path, therefore, must follow its own history of internal contestation and reform, not borrowed blueprints.</w:t>
      </w:r>
    </w:p>
    <w:p w14:paraId="44C50672">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Colonialism left Nigeria with a centralized yet fragile state strong in coercion, weak in legitimacy.</w:t>
      </w:r>
      <w:r>
        <w:rPr>
          <w:rStyle w:val="10"/>
          <w:rFonts w:ascii="Times New Roman" w:hAnsi="Times New Roman" w:eastAsia="Times New Roman" w:cs="Times New Roman"/>
          <w:sz w:val="24"/>
          <w:szCs w:val="24"/>
        </w:rPr>
        <w:footnoteReference w:id="7"/>
      </w:r>
      <w:r>
        <w:rPr>
          <w:rFonts w:ascii="Times New Roman" w:hAnsi="Times New Roman" w:eastAsia="Times New Roman" w:cs="Times New Roman"/>
          <w:sz w:val="24"/>
          <w:szCs w:val="24"/>
        </w:rPr>
        <w:t xml:space="preserve"> Independence transferred power to elites who preserved these extractive institutions. The result is a political order reminiscent of the decayed bureaucracies Fukuyama describes: personalized, rent-seeking, and morally fragmented. Yet Nigeria also exhibits forces of renewal—civil society activism, judicial reform, and youth-led accountability movements—that mirror the early stages of political modernization.</w:t>
      </w:r>
      <w:r>
        <w:rPr>
          <w:rStyle w:val="10"/>
          <w:rFonts w:ascii="Times New Roman" w:hAnsi="Times New Roman" w:eastAsia="Times New Roman" w:cs="Times New Roman"/>
          <w:sz w:val="24"/>
          <w:szCs w:val="24"/>
        </w:rPr>
        <w:footnoteReference w:id="8"/>
      </w:r>
    </w:p>
    <w:p w14:paraId="55951FF3">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Nigeria to “get to Denmark,” Fukuyama’s theory suggests it must cultivate impersonal institutions rooted in social legitimacy. This requires moral as well as institutional transformation: redefining citizenship beyond ethnicity and clientelism, strengthening bureaucratic autonomy, and enforcing the rule of law without fear or favor.</w:t>
      </w:r>
      <w:r>
        <w:rPr>
          <w:rStyle w:val="10"/>
          <w:rFonts w:ascii="Times New Roman" w:hAnsi="Times New Roman" w:eastAsia="Times New Roman" w:cs="Times New Roman"/>
          <w:sz w:val="24"/>
          <w:szCs w:val="24"/>
        </w:rPr>
        <w:footnoteReference w:id="9"/>
      </w:r>
    </w:p>
    <w:p w14:paraId="38E765F9">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sum, Nigeria’s struggle encapsulates the universal dilemma Fukuyama explores—the tension between </w:t>
      </w:r>
      <w:r>
        <w:rPr>
          <w:rFonts w:ascii="Times New Roman" w:hAnsi="Times New Roman" w:eastAsia="Times New Roman" w:cs="Times New Roman"/>
          <w:b/>
          <w:bCs/>
          <w:sz w:val="24"/>
          <w:szCs w:val="24"/>
        </w:rPr>
        <w:t>order and decay</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power and restraint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tradition and reform</w:t>
      </w:r>
      <w:r>
        <w:rPr>
          <w:rFonts w:ascii="Times New Roman" w:hAnsi="Times New Roman" w:eastAsia="Times New Roman" w:cs="Times New Roman"/>
          <w:sz w:val="24"/>
          <w:szCs w:val="24"/>
        </w:rPr>
        <w:t>. The journey to Denmark is not linear, but possible, if Nigeria can harmonize capacity, legality, and accountability. As Fukuyama concludes, “The true measure of political order is not power, but justice.”</w:t>
      </w:r>
      <w:r>
        <w:rPr>
          <w:rStyle w:val="10"/>
          <w:rFonts w:ascii="Times New Roman" w:hAnsi="Times New Roman" w:eastAsia="Times New Roman" w:cs="Times New Roman"/>
          <w:sz w:val="24"/>
          <w:szCs w:val="24"/>
        </w:rPr>
        <w:footnoteReference w:id="10"/>
      </w:r>
    </w:p>
    <w:p w14:paraId="7CD7B926">
      <w:pPr>
        <w:spacing w:before="100" w:beforeAutospacing="1" w:after="100" w:afterAutospacing="1" w:line="480" w:lineRule="auto"/>
        <w:jc w:val="both"/>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2.0 Introduction</w:t>
      </w:r>
    </w:p>
    <w:p w14:paraId="07BCECE5">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his non-fiction masterpiece, </w:t>
      </w:r>
      <w:r>
        <w:rPr>
          <w:rFonts w:ascii="Times New Roman" w:hAnsi="Times New Roman" w:eastAsia="Times New Roman" w:cs="Times New Roman"/>
          <w:i/>
          <w:iCs/>
          <w:sz w:val="24"/>
          <w:szCs w:val="24"/>
        </w:rPr>
        <w:t>The Origins of Political Order: From Prehuman Times to the French Revolution</w:t>
      </w:r>
      <w:r>
        <w:rPr>
          <w:rFonts w:ascii="Times New Roman" w:hAnsi="Times New Roman" w:eastAsia="Times New Roman" w:cs="Times New Roman"/>
          <w:sz w:val="24"/>
          <w:szCs w:val="24"/>
        </w:rPr>
        <w:t xml:space="preserve"> (2011), American political scientist and economist </w:t>
      </w:r>
      <w:r>
        <w:rPr>
          <w:rFonts w:ascii="Times New Roman" w:hAnsi="Times New Roman" w:eastAsia="Times New Roman" w:cs="Times New Roman"/>
          <w:b/>
          <w:bCs/>
          <w:sz w:val="24"/>
          <w:szCs w:val="24"/>
        </w:rPr>
        <w:t>Francis Fukuyama</w:t>
      </w:r>
      <w:r>
        <w:rPr>
          <w:rFonts w:ascii="Times New Roman" w:hAnsi="Times New Roman" w:eastAsia="Times New Roman" w:cs="Times New Roman"/>
          <w:sz w:val="24"/>
          <w:szCs w:val="24"/>
        </w:rPr>
        <w:t xml:space="preserve"> explores the fundamental elements necessary for a state to achieve and maintain political stability. By tracing the historical roots of political order, Fukuyama provides insight into why many contemporary U.S. state-building efforts—such as those in Iraq and Somalia have largely failed. In 2014, he also published a sequel titled </w:t>
      </w:r>
      <w:r>
        <w:rPr>
          <w:rFonts w:ascii="Times New Roman" w:hAnsi="Times New Roman" w:eastAsia="Times New Roman" w:cs="Times New Roman"/>
          <w:i/>
          <w:iCs/>
          <w:sz w:val="24"/>
          <w:szCs w:val="24"/>
        </w:rPr>
        <w:t>Political Order and Political Decay: From the Industrial Revolution to the Present Day</w:t>
      </w:r>
      <w:r>
        <w:rPr>
          <w:rFonts w:ascii="Times New Roman" w:hAnsi="Times New Roman" w:eastAsia="Times New Roman" w:cs="Times New Roman"/>
          <w:sz w:val="24"/>
          <w:szCs w:val="24"/>
        </w:rPr>
        <w:t>.</w:t>
      </w:r>
    </w:p>
    <w:p w14:paraId="62559188">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its preface, Fukuyama outlines two main motivations for writing this continuation. First, he sought to update and expand upon the ideas presented in </w:t>
      </w:r>
      <w:r>
        <w:rPr>
          <w:rFonts w:ascii="Times New Roman" w:hAnsi="Times New Roman" w:eastAsia="Times New Roman" w:cs="Times New Roman"/>
          <w:b/>
          <w:bCs/>
          <w:sz w:val="24"/>
          <w:szCs w:val="24"/>
        </w:rPr>
        <w:t>Samuel P. Huntington’s</w:t>
      </w:r>
      <w:r>
        <w:rPr>
          <w:rFonts w:ascii="Times New Roman" w:hAnsi="Times New Roman" w:eastAsia="Times New Roman" w:cs="Times New Roman"/>
          <w:sz w:val="24"/>
          <w:szCs w:val="24"/>
        </w:rPr>
        <w:t xml:space="preserve"> 1968 classic, </w:t>
      </w:r>
      <w:r>
        <w:rPr>
          <w:rFonts w:ascii="Times New Roman" w:hAnsi="Times New Roman" w:eastAsia="Times New Roman" w:cs="Times New Roman"/>
          <w:i/>
          <w:iCs/>
          <w:sz w:val="24"/>
          <w:szCs w:val="24"/>
        </w:rPr>
        <w:t>Political Order in Changing Societies</w:t>
      </w:r>
      <w:r>
        <w:rPr>
          <w:rFonts w:ascii="Times New Roman" w:hAnsi="Times New Roman" w:eastAsia="Times New Roman" w:cs="Times New Roman"/>
          <w:sz w:val="24"/>
          <w:szCs w:val="24"/>
        </w:rPr>
        <w:t xml:space="preserve">, which he regards as a foundational text for anyone studying political development in the modern world. Second, he aimed to understand why numerous American attempts to promote democracy abroad, particularly after the events of </w:t>
      </w:r>
      <w:r>
        <w:rPr>
          <w:rFonts w:ascii="Times New Roman" w:hAnsi="Times New Roman" w:eastAsia="Times New Roman" w:cs="Times New Roman"/>
          <w:b/>
          <w:bCs/>
          <w:sz w:val="24"/>
          <w:szCs w:val="24"/>
        </w:rPr>
        <w:t>9/11</w:t>
      </w:r>
      <w:r>
        <w:rPr>
          <w:rFonts w:ascii="Times New Roman" w:hAnsi="Times New Roman" w:eastAsia="Times New Roman" w:cs="Times New Roman"/>
          <w:sz w:val="24"/>
          <w:szCs w:val="24"/>
        </w:rPr>
        <w:t>, have fallen short of their intended goals.</w:t>
      </w:r>
    </w:p>
    <w:p w14:paraId="4C90A912">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Fukuyama emphasizes that the conditions required for political development before the Industrial Revolution were markedly different from those that emerged afterward. Rather than directly analyzing recent failures in state-building, this book lays the intellectual groundwork that has profoundly influenced modern political thought and institution building worldwide. He also traces the global expansion of democratic systems throughout the 20th century.</w:t>
      </w:r>
    </w:p>
    <w:p w14:paraId="0BE135B3">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Fukuyama identifies three essential pillars of a functioning political order: a </w:t>
      </w:r>
      <w:r>
        <w:rPr>
          <w:rFonts w:ascii="Times New Roman" w:hAnsi="Times New Roman" w:eastAsia="Times New Roman" w:cs="Times New Roman"/>
          <w:b/>
          <w:bCs/>
          <w:sz w:val="24"/>
          <w:szCs w:val="24"/>
        </w:rPr>
        <w:t>strong state</w:t>
      </w:r>
      <w:r>
        <w:rPr>
          <w:rFonts w:ascii="Times New Roman" w:hAnsi="Times New Roman" w:eastAsia="Times New Roman" w:cs="Times New Roman"/>
          <w:sz w:val="24"/>
          <w:szCs w:val="24"/>
        </w:rPr>
        <w:t xml:space="preserve">, the </w:t>
      </w:r>
      <w:r>
        <w:rPr>
          <w:rFonts w:ascii="Times New Roman" w:hAnsi="Times New Roman" w:eastAsia="Times New Roman" w:cs="Times New Roman"/>
          <w:b/>
          <w:bCs/>
          <w:sz w:val="24"/>
          <w:szCs w:val="24"/>
        </w:rPr>
        <w:t>rule of law</w:t>
      </w:r>
      <w:r>
        <w:rPr>
          <w:rFonts w:ascii="Times New Roman" w:hAnsi="Times New Roman" w:eastAsia="Times New Roman" w:cs="Times New Roman"/>
          <w:sz w:val="24"/>
          <w:szCs w:val="24"/>
        </w:rPr>
        <w:t xml:space="preserve">, and a </w:t>
      </w:r>
      <w:r>
        <w:rPr>
          <w:rFonts w:ascii="Times New Roman" w:hAnsi="Times New Roman" w:eastAsia="Times New Roman" w:cs="Times New Roman"/>
          <w:b/>
          <w:bCs/>
          <w:sz w:val="24"/>
          <w:szCs w:val="24"/>
        </w:rPr>
        <w:t>government accountable to its citizens</w:t>
      </w:r>
      <w:r>
        <w:rPr>
          <w:rFonts w:ascii="Times New Roman" w:hAnsi="Times New Roman" w:eastAsia="Times New Roman" w:cs="Times New Roman"/>
          <w:sz w:val="24"/>
          <w:szCs w:val="24"/>
        </w:rPr>
        <w:t>. He explores the historical emergence of these pillars by examining ancient Asian, European, and Middle Eastern civilizations and their lasting contributions to the democratic ideals that endure today.</w:t>
      </w:r>
    </w:p>
    <w:p w14:paraId="59D5D0DE">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instance, </w:t>
      </w:r>
      <w:r>
        <w:rPr>
          <w:rFonts w:ascii="Times New Roman" w:hAnsi="Times New Roman" w:eastAsia="Times New Roman" w:cs="Times New Roman"/>
          <w:b/>
          <w:bCs/>
          <w:sz w:val="24"/>
          <w:szCs w:val="24"/>
        </w:rPr>
        <w:t>ancient China</w:t>
      </w:r>
      <w:r>
        <w:rPr>
          <w:rFonts w:ascii="Times New Roman" w:hAnsi="Times New Roman" w:eastAsia="Times New Roman" w:cs="Times New Roman"/>
          <w:sz w:val="24"/>
          <w:szCs w:val="24"/>
        </w:rPr>
        <w:t xml:space="preserve"> was the first civilization to transition from tribal governance to an organized state, yet it historically struggled to establish a consistent rule of law and mechanisms of accountability. Fukuyama attributes this to the absence of independent institutions capable of restraining central authority. </w:t>
      </w:r>
      <w:r>
        <w:rPr>
          <w:rFonts w:ascii="Times New Roman" w:hAnsi="Times New Roman" w:eastAsia="Times New Roman" w:cs="Times New Roman"/>
          <w:b/>
          <w:bCs/>
          <w:sz w:val="24"/>
          <w:szCs w:val="24"/>
        </w:rPr>
        <w:t>Ancient India</w:t>
      </w:r>
      <w:r>
        <w:rPr>
          <w:rFonts w:ascii="Times New Roman" w:hAnsi="Times New Roman" w:eastAsia="Times New Roman" w:cs="Times New Roman"/>
          <w:sz w:val="24"/>
          <w:szCs w:val="24"/>
        </w:rPr>
        <w:t xml:space="preserve"> faced a similar challenge: while it upheld a strong moral and legal code, primarily derived from the principles of the Brahman priests, its deeply entrenched caste hierarchy fragmented society and undermined national cohesion. In the </w:t>
      </w:r>
      <w:r>
        <w:rPr>
          <w:rFonts w:ascii="Times New Roman" w:hAnsi="Times New Roman" w:eastAsia="Times New Roman" w:cs="Times New Roman"/>
          <w:b/>
          <w:bCs/>
          <w:sz w:val="24"/>
          <w:szCs w:val="24"/>
        </w:rPr>
        <w:t>Ottoman Empire</w:t>
      </w:r>
      <w:r>
        <w:rPr>
          <w:rFonts w:ascii="Times New Roman" w:hAnsi="Times New Roman" w:eastAsia="Times New Roman" w:cs="Times New Roman"/>
          <w:sz w:val="24"/>
          <w:szCs w:val="24"/>
        </w:rPr>
        <w:t>, authority and law were closely intertwined with religion; while this provided moral legitimacy, it also constrained political innovation and reform.</w:t>
      </w:r>
    </w:p>
    <w:p w14:paraId="7ABAC15E">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Each of these societies, Fukuyama concludes, lacked at least one of the three crucial components of a successful state. In contrast, </w:t>
      </w:r>
      <w:r>
        <w:rPr>
          <w:rFonts w:ascii="Times New Roman" w:hAnsi="Times New Roman" w:eastAsia="Times New Roman" w:cs="Times New Roman"/>
          <w:b/>
          <w:bCs/>
          <w:sz w:val="24"/>
          <w:szCs w:val="24"/>
        </w:rPr>
        <w:t>England</w:t>
      </w:r>
      <w:r>
        <w:rPr>
          <w:rFonts w:ascii="Times New Roman" w:hAnsi="Times New Roman" w:eastAsia="Times New Roman" w:cs="Times New Roman"/>
          <w:sz w:val="24"/>
          <w:szCs w:val="24"/>
        </w:rPr>
        <w:t xml:space="preserve"> was the first to effectively integrate all three, paving the way for modern democracy. Its government developed clear and consistent legal principles independent of religious influence, and its people gradually gained representation in governance. This evolution culminated in the </w:t>
      </w:r>
      <w:r>
        <w:rPr>
          <w:rFonts w:ascii="Times New Roman" w:hAnsi="Times New Roman" w:eastAsia="Times New Roman" w:cs="Times New Roman"/>
          <w:b/>
          <w:bCs/>
          <w:sz w:val="24"/>
          <w:szCs w:val="24"/>
        </w:rPr>
        <w:t>Glorious Revolution of 1688</w:t>
      </w:r>
      <w:r>
        <w:rPr>
          <w:rFonts w:ascii="Times New Roman" w:hAnsi="Times New Roman" w:eastAsia="Times New Roman" w:cs="Times New Roman"/>
          <w:sz w:val="24"/>
          <w:szCs w:val="24"/>
        </w:rPr>
        <w:t>, when Parliament deposed the Catholic King James II and installed the Protestant William of Orange—a moment that marked a defining milestone in the establishment of constitutional rule.</w:t>
      </w:r>
    </w:p>
    <w:p w14:paraId="7AE6F3F7">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Fukuyama’s framework is particularly useful for analyzing Nigeria because it exposes how the country’s institutions evolved in imbalance: a powerful but predatory state, a legal order compromised by corruption, and democratic institutions vulnerable to elite capture.</w:t>
      </w:r>
      <w:r>
        <w:rPr>
          <w:rStyle w:val="10"/>
          <w:rFonts w:ascii="Times New Roman" w:hAnsi="Times New Roman" w:eastAsia="Times New Roman" w:cs="Times New Roman"/>
          <w:sz w:val="24"/>
          <w:szCs w:val="24"/>
        </w:rPr>
        <w:footnoteReference w:id="11"/>
      </w:r>
    </w:p>
    <w:p w14:paraId="092A5307">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question “Can Nigeria get to Denmark?” is one of the most important inquiries in contemporary political development discourse. It originates from Francis Fukuyama’s metaphor in </w:t>
      </w:r>
      <w:r>
        <w:rPr>
          <w:rFonts w:ascii="Times New Roman" w:hAnsi="Times New Roman" w:eastAsia="Times New Roman" w:cs="Times New Roman"/>
          <w:i/>
          <w:iCs/>
          <w:sz w:val="24"/>
          <w:szCs w:val="24"/>
        </w:rPr>
        <w:t>The Origins of Political Order</w:t>
      </w:r>
      <w:r>
        <w:rPr>
          <w:rFonts w:ascii="Times New Roman" w:hAnsi="Times New Roman" w:eastAsia="Times New Roman" w:cs="Times New Roman"/>
          <w:sz w:val="24"/>
          <w:szCs w:val="24"/>
        </w:rPr>
        <w:t xml:space="preserve"> (2011), where </w:t>
      </w:r>
      <w:r>
        <w:rPr>
          <w:rFonts w:ascii="Times New Roman" w:hAnsi="Times New Roman" w:eastAsia="Times New Roman" w:cs="Times New Roman"/>
          <w:b/>
          <w:bCs/>
          <w:sz w:val="24"/>
          <w:szCs w:val="24"/>
        </w:rPr>
        <w:t>“</w:t>
      </w:r>
      <w:r>
        <w:rPr>
          <w:rFonts w:ascii="Times New Roman" w:hAnsi="Times New Roman" w:eastAsia="Times New Roman" w:cs="Times New Roman"/>
          <w:b/>
          <w:bCs/>
          <w:i/>
          <w:iCs/>
          <w:sz w:val="24"/>
          <w:szCs w:val="24"/>
        </w:rPr>
        <w:t>Denmark</w:t>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symbolizes the archetype of a well-governed society—stable, lawful, uncorrupt, and accountable. </w:t>
      </w:r>
      <w:r>
        <w:rPr>
          <w:rStyle w:val="10"/>
          <w:rFonts w:ascii="Times New Roman" w:hAnsi="Times New Roman" w:eastAsia="Times New Roman" w:cs="Times New Roman"/>
          <w:sz w:val="24"/>
          <w:szCs w:val="24"/>
        </w:rPr>
        <w:footnoteReference w:id="12"/>
      </w:r>
      <w:r>
        <w:rPr>
          <w:rFonts w:ascii="Times New Roman" w:hAnsi="Times New Roman" w:eastAsia="Times New Roman" w:cs="Times New Roman"/>
          <w:sz w:val="24"/>
          <w:szCs w:val="24"/>
        </w:rPr>
        <w:t>It is not merely a geographical destination but an institutional and moral ideal, representing what modern political order should look like. To “get to Denmark” is to construct a state where citizens trust government, public offices serve the collective interest, and the law restrains power rather than amplifying it. The question thus challenges Nigeria, Africa’s most populous democracy, to examine the deep structural causes of its political stagnation and ask whether institutional transformation is achievable</w:t>
      </w:r>
    </w:p>
    <w:p w14:paraId="37BFF69B">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Like many postcolonial societies, Nigeria inherited a state without legitimacy a colonial construct imposed from above, designed for extraction rather than representation.</w:t>
      </w:r>
      <w:r>
        <w:rPr>
          <w:rStyle w:val="10"/>
          <w:rFonts w:ascii="Times New Roman" w:hAnsi="Times New Roman" w:eastAsia="Times New Roman" w:cs="Times New Roman"/>
          <w:sz w:val="24"/>
          <w:szCs w:val="24"/>
        </w:rPr>
        <w:footnoteReference w:id="13"/>
      </w:r>
      <w:r>
        <w:rPr>
          <w:rFonts w:ascii="Times New Roman" w:hAnsi="Times New Roman" w:eastAsia="Times New Roman" w:cs="Times New Roman"/>
          <w:sz w:val="24"/>
          <w:szCs w:val="24"/>
        </w:rPr>
        <w:t xml:space="preserve"> At independence, the nationalist elite failed to reform this structure, instead adapting it to serve personal and ethnic interests. What emerged was a system of </w:t>
      </w:r>
      <w:r>
        <w:rPr>
          <w:rFonts w:ascii="Times New Roman" w:hAnsi="Times New Roman" w:eastAsia="Times New Roman" w:cs="Times New Roman"/>
          <w:b/>
          <w:bCs/>
          <w:sz w:val="24"/>
          <w:szCs w:val="24"/>
        </w:rPr>
        <w:t>patrimonialism</w:t>
      </w:r>
      <w:r>
        <w:rPr>
          <w:rFonts w:ascii="Times New Roman" w:hAnsi="Times New Roman" w:eastAsia="Times New Roman" w:cs="Times New Roman"/>
          <w:sz w:val="24"/>
          <w:szCs w:val="24"/>
        </w:rPr>
        <w:t xml:space="preserve">, in which public offices became instruments of private enrichment. Fukuyama terms this reversion to personal rule </w:t>
      </w:r>
      <w:r>
        <w:rPr>
          <w:rFonts w:ascii="Times New Roman" w:hAnsi="Times New Roman" w:eastAsia="Times New Roman" w:cs="Times New Roman"/>
          <w:b/>
          <w:bCs/>
          <w:sz w:val="24"/>
          <w:szCs w:val="24"/>
        </w:rPr>
        <w:t>“repatrimonialization”</w:t>
      </w:r>
      <w:r>
        <w:rPr>
          <w:rFonts w:ascii="Times New Roman" w:hAnsi="Times New Roman" w:eastAsia="Times New Roman" w:cs="Times New Roman"/>
          <w:sz w:val="24"/>
          <w:szCs w:val="24"/>
        </w:rPr>
        <w:t>, a universal pattern where modern institutions decay back into kinship-based politics.</w:t>
      </w:r>
      <w:r>
        <w:rPr>
          <w:rStyle w:val="10"/>
          <w:rFonts w:ascii="Times New Roman" w:hAnsi="Times New Roman" w:eastAsia="Times New Roman" w:cs="Times New Roman"/>
          <w:sz w:val="24"/>
          <w:szCs w:val="24"/>
        </w:rPr>
        <w:footnoteReference w:id="14"/>
      </w:r>
      <w:r>
        <w:rPr>
          <w:rFonts w:ascii="Times New Roman" w:hAnsi="Times New Roman" w:eastAsia="Times New Roman" w:cs="Times New Roman"/>
          <w:sz w:val="24"/>
          <w:szCs w:val="24"/>
        </w:rPr>
        <w:t xml:space="preserve"> Nigeria’s pervasive corruption, politicized bureaucracy, and rentier dependence on oil exemplify this process.</w:t>
      </w:r>
    </w:p>
    <w:p w14:paraId="5A646196">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Yet Fukuyama’s historical narrative also offers hope. Political modernization, he insists, is neither linear nor culturally determined—it is adaptive, born of struggle and reform.</w:t>
      </w:r>
      <w:r>
        <w:rPr>
          <w:rStyle w:val="10"/>
          <w:rFonts w:ascii="Times New Roman" w:hAnsi="Times New Roman" w:eastAsia="Times New Roman" w:cs="Times New Roman"/>
          <w:sz w:val="24"/>
          <w:szCs w:val="24"/>
        </w:rPr>
        <w:footnoteReference w:id="15"/>
      </w:r>
      <w:r>
        <w:rPr>
          <w:rFonts w:ascii="Times New Roman" w:hAnsi="Times New Roman" w:eastAsia="Times New Roman" w:cs="Times New Roman"/>
          <w:sz w:val="24"/>
          <w:szCs w:val="24"/>
        </w:rPr>
        <w:t xml:space="preserve"> Ancient China built state capacity through administrative meritocracy; Europe institutionalized the rule of law through Church–State conflict; and England achieved accountability through centuries of negotiation between monarchs and subjects. The same dynamics—conflict, crisis, and adaptation—can drive institutional evolution in contemporary states. For Nigeria, the question is whether it can harness its internal pressures—youth activism, civic mobilization, and reformist movements—to transform its institutions from patrimonial to impersonal, from predatory to developmental.</w:t>
      </w:r>
    </w:p>
    <w:p w14:paraId="45D29B54">
      <w:pPr>
        <w:spacing w:before="100" w:beforeAutospacing="1" w:after="100" w:afterAutospacing="1"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Ultimately, this study argues that Nigeria’s journey to Denmark depends not merely on economic modernization but on moral and institutional renewal: the cultivation of civic trust, impersonal governance, and a legal order that binds rulers as well as citizens. The path is arduous, but as Fukuyama reminds us, “the true measure of political development is not its perfection, but its capacity for self-correction.”</w:t>
      </w:r>
      <w:r>
        <w:rPr>
          <w:rStyle w:val="10"/>
          <w:rFonts w:ascii="Times New Roman" w:hAnsi="Times New Roman" w:eastAsia="Times New Roman" w:cs="Times New Roman"/>
          <w:sz w:val="24"/>
          <w:szCs w:val="24"/>
        </w:rPr>
        <w:footnoteReference w:id="16"/>
      </w:r>
    </w:p>
    <w:p w14:paraId="3B9DC31A">
      <w:pPr>
        <w:pStyle w:val="3"/>
        <w:jc w:val="both"/>
        <w:rPr>
          <w:rFonts w:ascii="Times New Roman" w:hAnsi="Times New Roman" w:cs="Times New Roman"/>
          <w:sz w:val="28"/>
          <w:szCs w:val="28"/>
        </w:rPr>
      </w:pPr>
      <w:r>
        <w:rPr>
          <w:rStyle w:val="14"/>
          <w:rFonts w:ascii="Times New Roman" w:hAnsi="Times New Roman" w:cs="Times New Roman"/>
          <w:color w:val="auto"/>
          <w:sz w:val="28"/>
          <w:szCs w:val="28"/>
        </w:rPr>
        <w:t xml:space="preserve">3.0 Francis Fukuyama: A Detailed Biographical Overview </w:t>
      </w:r>
    </w:p>
    <w:p w14:paraId="2E529144">
      <w:pPr>
        <w:pStyle w:val="13"/>
        <w:spacing w:line="480" w:lineRule="auto"/>
        <w:jc w:val="both"/>
      </w:pPr>
      <w:r>
        <w:t>Francis Yoshihiro Fukuyama (b. October 27, 1952) is one of the most influential political theorists of the late twentieth and early twenty-first centuries, known for his sweeping analyses of political development, state formation, and the trajectory of global history. Born in Chicago to a distinguished academic family—his father, Yoshio Fukuyama, was a Protestant minister and sociologist, and his mother, Toshiko Kawata, was the daughter of a prominent Japanese economist—Fukuyama grew up in an intellectually rich environment that emphasized inquiry, discipline, and cultural curiosity. Raised primarily in New York, he attended the prestigious Cornell University, where he initially studied classics and linguistics before shifting to political science under the mentorship of Allan Bloom, whose Straussian influence left a lasting imprint on Fukuyama’s intellectual orientation.</w:t>
      </w:r>
    </w:p>
    <w:p w14:paraId="309BA8DC">
      <w:pPr>
        <w:pStyle w:val="13"/>
        <w:spacing w:line="480" w:lineRule="auto"/>
        <w:jc w:val="both"/>
      </w:pPr>
      <w:r>
        <w:t>Fukuyama pursued his doctoral studies at Harvard University under the supervision of Samuel P. Huntington and Harvey Mansfield. This distinctive intellectual lineage—combining Huntington’s civilizational realism with Mansfield’s classical political philosophy—helped shape Fukuyama’s lifelong preoccupation with the foundations of political order, the moral underpinnings of institutions, and the grand patterns of world history. After completing his PhD, he joined the RAND Corporation, where he spent nearly a decade analyzing Middle Eastern politics, Soviet foreign policy, and questions of democratization.</w:t>
      </w:r>
    </w:p>
    <w:p w14:paraId="5EA9BA84">
      <w:pPr>
        <w:pStyle w:val="13"/>
        <w:spacing w:line="480" w:lineRule="auto"/>
        <w:jc w:val="both"/>
      </w:pPr>
      <w:r>
        <w:t xml:space="preserve">Fukuyama rose to international prominence with his 1989 essay “The End of History?”, written in the wake of the Soviet Union’s collapse, and later expanded into the 1992 book </w:t>
      </w:r>
      <w:r>
        <w:rPr>
          <w:rStyle w:val="8"/>
        </w:rPr>
        <w:t>The End of History and the Last Man</w:t>
      </w:r>
      <w:r>
        <w:t>. Drawing loosely on Hegel and Alexandre Kojève, Fukuyama argued that liberal democracy represented the final stage in humanity’s ideological evolution. This thesis positioned him at the center of global debates on democracy, capitalism, and post–Cold War order. Although widely misinterpreted as a triumphalist claim, Fukuyama has consistently emphasized that his argument concerns the exhaustion of viable ideological alternatives, not the perfection of liberal societies.</w:t>
      </w:r>
      <w:r>
        <w:rPr>
          <w:rStyle w:val="10"/>
        </w:rPr>
        <w:footnoteReference w:id="17"/>
      </w:r>
    </w:p>
    <w:p w14:paraId="30653571">
      <w:pPr>
        <w:pStyle w:val="13"/>
        <w:spacing w:line="480" w:lineRule="auto"/>
        <w:jc w:val="both"/>
      </w:pPr>
      <w:r>
        <w:t xml:space="preserve">Following his early fame, Fukuyama became increasingly concerned with the institutional preconditions of stable political orders—especially state capacity, the rule of law, and accountability. This intellectual turn culminated in his monumental two-volume project: </w:t>
      </w:r>
      <w:r>
        <w:rPr>
          <w:rStyle w:val="8"/>
        </w:rPr>
        <w:t>The Origins of Political Order</w:t>
      </w:r>
      <w:r>
        <w:t xml:space="preserve"> (2011) and </w:t>
      </w:r>
      <w:r>
        <w:rPr>
          <w:rStyle w:val="8"/>
        </w:rPr>
        <w:t>Political Order and Political Decay</w:t>
      </w:r>
      <w:r>
        <w:t xml:space="preserve"> (2014). These works represent some of the most ambitious comparative studies of governance ever written, tracing political development from prehistoric kinship structures to modern bureaucratic states. In them, Fukuyama argues that strong, impersonal, and accountable institutions—rather than culture, geography, or economics alone—explain why some nations reach “Denmark” (his metaphor for high-quality governance) while others stagnate.</w:t>
      </w:r>
    </w:p>
    <w:p w14:paraId="35C00193">
      <w:pPr>
        <w:pStyle w:val="13"/>
        <w:spacing w:line="480" w:lineRule="auto"/>
        <w:jc w:val="both"/>
      </w:pPr>
      <w:r>
        <w:t>Fukuyama has held professorial appointments at the Johns Hopkins School of Advanced International Studies (SAIS), Stanford University’s Freeman Spogli Institute, and Stanford’s Center on Democracy, Development, and the Rule of Law (CDDRL), which he directed. He is a member of numerous international think tanks, advisory boards, and academic societies, and remains deeply engaged in debates on development, identity, populism, and the future of democracy.</w:t>
      </w:r>
    </w:p>
    <w:p w14:paraId="582D1AD7">
      <w:pPr>
        <w:pStyle w:val="13"/>
        <w:spacing w:line="480" w:lineRule="auto"/>
        <w:jc w:val="both"/>
      </w:pPr>
      <w:r>
        <w:t>A prolific writer and public intellectual, Fukuyama continues to shape scholarly and policy conversations worldwide. His career embodies a rare combination of theoretical depth, historical sweep, and policy relevance—qualities that have secured his place as one of the defining political thinkers of the modern era.</w:t>
      </w:r>
    </w:p>
    <w:p w14:paraId="4FF866E1">
      <w:pPr>
        <w:pStyle w:val="16"/>
        <w:pBdr>
          <w:bottom w:val="single" w:color="4472C4" w:themeColor="accent1" w:sz="8" w:space="0"/>
        </w:pBdr>
        <w:spacing w:line="480" w:lineRule="auto"/>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4.0  The State of Nature: Francis Fukuyama in Contrast with Hobbes, Locke, and Rousseau</w:t>
      </w:r>
    </w:p>
    <w:p w14:paraId="57DC3401">
      <w:pPr>
        <w:pStyle w:val="16"/>
        <w:pBdr>
          <w:bottom w:val="single" w:color="4472C4" w:themeColor="accent1" w:sz="8" w:space="0"/>
        </w:pBdr>
        <w:spacing w:line="480" w:lineRule="auto"/>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sz w:val="24"/>
          <w:szCs w:val="24"/>
        </w:rPr>
        <w:t>The concept of the state of nature has served as a cornerstone in the study of political philosophy, shaping the understanding of humanity’s original condition and the origins of government.</w:t>
      </w:r>
    </w:p>
    <w:p w14:paraId="6AA79ECC">
      <w:pPr>
        <w:spacing w:line="480" w:lineRule="auto"/>
        <w:jc w:val="both"/>
        <w:rPr>
          <w:rFonts w:ascii="Times New Roman" w:hAnsi="Times New Roman" w:cs="Times New Roman"/>
          <w:sz w:val="24"/>
          <w:szCs w:val="24"/>
        </w:rPr>
      </w:pPr>
      <w:r>
        <w:rPr>
          <w:rFonts w:ascii="Times New Roman" w:hAnsi="Times New Roman" w:cs="Times New Roman"/>
          <w:sz w:val="24"/>
          <w:szCs w:val="24"/>
        </w:rPr>
        <w:t>The notion of the “</w:t>
      </w:r>
      <w:r>
        <w:rPr>
          <w:rFonts w:ascii="Times New Roman" w:hAnsi="Times New Roman" w:cs="Times New Roman"/>
          <w:b/>
          <w:bCs/>
          <w:i/>
          <w:iCs/>
          <w:sz w:val="24"/>
          <w:szCs w:val="24"/>
        </w:rPr>
        <w:t>state of nature</w:t>
      </w:r>
      <w:r>
        <w:rPr>
          <w:rFonts w:ascii="Times New Roman" w:hAnsi="Times New Roman" w:cs="Times New Roman"/>
          <w:sz w:val="24"/>
          <w:szCs w:val="24"/>
        </w:rPr>
        <w:t>” has long intrigued political philosophers who sought to understand the origins of political order and legitimate authority. It functions as a conceptual device that allows thinkers to imagine human existence before the establishment of society, law, and government.</w:t>
      </w:r>
    </w:p>
    <w:p w14:paraId="35C3E4E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Thomas Hobbes, John Locke, and Jean-Jacques Rousseau each offered distinctive depictions of this early human condition, using it to justify their theories of government and morality. In contrast, Francis Fukuyama, a contemporary political scientist, reinterprets the idea not as a speculative hypothesis but as a historical and evolutionary reality. In The Origins of Political Order, Fukuyama describes how prehuman and early human societies transitioned from kin-based communities to complex, impersonal states.</w:t>
      </w:r>
      <w:r>
        <w:rPr>
          <w:rStyle w:val="10"/>
          <w:rFonts w:ascii="Times New Roman" w:hAnsi="Times New Roman" w:cs="Times New Roman"/>
          <w:sz w:val="24"/>
          <w:szCs w:val="24"/>
        </w:rPr>
        <w:footnoteReference w:id="18"/>
      </w:r>
      <w:r>
        <w:rPr>
          <w:rFonts w:ascii="Times New Roman" w:hAnsi="Times New Roman" w:cs="Times New Roman"/>
          <w:sz w:val="24"/>
          <w:szCs w:val="24"/>
        </w:rPr>
        <w:t xml:space="preserve"> This approach grounds the discussion of the state of nature in empirical evidence drawn from anthropology, biology, and archaeology, rather than abstract reasoning.</w:t>
      </w:r>
    </w:p>
    <w:p w14:paraId="37304F66">
      <w:pPr>
        <w:pStyle w:val="2"/>
        <w:spacing w:line="48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4.1 Hobbes and the State of Nature as War</w:t>
      </w:r>
    </w:p>
    <w:p w14:paraId="5C6E4216">
      <w:pPr>
        <w:spacing w:line="480" w:lineRule="auto"/>
        <w:jc w:val="both"/>
        <w:rPr>
          <w:rFonts w:ascii="Times New Roman" w:hAnsi="Times New Roman" w:cs="Times New Roman"/>
          <w:sz w:val="24"/>
          <w:szCs w:val="24"/>
        </w:rPr>
      </w:pPr>
      <w:r>
        <w:rPr>
          <w:rFonts w:ascii="Times New Roman" w:hAnsi="Times New Roman" w:cs="Times New Roman"/>
          <w:sz w:val="24"/>
          <w:szCs w:val="24"/>
        </w:rPr>
        <w:t>Thomas Hobbes (1588–1679) presented one of the most pessimistic depictions of human nature in his seminal work Leviathan (1651). Hobbes imagined the state of nature as a condition of perpetual insecurity and conflict, in which individuals, driven by fear and self-preservation, competed for scarce resources. In this natural condition, there was no authority to enforce order or justice. Consequently, life was “solitary, poor, nasty, brutish, and short.”</w:t>
      </w:r>
      <w:r>
        <w:rPr>
          <w:rStyle w:val="10"/>
          <w:rFonts w:ascii="Times New Roman" w:hAnsi="Times New Roman" w:cs="Times New Roman"/>
          <w:sz w:val="24"/>
          <w:szCs w:val="24"/>
        </w:rPr>
        <w:footnoteReference w:id="19"/>
      </w:r>
    </w:p>
    <w:p w14:paraId="5362D6B8">
      <w:pPr>
        <w:spacing w:line="48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Hobbes believed that the equality of power among individuals meant that no person could permanently dominate another, leading to constant fear and mutual suspicion.</w:t>
      </w:r>
      <w:r>
        <w:rPr>
          <w:rStyle w:val="10"/>
          <w:rFonts w:ascii="Times New Roman" w:hAnsi="Times New Roman" w:cs="Times New Roman"/>
          <w:sz w:val="24"/>
          <w:szCs w:val="24"/>
        </w:rPr>
        <w:footnoteReference w:id="20"/>
      </w:r>
      <w:r>
        <w:rPr>
          <w:rFonts w:ascii="Times New Roman" w:hAnsi="Times New Roman" w:cs="Times New Roman"/>
          <w:sz w:val="24"/>
          <w:szCs w:val="24"/>
        </w:rPr>
        <w:t xml:space="preserve"> To escape this chaos, people collectively consented to a social contract, surrendering their natural liberty to a sovereign who could impose peace and order. The legitimacy of this absolute sovereign lay in his ability to protect subjects from returning to</w:t>
      </w:r>
      <w:bookmarkStart w:id="0" w:name="_GoBack"/>
      <w:bookmarkEnd w:id="0"/>
      <w:r>
        <w:rPr>
          <w:rFonts w:ascii="Times New Roman" w:hAnsi="Times New Roman" w:cs="Times New Roman"/>
          <w:sz w:val="24"/>
          <w:szCs w:val="24"/>
        </w:rPr>
        <w:t xml:space="preserve"> the anarchy of the state of nature.</w:t>
      </w:r>
    </w:p>
    <w:p w14:paraId="11D42272">
      <w:pPr>
        <w:pStyle w:val="2"/>
        <w:spacing w:line="48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4.2 Locke and the State of Nature as Rational Freedom</w:t>
      </w:r>
    </w:p>
    <w:p w14:paraId="123A1B7A">
      <w:pPr>
        <w:spacing w:line="480" w:lineRule="auto"/>
        <w:rPr>
          <w:rFonts w:ascii="Times New Roman" w:hAnsi="Times New Roman" w:cs="Times New Roman"/>
          <w:sz w:val="24"/>
          <w:szCs w:val="24"/>
        </w:rPr>
      </w:pPr>
      <w:r>
        <w:rPr>
          <w:rFonts w:ascii="Times New Roman" w:hAnsi="Times New Roman" w:cs="Times New Roman"/>
          <w:sz w:val="24"/>
          <w:szCs w:val="24"/>
        </w:rPr>
        <w:t xml:space="preserve">John Locke (1632–1704) offered a more optimistic perspective in his </w:t>
      </w:r>
      <w:r>
        <w:rPr>
          <w:rFonts w:ascii="Times New Roman" w:hAnsi="Times New Roman" w:cs="Times New Roman"/>
          <w:b/>
          <w:bCs/>
          <w:i/>
          <w:iCs/>
          <w:sz w:val="24"/>
          <w:szCs w:val="24"/>
        </w:rPr>
        <w:t>Second Treatise of Government</w:t>
      </w:r>
      <w:r>
        <w:rPr>
          <w:rFonts w:ascii="Times New Roman" w:hAnsi="Times New Roman" w:cs="Times New Roman"/>
          <w:sz w:val="24"/>
          <w:szCs w:val="24"/>
        </w:rPr>
        <w:t xml:space="preserve"> (1689). According to Locke, the state of nature was a condition of natural freedom and equality, where individuals possessed inherent rights to “life, liberty, and property.”</w:t>
      </w:r>
      <w:r>
        <w:rPr>
          <w:rStyle w:val="10"/>
          <w:rFonts w:ascii="Times New Roman" w:hAnsi="Times New Roman" w:cs="Times New Roman"/>
          <w:sz w:val="24"/>
          <w:szCs w:val="24"/>
        </w:rPr>
        <w:footnoteReference w:id="21"/>
      </w:r>
      <w:r>
        <w:rPr>
          <w:rFonts w:ascii="Times New Roman" w:hAnsi="Times New Roman" w:cs="Times New Roman"/>
          <w:sz w:val="24"/>
          <w:szCs w:val="24"/>
        </w:rPr>
        <w:t xml:space="preserve"> This condition was governed by the law of nature, which dictated that no person ought to harm another in their life, health, or possessions.</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However, Locke acknowledged that, in practice, the state of nature was unstable because individuals lacked an impartial authority to enforce these natural laws. Disputes over property and justice could therefore lead to conflict.</w:t>
      </w:r>
      <w:r>
        <w:rPr>
          <w:rStyle w:val="10"/>
          <w:rFonts w:ascii="Times New Roman" w:hAnsi="Times New Roman" w:cs="Times New Roman"/>
          <w:sz w:val="24"/>
          <w:szCs w:val="24"/>
        </w:rPr>
        <w:footnoteReference w:id="22"/>
      </w:r>
      <w:r>
        <w:rPr>
          <w:rFonts w:ascii="Times New Roman" w:hAnsi="Times New Roman" w:cs="Times New Roman"/>
          <w:sz w:val="24"/>
          <w:szCs w:val="24"/>
        </w:rPr>
        <w:t xml:space="preserve"> To resolve this, people voluntarily formed governments through a social contract—not to surrender all their rights, as in Hobbes’s model, but to better protect them.</w:t>
      </w:r>
    </w:p>
    <w:p w14:paraId="5A3CC34D">
      <w:pPr>
        <w:pStyle w:val="2"/>
        <w:spacing w:line="48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4.3 Rousseau and the Noble Savage</w:t>
      </w:r>
    </w:p>
    <w:p w14:paraId="681D52B6">
      <w:pPr>
        <w:spacing w:line="480" w:lineRule="auto"/>
        <w:rPr>
          <w:rFonts w:ascii="Times New Roman" w:hAnsi="Times New Roman" w:cs="Times New Roman"/>
          <w:sz w:val="24"/>
          <w:szCs w:val="24"/>
        </w:rPr>
      </w:pPr>
      <w:r>
        <w:rPr>
          <w:rFonts w:ascii="Times New Roman" w:hAnsi="Times New Roman" w:cs="Times New Roman"/>
          <w:sz w:val="24"/>
          <w:szCs w:val="24"/>
        </w:rPr>
        <w:t>Jean-Jacques Rousseau (1712–1778) radically reimagined the state of nature in his Discourse on the Origin and Foundations of Inequality Among Men (1755). Rousseau argued that early humans were peaceful, self-sufficient, and compassionate, guided by basic instincts of self-preservation and pity rather than reason.</w:t>
      </w:r>
      <w:r>
        <w:rPr>
          <w:rStyle w:val="10"/>
          <w:rFonts w:ascii="Times New Roman" w:hAnsi="Times New Roman" w:cs="Times New Roman"/>
          <w:sz w:val="24"/>
          <w:szCs w:val="24"/>
        </w:rPr>
        <w:footnoteReference w:id="23"/>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He believed that the natural state was a time of innocence and equality. However, the development of society, language, and property led to comparison, envy, and inequality. “The first man who, having enclosed a piece of ground, thought of saying ‘this is mine’ and found people simple enough to believe him, was the true founder of civil society.”</w:t>
      </w:r>
      <w:r>
        <w:rPr>
          <w:rStyle w:val="10"/>
          <w:rFonts w:ascii="Times New Roman" w:hAnsi="Times New Roman" w:cs="Times New Roman"/>
          <w:sz w:val="24"/>
          <w:szCs w:val="24"/>
        </w:rPr>
        <w:footnoteReference w:id="24"/>
      </w:r>
      <w:r>
        <w:rPr>
          <w:rFonts w:ascii="Times New Roman" w:hAnsi="Times New Roman" w:cs="Times New Roman"/>
          <w:sz w:val="24"/>
          <w:szCs w:val="24"/>
        </w:rPr>
        <w:t xml:space="preserve"> For Rousseau, it was civilization—not nature—that corrupted humankind.</w:t>
      </w:r>
    </w:p>
    <w:p w14:paraId="47FB05FB">
      <w:pPr>
        <w:pStyle w:val="2"/>
        <w:spacing w:line="48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4.4 Fukuyama and the Evolutionary State of Nature</w:t>
      </w:r>
    </w:p>
    <w:p w14:paraId="7478ACEA">
      <w:pPr>
        <w:spacing w:line="480" w:lineRule="auto"/>
        <w:jc w:val="both"/>
        <w:rPr>
          <w:rFonts w:ascii="Times New Roman" w:hAnsi="Times New Roman" w:cs="Times New Roman"/>
          <w:sz w:val="24"/>
          <w:szCs w:val="24"/>
        </w:rPr>
      </w:pPr>
      <w:r>
        <w:rPr>
          <w:rFonts w:ascii="Times New Roman" w:hAnsi="Times New Roman" w:cs="Times New Roman"/>
          <w:sz w:val="24"/>
          <w:szCs w:val="24"/>
        </w:rPr>
        <w:t>Francis Fukuyama (b. 1952) approaches the state of nature from an empirical, interdisciplinary perspective. In The Origins of Political Order, he explores how pre-state societies evolved over millennia, transforming kin-based communities into centralized political institutions.</w:t>
      </w:r>
      <w:r>
        <w:rPr>
          <w:rStyle w:val="10"/>
          <w:rFonts w:ascii="Times New Roman" w:hAnsi="Times New Roman" w:cs="Times New Roman"/>
          <w:sz w:val="24"/>
          <w:szCs w:val="24"/>
        </w:rPr>
        <w:footnoteReference w:id="25"/>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For Fukuyama, the “state of nature” refers to the period when human societies were organized primarily around kinship networks blood relations and reciprocal obligations. Leadership in such societies was personal and limited: chiefs and elders held authority based on family lineage rather than formal law.</w:t>
      </w:r>
      <w:r>
        <w:rPr>
          <w:rStyle w:val="10"/>
          <w:rFonts w:ascii="Times New Roman" w:hAnsi="Times New Roman" w:cs="Times New Roman"/>
          <w:sz w:val="24"/>
          <w:szCs w:val="24"/>
        </w:rPr>
        <w:footnoteReference w:id="26"/>
      </w:r>
      <w:r>
        <w:rPr>
          <w:rFonts w:ascii="Times New Roman" w:hAnsi="Times New Roman" w:cs="Times New Roman"/>
          <w:sz w:val="24"/>
          <w:szCs w:val="24"/>
        </w:rPr>
        <w:t xml:space="preserve"> These kin-based systems, though effective for small groups, constrained social cooperation on a larger scale. </w:t>
      </w:r>
    </w:p>
    <w:p w14:paraId="6157498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He argues that there was never a period in human evolution when human beings existed as isolated individuals; the primate precursors of the human species had already developed extensive social, and indeed political, skills; and the human brain is hardwired with faculties that facilitate many forms of social cooperation. Human beings according to him do not enter into society and political life as a result of conscious, rational decision. Communal organization comes to them naturally, though the specific ways they cooperate are shaped by environment, ideas, and culture. He says that this form of cooperation came in two behaviors: </w:t>
      </w:r>
      <w:r>
        <w:rPr>
          <w:rFonts w:ascii="Times New Roman" w:hAnsi="Times New Roman" w:cs="Times New Roman"/>
          <w:b/>
          <w:bCs/>
          <w:sz w:val="24"/>
          <w:szCs w:val="24"/>
        </w:rPr>
        <w:t xml:space="preserve">kin selection [genetic altruism] </w:t>
      </w:r>
      <w:r>
        <w:rPr>
          <w:rFonts w:ascii="Times New Roman" w:hAnsi="Times New Roman" w:cs="Times New Roman"/>
          <w:sz w:val="24"/>
          <w:szCs w:val="24"/>
        </w:rPr>
        <w:t xml:space="preserve">and </w:t>
      </w:r>
      <w:r>
        <w:rPr>
          <w:rFonts w:ascii="Times New Roman" w:hAnsi="Times New Roman" w:cs="Times New Roman"/>
          <w:b/>
          <w:bCs/>
          <w:sz w:val="24"/>
          <w:szCs w:val="24"/>
        </w:rPr>
        <w:t>reciprocal altruism.</w:t>
      </w:r>
      <w:r>
        <w:rPr>
          <w:rStyle w:val="10"/>
          <w:rFonts w:ascii="Times New Roman" w:hAnsi="Times New Roman" w:cs="Times New Roman"/>
          <w:b/>
          <w:bCs/>
          <w:sz w:val="24"/>
          <w:szCs w:val="24"/>
        </w:rPr>
        <w:footnoteReference w:id="27"/>
      </w:r>
      <w:r>
        <w:rPr>
          <w:rFonts w:ascii="Times New Roman" w:hAnsi="Times New Roman" w:cs="Times New Roman"/>
          <w:sz w:val="24"/>
          <w:szCs w:val="24"/>
        </w:rPr>
        <w:t xml:space="preserve"> The first which holds that individuals of any sexually reproducing species will behave altruistically toward kin in proportion to the number of genes they share</w:t>
      </w:r>
      <w:r>
        <w:rPr>
          <w:rStyle w:val="10"/>
          <w:rFonts w:ascii="Times New Roman" w:hAnsi="Times New Roman" w:cs="Times New Roman"/>
          <w:sz w:val="24"/>
          <w:szCs w:val="24"/>
        </w:rPr>
        <w:footnoteReference w:id="28"/>
      </w:r>
      <w:r>
        <w:rPr>
          <w:rFonts w:ascii="Times New Roman" w:hAnsi="Times New Roman" w:cs="Times New Roman"/>
          <w:sz w:val="24"/>
          <w:szCs w:val="24"/>
        </w:rPr>
        <w:t xml:space="preserve"> . This behavior has been observed in species ranging from ground squirrels, which discriminate between full and half sisters in nesting behavior, to human beings, for whom nepotism is not only a socially but a biologically grounded reality. The desire to pass resources on to kin is one of the most enduring constants in human politics. The later, reciprocal altruism representing a cooperation involving a gain for gain situation, I scratch your back and you scratch mine. Reciprocal altruism occurs in a wide variety of species besides human beings. Vampire bats and baboons have been observed feeding and protecting offspring within a colony not their own, while in some cases like cleaner fish and the fish they clean, bonds of reciprocity exist between completely different species.</w:t>
      </w:r>
      <w:r>
        <w:rPr>
          <w:rStyle w:val="10"/>
          <w:rFonts w:ascii="Times New Roman" w:hAnsi="Times New Roman" w:cs="Times New Roman"/>
          <w:sz w:val="24"/>
          <w:szCs w:val="24"/>
        </w:rPr>
        <w:footnoteReference w:id="29"/>
      </w:r>
    </w:p>
    <w:p w14:paraId="04213D50">
      <w:pPr>
        <w:spacing w:line="480" w:lineRule="auto"/>
        <w:jc w:val="both"/>
        <w:rPr>
          <w:rFonts w:ascii="Times New Roman" w:hAnsi="Times New Roman" w:cs="Times New Roman"/>
          <w:sz w:val="24"/>
          <w:szCs w:val="24"/>
        </w:rPr>
      </w:pPr>
      <w:r>
        <w:rPr>
          <w:rFonts w:ascii="Times New Roman" w:hAnsi="Times New Roman" w:cs="Times New Roman"/>
          <w:sz w:val="24"/>
          <w:szCs w:val="24"/>
        </w:rPr>
        <w:t>Political order, in Fukuyama’s account, began when humans developed institutions that transcended kinship. The earliest states, such as ancient China, succeeded because they established impersonal bureaucracies that replaced personal loyalty with institutional obedience.</w:t>
      </w:r>
      <w:r>
        <w:rPr>
          <w:rStyle w:val="10"/>
          <w:rFonts w:ascii="Times New Roman" w:hAnsi="Times New Roman" w:cs="Times New Roman"/>
          <w:sz w:val="24"/>
          <w:szCs w:val="24"/>
        </w:rPr>
        <w:footnoteReference w:id="30"/>
      </w:r>
      <w:r>
        <w:rPr>
          <w:rFonts w:ascii="Times New Roman" w:hAnsi="Times New Roman" w:cs="Times New Roman"/>
          <w:sz w:val="24"/>
          <w:szCs w:val="24"/>
        </w:rPr>
        <w:t xml:space="preserve"> In this sense, the state of nature is not a hypothetical beginning but a historical stage of social evolution.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Fukuyama draws heavily on anthropology and evolutionary biology. He argues that human cooperation is rooted in biological instincts—humans are “naturally social animals” who evolved to trust and help kin. Yet this same instinct also explains nepotism and corruption in modern states: personal loyalty often undermines impersonal governance.</w:t>
      </w:r>
      <w:r>
        <w:rPr>
          <w:rStyle w:val="10"/>
          <w:rFonts w:ascii="Times New Roman" w:hAnsi="Times New Roman" w:cs="Times New Roman"/>
          <w:sz w:val="24"/>
          <w:szCs w:val="24"/>
        </w:rPr>
        <w:footnoteReference w:id="31"/>
      </w:r>
      <w:r>
        <w:rPr>
          <w:rFonts w:ascii="Times New Roman" w:hAnsi="Times New Roman" w:cs="Times New Roman"/>
          <w:sz w:val="24"/>
          <w:szCs w:val="24"/>
        </w:rPr>
        <w:t xml:space="preserve"> Thus, political development depends on overcoming biological and social constraints inherited from humanity’s tribal past.</w:t>
      </w:r>
    </w:p>
    <w:p w14:paraId="0A39D259">
      <w:pPr>
        <w:pStyle w:val="2"/>
        <w:spacing w:line="480" w:lineRule="auto"/>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4.5 Comparative Analysis : Hobbes, Locke, Rousseau and Fukuyama</w:t>
      </w:r>
    </w:p>
    <w:p w14:paraId="65453EE6">
      <w:pPr>
        <w:spacing w:line="480" w:lineRule="auto"/>
        <w:rPr>
          <w:rFonts w:ascii="Times New Roman" w:hAnsi="Times New Roman" w:cs="Times New Roman"/>
          <w:sz w:val="24"/>
          <w:szCs w:val="24"/>
        </w:rPr>
      </w:pPr>
      <w:r>
        <w:rPr>
          <w:rFonts w:ascii="Times New Roman" w:hAnsi="Times New Roman" w:cs="Times New Roman"/>
          <w:sz w:val="24"/>
          <w:szCs w:val="24"/>
        </w:rPr>
        <w:t>The key distinction between Fukuyama and the classical philosophers is that Fukuyama treats the state of nature as historical, while Hobbes, Locke, and Rousseau treat it as hypothetical. Hobbes and Locke use it as a rational device to justify government; Rousseau uses it to critique civilization. Fukuyama, by contrast, bases his theory on archaeological and anthropological evidence of early human societies.</w:t>
      </w:r>
      <w:r>
        <w:rPr>
          <w:rStyle w:val="10"/>
          <w:rFonts w:ascii="Times New Roman" w:hAnsi="Times New Roman" w:cs="Times New Roman"/>
          <w:sz w:val="24"/>
          <w:szCs w:val="24"/>
        </w:rPr>
        <w:footnoteReference w:id="32"/>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 xml:space="preserve">For Hobbes, human beings are self-interested and fearful; for Locke, rational and cooperative; for Rousseau, compassionate but corruptible. Fukuyama synthesizes these views, grounding human behavior in evolutionary psychology. He argues that humans are capable of both altruism and violence, depending on the social context.  </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In classical theory, the state arises through a social contract—a deliberate act of collective consent. For Fukuyama, it emerges gradually, driven by necessity, warfare, and adaptation.  Early societies learned through experience that impersonal institutions were more efficient for survival and stability.</w:t>
      </w:r>
    </w:p>
    <w:p w14:paraId="6A832528">
      <w:pPr>
        <w:spacing w:line="480" w:lineRule="auto"/>
        <w:rPr>
          <w:rFonts w:ascii="Times New Roman" w:hAnsi="Times New Roman" w:cs="Times New Roman"/>
          <w:sz w:val="24"/>
          <w:szCs w:val="24"/>
        </w:rPr>
      </w:pPr>
      <w:r>
        <w:rPr>
          <w:rFonts w:ascii="Times New Roman" w:hAnsi="Times New Roman" w:cs="Times New Roman"/>
          <w:sz w:val="24"/>
          <w:szCs w:val="24"/>
        </w:rPr>
        <w:t>Hobbes, Locke, and Rousseau each used the state of nature to explore the moral and political foundations of society. Hobbes viewed it as a warlike condition justifying absolute authority; Locke as a rational but insecure equality leading to limited government; Rousseau as an innocent simplicity corrupted by civilization.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Francis Fukuyama, by contrast, transforms the concept from philosophical speculation into a historical reality. His state of nature is the evolutionary stage of human society, characterized by kin-based organization and personal authority. Political order arises not from a contract but from the gradual emergence of impersonal institutions that transcend biology and kinship. By combining insights from history, anthropology, and political theory, Fukuyama offers a powerful new lens for understanding humanity’s long journey from tribal societies to complex states. His work demonstrates that the origins of political order lie not only in ideas or agreements but in the slow, adaptive evolution of human cooperation.</w:t>
      </w:r>
    </w:p>
    <w:p w14:paraId="0C91CFDA">
      <w:pPr>
        <w:spacing w:line="48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5.0 THE PILLARS OF POLITICAL INSTITUTIONS </w:t>
      </w:r>
    </w:p>
    <w:p w14:paraId="0BD35EC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problem of creating modern political institutions has been described as the problem of </w:t>
      </w:r>
      <w:r>
        <w:rPr>
          <w:rFonts w:ascii="Times New Roman" w:hAnsi="Times New Roman" w:cs="Times New Roman"/>
          <w:b/>
          <w:bCs/>
          <w:i/>
          <w:iCs/>
          <w:sz w:val="24"/>
          <w:szCs w:val="24"/>
        </w:rPr>
        <w:t>"getting to Denmark”</w:t>
      </w:r>
      <w:r>
        <w:rPr>
          <w:rStyle w:val="10"/>
          <w:rFonts w:ascii="Times New Roman" w:hAnsi="Times New Roman" w:cs="Times New Roman"/>
          <w:b/>
          <w:bCs/>
          <w:i/>
          <w:iCs/>
          <w:sz w:val="24"/>
          <w:szCs w:val="24"/>
        </w:rPr>
        <w:footnoteReference w:id="33"/>
      </w:r>
      <w:r>
        <w:rPr>
          <w:rFonts w:ascii="Times New Roman" w:hAnsi="Times New Roman" w:cs="Times New Roman"/>
          <w:sz w:val="24"/>
          <w:szCs w:val="24"/>
        </w:rPr>
        <w:t xml:space="preserve">. For people in developed countries, "Denmark" is a mythical place that is known to have good political and economic institutions: it is stable, democratic, peaceful, prosperous, inclusive, and has extremely low levels of political corruption. Everyone would like to figure out how to transform Somalia, Haiti, Nigeria, Iraq, or Afghanistan into "Denmark," and the international development community has long lists of presumed Denmark like attributes that they are trying to help failed states achieve. The struggle to create modern political institutions was so long and so painful that people living in industrialized countries now suffer from a historical amnesia regarding how their societies came to that point in the first place. </w:t>
      </w:r>
    </w:p>
    <w:p w14:paraId="2A87AC85">
      <w:pPr>
        <w:spacing w:line="480" w:lineRule="auto"/>
        <w:jc w:val="both"/>
        <w:rPr>
          <w:rFonts w:ascii="Times New Roman" w:hAnsi="Times New Roman" w:cs="Times New Roman"/>
          <w:sz w:val="24"/>
          <w:szCs w:val="24"/>
        </w:rPr>
      </w:pPr>
      <w:r>
        <w:rPr>
          <w:rFonts w:ascii="Times New Roman" w:hAnsi="Times New Roman" w:cs="Times New Roman"/>
          <w:sz w:val="24"/>
          <w:szCs w:val="24"/>
        </w:rPr>
        <w:t>The three categories or pillars of institutions necessary to be present in getting to the mythical Denmark  in question are as follows</w:t>
      </w:r>
    </w:p>
    <w:p w14:paraId="3077F751">
      <w:pPr>
        <w:pStyle w:val="21"/>
        <w:numPr>
          <w:ilvl w:val="0"/>
          <w:numId w:val="1"/>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The State.</w:t>
      </w:r>
    </w:p>
    <w:p w14:paraId="5764B087">
      <w:pPr>
        <w:pStyle w:val="21"/>
        <w:numPr>
          <w:ilvl w:val="0"/>
          <w:numId w:val="1"/>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rule of law. </w:t>
      </w:r>
    </w:p>
    <w:p w14:paraId="799C398E">
      <w:pPr>
        <w:pStyle w:val="21"/>
        <w:numPr>
          <w:ilvl w:val="0"/>
          <w:numId w:val="1"/>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The Institutions of accountability.</w:t>
      </w:r>
    </w:p>
    <w:p w14:paraId="35DCFB80">
      <w:pPr>
        <w:spacing w:line="480" w:lineRule="auto"/>
        <w:jc w:val="both"/>
        <w:rPr>
          <w:rFonts w:ascii="Times New Roman" w:hAnsi="Times New Roman" w:cs="Times New Roman"/>
          <w:sz w:val="24"/>
          <w:szCs w:val="24"/>
        </w:rPr>
      </w:pPr>
      <w:r>
        <w:rPr>
          <w:rFonts w:ascii="Times New Roman" w:hAnsi="Times New Roman" w:cs="Times New Roman"/>
          <w:sz w:val="24"/>
          <w:szCs w:val="24"/>
        </w:rPr>
        <w:t>We shall now delve into these institutions to see their progress through history.</w:t>
      </w:r>
    </w:p>
    <w:p w14:paraId="5ED51B0A">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5.1 THE STATE BUILDING</w:t>
      </w:r>
    </w:p>
    <w:p w14:paraId="39CE1082">
      <w:pPr>
        <w:spacing w:line="480" w:lineRule="auto"/>
        <w:jc w:val="both"/>
        <w:rPr>
          <w:rFonts w:ascii="Times New Roman" w:hAnsi="Times New Roman" w:cs="Times New Roman"/>
          <w:sz w:val="24"/>
          <w:szCs w:val="24"/>
        </w:rPr>
      </w:pPr>
      <w:r>
        <w:rPr>
          <w:rFonts w:ascii="Times New Roman" w:hAnsi="Times New Roman" w:cs="Times New Roman"/>
          <w:sz w:val="24"/>
          <w:szCs w:val="24"/>
        </w:rPr>
        <w:t>According to Fukuyama the state is a “</w:t>
      </w:r>
      <w:r>
        <w:rPr>
          <w:rFonts w:ascii="Times New Roman" w:hAnsi="Times New Roman" w:cs="Times New Roman"/>
          <w:b/>
          <w:bCs/>
          <w:i/>
          <w:iCs/>
          <w:sz w:val="24"/>
          <w:szCs w:val="24"/>
        </w:rPr>
        <w:t>human community that successfully concentrates and claims the monopoly of the legitimate use of power over a given territory</w:t>
      </w:r>
      <w:r>
        <w:rPr>
          <w:rFonts w:ascii="Times New Roman" w:hAnsi="Times New Roman" w:cs="Times New Roman"/>
          <w:sz w:val="24"/>
          <w:szCs w:val="24"/>
        </w:rPr>
        <w:t>”.</w:t>
      </w:r>
      <w:r>
        <w:rPr>
          <w:rStyle w:val="10"/>
          <w:rFonts w:ascii="Times New Roman" w:hAnsi="Times New Roman" w:cs="Times New Roman"/>
          <w:sz w:val="24"/>
          <w:szCs w:val="24"/>
        </w:rPr>
        <w:footnoteReference w:id="34"/>
      </w:r>
      <w:r>
        <w:rPr>
          <w:rFonts w:ascii="Times New Roman" w:hAnsi="Times New Roman" w:cs="Times New Roman"/>
          <w:sz w:val="24"/>
          <w:szCs w:val="24"/>
        </w:rPr>
        <w:t xml:space="preserve"> While the modern state is </w:t>
      </w:r>
      <w:r>
        <w:rPr>
          <w:rFonts w:ascii="Times New Roman" w:hAnsi="Times New Roman" w:cs="Times New Roman"/>
          <w:b/>
          <w:bCs/>
          <w:i/>
          <w:iCs/>
          <w:sz w:val="24"/>
          <w:szCs w:val="24"/>
        </w:rPr>
        <w:t>a centralized and impersonal political organization that exercises a monopoly on legitimate coercive power within a defined territory, and whose authority is based on laws and institutions rather than personal or kinship ties.</w:t>
      </w:r>
      <w:r>
        <w:rPr>
          <w:rFonts w:ascii="Times New Roman" w:hAnsi="Times New Roman" w:cs="Times New Roman"/>
          <w:sz w:val="24"/>
          <w:szCs w:val="24"/>
        </w:rPr>
        <w:t xml:space="preserve"> He explained a modern state as a hierarchical, centralized organization that exercises a monopoly of legitimate force over a defined territory, staffed by a professional and impersonal bureaucracy.</w:t>
      </w:r>
    </w:p>
    <w:p w14:paraId="0B3B616B">
      <w:pPr>
        <w:spacing w:line="480" w:lineRule="auto"/>
        <w:jc w:val="both"/>
        <w:rPr>
          <w:rFonts w:ascii="Times New Roman" w:hAnsi="Times New Roman" w:cs="Times New Roman"/>
          <w:sz w:val="24"/>
          <w:szCs w:val="24"/>
        </w:rPr>
      </w:pPr>
      <w:r>
        <w:rPr>
          <w:rFonts w:ascii="Times New Roman" w:hAnsi="Times New Roman" w:cs="Times New Roman"/>
          <w:sz w:val="24"/>
          <w:szCs w:val="24"/>
        </w:rPr>
        <w:t>He states that the classic theories of modernization written by such towering figures as Karl Marx, Emile Durkheim, Henry Maine, Ferdinand Tonnies, and Max Weber tended to regard the experience of the West as paradigmatic of modernization as such because industrialization took place first in the West, but Fukuyama takes a shift of stance from that citing that although there were earlier examples of states in various ancient kingdoms like Mesopotamia, Egypt, Greece and Rome, but above all these he noted that China was the first country to form what is a modern state in the history of the world.</w:t>
      </w:r>
    </w:p>
    <w:p w14:paraId="501A1AFC">
      <w:pPr>
        <w:spacing w:line="480" w:lineRule="auto"/>
        <w:jc w:val="both"/>
        <w:rPr>
          <w:rFonts w:ascii="Times New Roman" w:hAnsi="Times New Roman" w:cs="Times New Roman"/>
          <w:sz w:val="24"/>
          <w:szCs w:val="24"/>
        </w:rPr>
      </w:pPr>
    </w:p>
    <w:p w14:paraId="5BCE27F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5.1.1 THE MODERN CHINA STATE EVOLUTION: CHINESE TRIBALISM</w:t>
      </w:r>
      <w:r>
        <w:rPr>
          <w:rFonts w:ascii="Times New Roman" w:hAnsi="Times New Roman" w:cs="Times New Roman"/>
          <w:sz w:val="24"/>
          <w:szCs w:val="24"/>
        </w:rPr>
        <w:t>,</w:t>
      </w:r>
    </w:p>
    <w:p w14:paraId="04FD243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Tribalism has existed in China from the beginning of its recorded history. One of the great constants in Chinese history is the importance of family and kinship to social organization. Kinship in Chinese society is strictly patrilineal or agnatic. As in other agnatic societies, succession and inheritance pass only through males. A woman was not considered a permanent part of her own lineage but is rather a resource to be used by the family in arranging alliances with other important </w:t>
      </w:r>
    </w:p>
    <w:p w14:paraId="43B2F4A9">
      <w:pPr>
        <w:pStyle w:val="13"/>
        <w:spacing w:line="480" w:lineRule="auto"/>
        <w:jc w:val="both"/>
      </w:pPr>
      <w:r>
        <w:t xml:space="preserve">Francis Fukuyama’s </w:t>
      </w:r>
      <w:r>
        <w:rPr>
          <w:rStyle w:val="8"/>
        </w:rPr>
        <w:t>The Origins of Political Order</w:t>
      </w:r>
      <w:r>
        <w:t xml:space="preserve"> traces how ancient China achieved the world’s first impersonal and bureaucratic state, emerging from a primordial order based on kinship.</w:t>
      </w:r>
      <w:r>
        <w:rPr>
          <w:rStyle w:val="10"/>
        </w:rPr>
        <w:footnoteReference w:id="35"/>
      </w:r>
      <w:r>
        <w:t xml:space="preserve"> Through a complex process of warfare, economic expansion, and philosophical innovation, China transitioned from clan-based rule to centralized administration—a transformation that set the pattern for political organization for millennia. Yet, as Fukuyama also shows, the same institutions that built stability eventually succumbed to decay as patrimonial tendencies reasserted themselves.</w:t>
      </w:r>
    </w:p>
    <w:p w14:paraId="4360D98D">
      <w:pPr>
        <w:pStyle w:val="4"/>
        <w:spacing w:line="480" w:lineRule="auto"/>
        <w:jc w:val="both"/>
      </w:pPr>
      <w:r>
        <w:rPr>
          <w:rStyle w:val="14"/>
          <w:b/>
          <w:bCs/>
        </w:rPr>
        <w:t>5.1.2 Kinship and the Early Chinese Social Order</w:t>
      </w:r>
    </w:p>
    <w:p w14:paraId="7586CE1C">
      <w:pPr>
        <w:pStyle w:val="13"/>
        <w:spacing w:line="480" w:lineRule="auto"/>
        <w:jc w:val="both"/>
      </w:pPr>
      <w:r>
        <w:t xml:space="preserve">In the Neolithic and early Bronze Age periods, Chinese society revolved around </w:t>
      </w:r>
      <w:r>
        <w:rPr>
          <w:rStyle w:val="14"/>
        </w:rPr>
        <w:t>kinship networks</w:t>
      </w:r>
      <w:r>
        <w:t xml:space="preserve"> known as </w:t>
      </w:r>
      <w:r>
        <w:rPr>
          <w:rStyle w:val="8"/>
          <w:b/>
          <w:bCs/>
        </w:rPr>
        <w:t>zu</w:t>
      </w:r>
      <w:r>
        <w:rPr>
          <w:b/>
          <w:bCs/>
        </w:rPr>
        <w:t xml:space="preserve"> </w:t>
      </w:r>
      <w:r>
        <w:t xml:space="preserve">or </w:t>
      </w:r>
      <w:r>
        <w:rPr>
          <w:b/>
          <w:bCs/>
        </w:rPr>
        <w:t>clans</w:t>
      </w:r>
      <w:r>
        <w:t>. These extended families controlled both land and religious rituals, making the family the core of political and moral life. Fukuyama notes that “Chinese society, like other early agrarian societies, was built upon the foundation of kinship; the family was both the religious and the political unit of life.”</w:t>
      </w:r>
      <w:r>
        <w:rPr>
          <w:rStyle w:val="10"/>
        </w:rPr>
        <w:footnoteReference w:id="36"/>
      </w:r>
    </w:p>
    <w:p w14:paraId="4F9E0AD9">
      <w:pPr>
        <w:pStyle w:val="13"/>
        <w:spacing w:line="480" w:lineRule="auto"/>
        <w:jc w:val="both"/>
      </w:pPr>
      <w:r>
        <w:t xml:space="preserve">Authority passed through patriarchal lines, and loyalty to one’s lineage outweighed allegiance to any larger polity. Anthropologists like Meyer Fortes and Edward Evans-Pritchard observed similar “segmentary lineage systems” in African societies, where order depended on the balancing of kin groups rather than centralized authority. The earliest Chinese dynasties—the </w:t>
      </w:r>
      <w:r>
        <w:rPr>
          <w:b/>
          <w:bCs/>
          <w:i/>
          <w:iCs/>
        </w:rPr>
        <w:t>Xia, Shang, and Western Zhou</w:t>
      </w:r>
      <w:r>
        <w:t xml:space="preserve">—were federations of noble families united by ritual allegiance but divided by personal interests. The Zhou’s </w:t>
      </w:r>
      <w:r>
        <w:rPr>
          <w:rStyle w:val="8"/>
          <w:b/>
          <w:bCs/>
        </w:rPr>
        <w:t>fengjian</w:t>
      </w:r>
      <w:r>
        <w:t xml:space="preserve"> (feudal allotment) system distributed land to royal kinsmen who ruled semi-autonomously. As long as kinship governed administration, bureaucracy could not emerge; power remained personal, not institutional—a form of patrimonial rule later theorized by Max Weber.</w:t>
      </w:r>
      <w:r>
        <w:rPr>
          <w:rStyle w:val="10"/>
        </w:rPr>
        <w:footnoteReference w:id="37"/>
      </w:r>
    </w:p>
    <w:p w14:paraId="7D12F847">
      <w:pPr>
        <w:pStyle w:val="4"/>
        <w:spacing w:line="480" w:lineRule="auto"/>
        <w:jc w:val="both"/>
      </w:pPr>
      <w:r>
        <w:rPr>
          <w:rStyle w:val="14"/>
          <w:b/>
          <w:bCs/>
        </w:rPr>
        <w:t>5.1.3 The Seeds of State Formation</w:t>
      </w:r>
    </w:p>
    <w:p w14:paraId="5BCBA6A4">
      <w:pPr>
        <w:pStyle w:val="13"/>
        <w:spacing w:line="480" w:lineRule="auto"/>
        <w:jc w:val="both"/>
      </w:pPr>
      <w:r>
        <w:t xml:space="preserve">By the late first millennium BCE, pressures from population growth, technological change, and warfare undermined the kinship order. The invention of iron tools, irrigation, and intensive agriculture increased productivity, allowing rulers to sustain </w:t>
      </w:r>
      <w:r>
        <w:rPr>
          <w:rStyle w:val="14"/>
        </w:rPr>
        <w:t>standing armies</w:t>
      </w:r>
      <w:r>
        <w:t xml:space="preserve"> and employ </w:t>
      </w:r>
      <w:r>
        <w:rPr>
          <w:rStyle w:val="14"/>
        </w:rPr>
        <w:t>professional administrators</w:t>
      </w:r>
      <w:r>
        <w:t>. Fukuyama observes that “economic surplus made it possible to sustain a class of professional administrators who did not depend on kinship for survival.”</w:t>
      </w:r>
      <w:r>
        <w:rPr>
          <w:rStyle w:val="10"/>
        </w:rPr>
        <w:footnoteReference w:id="38"/>
      </w:r>
    </w:p>
    <w:p w14:paraId="242D2E35">
      <w:pPr>
        <w:pStyle w:val="13"/>
        <w:spacing w:line="480" w:lineRule="auto"/>
        <w:jc w:val="both"/>
      </w:pPr>
      <w:r>
        <w:t xml:space="preserve">The resulting </w:t>
      </w:r>
      <w:r>
        <w:rPr>
          <w:rStyle w:val="14"/>
          <w:b w:val="0"/>
          <w:bCs w:val="0"/>
        </w:rPr>
        <w:t>Spring and Autumn</w:t>
      </w:r>
      <w:r>
        <w:t xml:space="preserve"> and </w:t>
      </w:r>
      <w:r>
        <w:rPr>
          <w:rStyle w:val="14"/>
          <w:b w:val="0"/>
          <w:bCs w:val="0"/>
        </w:rPr>
        <w:t>Warring States</w:t>
      </w:r>
      <w:r>
        <w:t xml:space="preserve"> periods (770–221 BCE) were politically turbulent but institutionally creative. Regional rulers who could organize resources efficiently survived; those bound by kinship traditions perished. The small northwestern state of </w:t>
      </w:r>
      <w:r>
        <w:rPr>
          <w:rStyle w:val="14"/>
        </w:rPr>
        <w:t>Qin</w:t>
      </w:r>
      <w:r>
        <w:t xml:space="preserve"> led the transformation under reformers like </w:t>
      </w:r>
      <w:r>
        <w:rPr>
          <w:rStyle w:val="14"/>
        </w:rPr>
        <w:t>Shang Yang</w:t>
      </w:r>
      <w:r>
        <w:t xml:space="preserve">, who replaced aristocratic privileges with merit-based advancement. Shang Yang’s </w:t>
      </w:r>
      <w:r>
        <w:rPr>
          <w:rStyle w:val="8"/>
        </w:rPr>
        <w:t>Book of Lord Shang</w:t>
      </w:r>
      <w:r>
        <w:t xml:space="preserve"> abolished hereditary titles, codified punishments and rewards, and enforced collective responsibility—replacing personal loyalty with universal obligation to the state.</w:t>
      </w:r>
      <w:r>
        <w:rPr>
          <w:rStyle w:val="10"/>
        </w:rPr>
        <w:footnoteReference w:id="39"/>
      </w:r>
      <w:r>
        <w:t xml:space="preserve"> Political scientist </w:t>
      </w:r>
      <w:r>
        <w:rPr>
          <w:rStyle w:val="14"/>
        </w:rPr>
        <w:t>Charles Tilly’s</w:t>
      </w:r>
      <w:r>
        <w:t xml:space="preserve"> famous dictum that “war made the state, and the state made war” aptly describes this Chinese evolution.</w:t>
      </w:r>
      <w:r>
        <w:rPr>
          <w:rStyle w:val="10"/>
        </w:rPr>
        <w:footnoteReference w:id="40"/>
      </w:r>
      <w:r>
        <w:t xml:space="preserve"> families. </w:t>
      </w:r>
    </w:p>
    <w:p w14:paraId="74526657">
      <w:pPr>
        <w:spacing w:line="480" w:lineRule="auto"/>
        <w:jc w:val="both"/>
        <w:rPr>
          <w:rFonts w:ascii="Times New Roman" w:hAnsi="Times New Roman" w:cs="Times New Roman"/>
          <w:sz w:val="24"/>
          <w:szCs w:val="24"/>
        </w:rPr>
      </w:pPr>
      <w:r>
        <w:rPr>
          <w:rFonts w:ascii="Times New Roman" w:hAnsi="Times New Roman" w:cs="Times New Roman"/>
          <w:sz w:val="24"/>
          <w:szCs w:val="24"/>
        </w:rPr>
        <w:t>Initially, wars in the early Spring and Autumn period were fought by aristocrats riding chariots. Each chariot required a driver and at least two warriors, and was accompanied by an extensive logistics train of up to seventy soldiers. Driving a chariot and firing from it were difficult skills requiring substantial training and thus suitable as aristocratic occupations</w:t>
      </w:r>
      <w:r>
        <w:rPr>
          <w:rStyle w:val="10"/>
          <w:rFonts w:ascii="Times New Roman" w:hAnsi="Times New Roman" w:cs="Times New Roman"/>
          <w:sz w:val="24"/>
          <w:szCs w:val="24"/>
        </w:rPr>
        <w:footnoteReference w:id="41"/>
      </w:r>
      <w:r>
        <w:rPr>
          <w:rFonts w:ascii="Times New Roman" w:hAnsi="Times New Roman" w:cs="Times New Roman"/>
          <w:sz w:val="24"/>
          <w:szCs w:val="24"/>
        </w:rPr>
        <w:t xml:space="preserve"> Physical losses to the ranks of the aristocracy also had the effect of encouraging promotion within the military based on merit. In the early Zhou, positions of military leadership were claimed entirely on the basis of kinship and status within the clan. But as time went on, an increasing number of non aristocratic leaders were promoted on the basis of their valor in battle. States began to offer explicit incentives of land, titles, and serfs as inducements to soldiers, and it soon became common for obscure commoners to rise to the position of general.</w:t>
      </w:r>
    </w:p>
    <w:p w14:paraId="75A7B497">
      <w:pPr>
        <w:spacing w:line="480" w:lineRule="auto"/>
        <w:jc w:val="both"/>
        <w:rPr>
          <w:rFonts w:ascii="Times New Roman" w:hAnsi="Times New Roman" w:cs="Times New Roman"/>
          <w:sz w:val="24"/>
          <w:szCs w:val="24"/>
        </w:rPr>
      </w:pPr>
      <w:r>
        <w:rPr>
          <w:rFonts w:ascii="Times New Roman" w:hAnsi="Times New Roman" w:cs="Times New Roman"/>
          <w:sz w:val="24"/>
          <w:szCs w:val="24"/>
        </w:rPr>
        <w:t>The kingdom of Qin due to was the first to reorganize its army, democratized the army by bypassing the warrior aristocrats and directly conscripting masses of peasants, it engaged in large-scale land reform by dispossessing patrimonial landowners and giving land directly to peasant families, and it promoted social mobility by undermining the power and prestige of the hereditary nobility.</w:t>
      </w:r>
    </w:p>
    <w:p w14:paraId="3DC7F459">
      <w:pPr>
        <w:spacing w:line="480" w:lineRule="auto"/>
        <w:jc w:val="both"/>
        <w:rPr>
          <w:rFonts w:ascii="Times New Roman" w:hAnsi="Times New Roman" w:cs="Times New Roman"/>
          <w:sz w:val="24"/>
          <w:szCs w:val="24"/>
        </w:rPr>
      </w:pPr>
      <w:r>
        <w:rPr>
          <w:rFonts w:ascii="Times New Roman" w:hAnsi="Times New Roman" w:cs="Times New Roman"/>
          <w:sz w:val="24"/>
          <w:szCs w:val="24"/>
        </w:rPr>
        <w:t>The strength of these modern political institutions allowed Qin to defeat all of the other contending states and unify China. China's transition from a decentralized feudal state to a unified empire was accomplished entirely through conquest. And virtually every modern state institution established in this period can be linked directly or indirectly to the need to wage war.</w:t>
      </w:r>
    </w:p>
    <w:p w14:paraId="4C7947FE">
      <w:pPr>
        <w:pStyle w:val="13"/>
        <w:spacing w:line="480" w:lineRule="auto"/>
        <w:jc w:val="both"/>
      </w:pPr>
      <w:r>
        <w:t xml:space="preserve">The existential pressures of conflict forced rulers to build impersonal bureaucracies capable of tax collection, recruitment, and law enforcement—laying the foundation of the first modern state. </w:t>
      </w:r>
    </w:p>
    <w:p w14:paraId="63CBA992">
      <w:pPr>
        <w:pStyle w:val="4"/>
        <w:spacing w:line="480" w:lineRule="auto"/>
        <w:jc w:val="both"/>
      </w:pPr>
      <w:r>
        <w:rPr>
          <w:rStyle w:val="14"/>
          <w:b/>
          <w:bCs/>
        </w:rPr>
        <w:t>5.1.4 The Legalist Revolution and the Qin Dynasty</w:t>
      </w:r>
    </w:p>
    <w:p w14:paraId="17353F20">
      <w:pPr>
        <w:pStyle w:val="13"/>
        <w:spacing w:line="480" w:lineRule="auto"/>
        <w:jc w:val="both"/>
      </w:pPr>
      <w:r>
        <w:t xml:space="preserve">The ideological justification for this institutional revolution was </w:t>
      </w:r>
      <w:r>
        <w:rPr>
          <w:rStyle w:val="14"/>
        </w:rPr>
        <w:t>Legalism</w:t>
      </w:r>
      <w:r>
        <w:t xml:space="preserve">, a philosophy developed by thinkers such as </w:t>
      </w:r>
      <w:r>
        <w:rPr>
          <w:rStyle w:val="14"/>
        </w:rPr>
        <w:t>Han Feizi</w:t>
      </w:r>
      <w:r>
        <w:t xml:space="preserve"> and </w:t>
      </w:r>
      <w:r>
        <w:rPr>
          <w:rStyle w:val="14"/>
        </w:rPr>
        <w:t>Li Si</w:t>
      </w:r>
      <w:r>
        <w:t>. Rejecting Confucian moralism, Legalists argued that order derived from strict laws and consistent enforcement rather than virtue. Han Feizi wrote, “If penalties are heavy and rewards light, the people will fear; if rewards are heavy and penalties light, the people will be greedy.”</w:t>
      </w:r>
      <w:r>
        <w:rPr>
          <w:rStyle w:val="10"/>
        </w:rPr>
        <w:footnoteReference w:id="42"/>
      </w:r>
    </w:p>
    <w:p w14:paraId="70C3767B">
      <w:pPr>
        <w:pStyle w:val="13"/>
        <w:spacing w:line="480" w:lineRule="auto"/>
        <w:jc w:val="both"/>
      </w:pPr>
      <w:r>
        <w:t xml:space="preserve">The </w:t>
      </w:r>
      <w:r>
        <w:rPr>
          <w:rStyle w:val="14"/>
        </w:rPr>
        <w:t>Qin dynasty (221–206 BCE)</w:t>
      </w:r>
      <w:r>
        <w:t xml:space="preserve">, under </w:t>
      </w:r>
      <w:r>
        <w:rPr>
          <w:rStyle w:val="14"/>
        </w:rPr>
        <w:t>Qin Shi Huang</w:t>
      </w:r>
      <w:r>
        <w:t>, implemented Legalist principles with unprecedented rigor. It abolished feudal fiefs, standardized writing, weights, and measures, and divided the empire into administrative districts run by appointed officials. Fukuyama explains, “The Qin created a bureaucracy whose loyalty was to the emperor as an institution, not to the personal household of the ruler.”</w:t>
      </w:r>
      <w:r>
        <w:rPr>
          <w:rStyle w:val="10"/>
        </w:rPr>
        <w:footnoteReference w:id="43"/>
      </w:r>
    </w:p>
    <w:p w14:paraId="15A52DF2">
      <w:pPr>
        <w:pStyle w:val="13"/>
        <w:spacing w:line="480" w:lineRule="auto"/>
        <w:jc w:val="both"/>
      </w:pPr>
      <w:r>
        <w:t>Weber later defined the modern state as “a human community that claims the monopoly of the legitimate use of physical force within a given territory.”</w:t>
      </w:r>
      <w:r>
        <w:rPr>
          <w:rStyle w:val="10"/>
        </w:rPr>
        <w:footnoteReference w:id="44"/>
      </w:r>
      <w:r>
        <w:t xml:space="preserve"> By that standard, Qin China qualifies as the first true state in world history. Its bureaucracy extended uniform laws across vast territory, establishing the principle of impersonal governance centuries before similar developments in Europe.</w:t>
      </w:r>
    </w:p>
    <w:p w14:paraId="7CE047B2">
      <w:pPr>
        <w:pStyle w:val="13"/>
        <w:spacing w:line="480" w:lineRule="auto"/>
        <w:jc w:val="both"/>
      </w:pPr>
      <w:r>
        <w:t>Although the Qin regime collapsed within a generation, its institutional model endured. Its failure lay not in structure but in excessive coercion and moral rigidity; yet its administrative framework set the stage for the next great dynasty.</w:t>
      </w:r>
    </w:p>
    <w:p w14:paraId="432B6D00">
      <w:pPr>
        <w:pStyle w:val="4"/>
        <w:spacing w:line="480" w:lineRule="auto"/>
        <w:jc w:val="both"/>
        <w:rPr>
          <w:sz w:val="28"/>
          <w:szCs w:val="28"/>
        </w:rPr>
      </w:pPr>
      <w:r>
        <w:rPr>
          <w:rStyle w:val="14"/>
          <w:b/>
          <w:bCs/>
          <w:sz w:val="28"/>
          <w:szCs w:val="28"/>
        </w:rPr>
        <w:t>5.1.5 The Great Han System</w:t>
      </w:r>
    </w:p>
    <w:p w14:paraId="74018438">
      <w:pPr>
        <w:pStyle w:val="13"/>
        <w:spacing w:line="480" w:lineRule="auto"/>
        <w:jc w:val="both"/>
      </w:pPr>
      <w:r>
        <w:t xml:space="preserve">The </w:t>
      </w:r>
      <w:r>
        <w:rPr>
          <w:rStyle w:val="14"/>
        </w:rPr>
        <w:t>Han dynasty (206 BCE–220 CE)</w:t>
      </w:r>
      <w:r>
        <w:t xml:space="preserve"> inherited the Qin’s bureaucratic machinery but infused it with </w:t>
      </w:r>
      <w:r>
        <w:rPr>
          <w:rStyle w:val="14"/>
        </w:rPr>
        <w:t>Confucian moral philosophy</w:t>
      </w:r>
      <w:r>
        <w:t>, creating what Fukuyama calls “the Great Han System.”</w:t>
      </w:r>
      <w:r>
        <w:rPr>
          <w:rStyle w:val="10"/>
        </w:rPr>
        <w:footnoteReference w:id="45"/>
      </w:r>
      <w:r>
        <w:t xml:space="preserve">The Han maintained the Qin’s commandery-county system and written codes but tempered Legalist severity with virtue-based rule. Emperor Wu’s adoption of </w:t>
      </w:r>
      <w:r>
        <w:rPr>
          <w:rStyle w:val="14"/>
        </w:rPr>
        <w:t>Confucianism</w:t>
      </w:r>
      <w:r>
        <w:t xml:space="preserve"> as state orthodoxy transformed governance into a moral duty rather than mere obedience to law.</w:t>
      </w:r>
    </w:p>
    <w:p w14:paraId="793A55C5">
      <w:pPr>
        <w:pStyle w:val="13"/>
        <w:spacing w:line="480" w:lineRule="auto"/>
        <w:jc w:val="both"/>
      </w:pPr>
      <w:r>
        <w:t xml:space="preserve">Confucian thinkers like </w:t>
      </w:r>
      <w:r>
        <w:rPr>
          <w:rStyle w:val="14"/>
        </w:rPr>
        <w:t>Dong Zhongshu</w:t>
      </w:r>
      <w:r>
        <w:t xml:space="preserve"> reinterpreted imperial authority through the concept of the </w:t>
      </w:r>
      <w:r>
        <w:rPr>
          <w:rStyle w:val="14"/>
        </w:rPr>
        <w:t>Mandate of Heaven</w:t>
      </w:r>
      <w:r>
        <w:t>, presenting the emperor as a moral intermediary between Heaven and Earth.</w:t>
      </w:r>
      <w:r>
        <w:rPr>
          <w:rStyle w:val="10"/>
        </w:rPr>
        <w:footnoteReference w:id="46"/>
      </w:r>
      <w:r>
        <w:t xml:space="preserve"> Bureaucrats were expected to embody </w:t>
      </w:r>
      <w:r>
        <w:rPr>
          <w:rStyle w:val="8"/>
          <w:b/>
          <w:bCs/>
        </w:rPr>
        <w:t>de</w:t>
      </w:r>
      <w:r>
        <w:t xml:space="preserve"> (virtue) and </w:t>
      </w:r>
      <w:r>
        <w:rPr>
          <w:rStyle w:val="8"/>
          <w:b/>
          <w:bCs/>
        </w:rPr>
        <w:t>yi</w:t>
      </w:r>
      <w:r>
        <w:rPr>
          <w:b/>
          <w:bCs/>
        </w:rPr>
        <w:t xml:space="preserve"> </w:t>
      </w:r>
      <w:r>
        <w:t>(righteousness), grounding legitimacy in moral example.</w:t>
      </w:r>
    </w:p>
    <w:p w14:paraId="4DF96977">
      <w:pPr>
        <w:pStyle w:val="13"/>
        <w:spacing w:line="480" w:lineRule="auto"/>
        <w:jc w:val="both"/>
      </w:pPr>
      <w:r>
        <w:t xml:space="preserve">The Han also developed the </w:t>
      </w:r>
      <w:r>
        <w:rPr>
          <w:rStyle w:val="14"/>
          <w:b w:val="0"/>
          <w:bCs w:val="0"/>
        </w:rPr>
        <w:t>scholar-official</w:t>
      </w:r>
      <w:r>
        <w:t xml:space="preserve"> class—administrators recruited for learning and virtue rather than noble birth. Though the formal examination system would mature later, its Han origins marked the first meritocratic selection in world history. Huntington later observed that such professionalization signified true institutionalization—the embedding of stable, autonomous organizations beyond personal rule.</w:t>
      </w:r>
      <w:r>
        <w:rPr>
          <w:rStyle w:val="10"/>
        </w:rPr>
        <w:footnoteReference w:id="47"/>
      </w:r>
    </w:p>
    <w:p w14:paraId="744FE0A8">
      <w:pPr>
        <w:pStyle w:val="13"/>
        <w:spacing w:line="480" w:lineRule="auto"/>
        <w:jc w:val="both"/>
      </w:pPr>
      <w:r>
        <w:t xml:space="preserve">The Han system thus balanced </w:t>
      </w:r>
      <w:r>
        <w:rPr>
          <w:rStyle w:val="14"/>
        </w:rPr>
        <w:t>Legalist order</w:t>
      </w:r>
      <w:r>
        <w:t xml:space="preserve"> with </w:t>
      </w:r>
      <w:r>
        <w:rPr>
          <w:rStyle w:val="14"/>
        </w:rPr>
        <w:t>Confucian morality</w:t>
      </w:r>
      <w:r>
        <w:t>, producing both stability and legitimacy. Fukuyama writes, “The Han did not abolish the Legalist state but moralized it; they replaced fear with virtue as the basis of obedience.” The result was a bureaucracy admired for two millennia, forming the backbone of Chinese civilization.</w:t>
      </w:r>
    </w:p>
    <w:p w14:paraId="376A727C">
      <w:pPr>
        <w:pStyle w:val="4"/>
        <w:spacing w:line="480" w:lineRule="auto"/>
        <w:jc w:val="both"/>
      </w:pPr>
      <w:r>
        <w:rPr>
          <w:rStyle w:val="14"/>
          <w:b/>
          <w:bCs/>
        </w:rPr>
        <w:t>5.1.6 Political Decay and the Return of Patrimonialism</w:t>
      </w:r>
    </w:p>
    <w:p w14:paraId="09B6D6CB">
      <w:pPr>
        <w:pStyle w:val="13"/>
        <w:spacing w:line="480" w:lineRule="auto"/>
        <w:jc w:val="both"/>
      </w:pPr>
      <w:r>
        <w:t xml:space="preserve">Despite its achievements, the Han system eventually succumbed to </w:t>
      </w:r>
      <w:r>
        <w:rPr>
          <w:rStyle w:val="14"/>
        </w:rPr>
        <w:t>political decay</w:t>
      </w:r>
      <w:r>
        <w:t>—a process Fukuyama identifies as universal in state evolution. As generations passed, aristocratic clans accumulated wealth and converted bureaucratic posts into hereditary privileges. Fukuyama explains that these elites “married strategically, built alliances, and converted their bureaucratic positions into hereditary rights.”</w:t>
      </w:r>
    </w:p>
    <w:p w14:paraId="465AD1C2">
      <w:pPr>
        <w:pStyle w:val="13"/>
        <w:spacing w:line="480" w:lineRule="auto"/>
        <w:jc w:val="both"/>
      </w:pPr>
      <w:r>
        <w:t xml:space="preserve">By the second century CE, meritocracy had eroded. Bureaucrats prioritized family loyalty, corruption spread, and provincial elites dominated governance. The </w:t>
      </w:r>
      <w:r>
        <w:rPr>
          <w:rStyle w:val="14"/>
        </w:rPr>
        <w:t>Yellow Turban Rebellion (184 CE)</w:t>
      </w:r>
      <w:r>
        <w:t xml:space="preserve"> symbolized a state collapsing under its own institutional weight. Fukuyama attributes this decline to two factors: the </w:t>
      </w:r>
      <w:r>
        <w:rPr>
          <w:rStyle w:val="14"/>
        </w:rPr>
        <w:t>enduring pull of kinship</w:t>
      </w:r>
      <w:r>
        <w:t xml:space="preserve"> and </w:t>
      </w:r>
      <w:r>
        <w:rPr>
          <w:rStyle w:val="14"/>
        </w:rPr>
        <w:t>institutional rigidity</w:t>
      </w:r>
      <w:r>
        <w:t>—the inability of entrenched systems to reform themselves.</w:t>
      </w:r>
      <w:r>
        <w:rPr>
          <w:rStyle w:val="10"/>
        </w:rPr>
        <w:footnoteReference w:id="48"/>
      </w:r>
      <w:r>
        <w:t xml:space="preserve"> Huntington similarly warned that “political decay is the obsolescence of organizations.”</w:t>
      </w:r>
    </w:p>
    <w:p w14:paraId="252DD92B">
      <w:pPr>
        <w:pStyle w:val="13"/>
        <w:spacing w:line="480" w:lineRule="auto"/>
        <w:jc w:val="both"/>
      </w:pPr>
      <w:r>
        <w:t>In the Han case, Confucian virtue legitimized authority but also encouraged complacency. Bureaucrats obeyed ritual even when adaptation was necessary. Fukuyama concludes that “the very success of the Han system produced its undoing.”</w:t>
      </w:r>
      <w:r>
        <w:rPr>
          <w:rStyle w:val="10"/>
        </w:rPr>
        <w:footnoteReference w:id="49"/>
      </w:r>
      <w:r>
        <w:t>Once impersonal institutions created entrenched elites, they inevitably repatrimonialized the state—a cyclical pattern seen throughout history.</w:t>
      </w:r>
    </w:p>
    <w:p w14:paraId="6AF10A5B">
      <w:pPr>
        <w:pStyle w:val="13"/>
        <w:spacing w:line="480" w:lineRule="auto"/>
        <w:jc w:val="both"/>
      </w:pPr>
      <w:r>
        <w:t>The Han collapse did not erase its institutional legacy, but it demonstrated that no political order is self-sustaining. As Douglass North observed, “institutions are path-dependent; they evolve along trajectories that reflect their initial conditions.”</w:t>
      </w:r>
      <w:r>
        <w:rPr>
          <w:rStyle w:val="10"/>
        </w:rPr>
        <w:footnoteReference w:id="50"/>
      </w:r>
      <w:r>
        <w:t xml:space="preserve"> The Han’s moral bureaucracy endured as a cultural ideal but could not escape the human tendency toward favoritism and privilege.</w:t>
      </w:r>
    </w:p>
    <w:p w14:paraId="3C2726B1">
      <w:pPr>
        <w:pStyle w:val="4"/>
        <w:spacing w:line="480" w:lineRule="auto"/>
        <w:jc w:val="both"/>
      </w:pPr>
      <w:r>
        <w:rPr>
          <w:rStyle w:val="14"/>
          <w:b/>
          <w:bCs/>
        </w:rPr>
        <w:t>5.1.7 The Enduring Legacy</w:t>
      </w:r>
    </w:p>
    <w:p w14:paraId="450421DA">
      <w:pPr>
        <w:pStyle w:val="13"/>
        <w:spacing w:line="480" w:lineRule="auto"/>
        <w:jc w:val="both"/>
      </w:pPr>
      <w:r>
        <w:t xml:space="preserve">China’s early political evolution thus illustrates the universal logic of Fukuyama’s theory: the transition from </w:t>
      </w:r>
      <w:r>
        <w:rPr>
          <w:rStyle w:val="14"/>
        </w:rPr>
        <w:t>kinship to state</w:t>
      </w:r>
      <w:r>
        <w:t xml:space="preserve">, the consolidation of </w:t>
      </w:r>
      <w:r>
        <w:rPr>
          <w:rStyle w:val="14"/>
        </w:rPr>
        <w:t>impersonal administration</w:t>
      </w:r>
      <w:r>
        <w:t xml:space="preserve">, and the inevitable </w:t>
      </w:r>
      <w:r>
        <w:rPr>
          <w:rStyle w:val="14"/>
        </w:rPr>
        <w:t>return of patrimonialism</w:t>
      </w:r>
      <w:r>
        <w:t xml:space="preserve"> when vigilance wanes. From the Zhou’s feudal clans to the Qin’s Legalist unification and the Han’s Confucian moral empire, China’s path encapsulates the birth, maturity, and decay of political order.</w:t>
      </w:r>
    </w:p>
    <w:p w14:paraId="106ACFD1">
      <w:pPr>
        <w:pStyle w:val="13"/>
        <w:spacing w:line="480" w:lineRule="auto"/>
        <w:jc w:val="both"/>
      </w:pPr>
      <w:r>
        <w:t>These early Chinese experiences provided the world’s first blueprint for a modern state—a model both inspiring and cautionary. They reveal that political order is not a permanent achievement but a constant balancing act between power, morality, and reform.</w:t>
      </w:r>
    </w:p>
    <w:p w14:paraId="31CD0D24">
      <w:pPr>
        <w:jc w:val="both"/>
      </w:pPr>
    </w:p>
    <w:p w14:paraId="227DE50A">
      <w:pPr>
        <w:pStyle w:val="3"/>
        <w:jc w:val="both"/>
        <w:rPr>
          <w:rFonts w:ascii="Times New Roman" w:hAnsi="Times New Roman" w:cs="Times New Roman"/>
          <w:color w:val="000000" w:themeColor="text1"/>
          <w:sz w:val="28"/>
          <w:szCs w:val="28"/>
          <w14:textFill>
            <w14:solidFill>
              <w14:schemeClr w14:val="tx1"/>
            </w14:solidFill>
          </w14:textFill>
        </w:rPr>
      </w:pPr>
      <w:r>
        <w:rPr>
          <w:rStyle w:val="14"/>
          <w:rFonts w:ascii="Times New Roman" w:hAnsi="Times New Roman" w:cs="Times New Roman"/>
          <w:color w:val="000000" w:themeColor="text1"/>
          <w:sz w:val="28"/>
          <w:szCs w:val="28"/>
          <w14:textFill>
            <w14:solidFill>
              <w14:schemeClr w14:val="tx1"/>
            </w14:solidFill>
          </w14:textFill>
        </w:rPr>
        <w:t>5.2 The Indian Path: Religion, Caste, and the Absence of a Centralized State</w:t>
      </w:r>
    </w:p>
    <w:p w14:paraId="52C864A2">
      <w:pPr>
        <w:pStyle w:val="13"/>
        <w:spacing w:line="480" w:lineRule="auto"/>
        <w:jc w:val="both"/>
      </w:pPr>
      <w:r>
        <w:t xml:space="preserve">In contrast to ancient China’s early emergence of a centralized, bureaucratic state, India’s political evolution followed a distinct moral and religious trajectory. Francis Fukuyama’s </w:t>
      </w:r>
      <w:r>
        <w:rPr>
          <w:rStyle w:val="8"/>
        </w:rPr>
        <w:t>The Origins of Political Order</w:t>
      </w:r>
      <w:r>
        <w:t xml:space="preserve"> describes this divergence as “the Indian detour”—a historical path where </w:t>
      </w:r>
      <w:r>
        <w:rPr>
          <w:rStyle w:val="14"/>
        </w:rPr>
        <w:t>moral order substituted for institutional order</w:t>
      </w:r>
      <w:r>
        <w:t>, and spiritual hierarchy restrained the development of political centralization.</w:t>
      </w:r>
      <w:r>
        <w:rPr>
          <w:rStyle w:val="10"/>
        </w:rPr>
        <w:footnoteReference w:id="51"/>
      </w:r>
      <w:r>
        <w:t xml:space="preserve"> India built one of the world’s most enduring civilizations, unified not by government but by religion, caste, and cultural continuity.</w:t>
      </w:r>
    </w:p>
    <w:p w14:paraId="6CC976F0">
      <w:pPr>
        <w:pStyle w:val="4"/>
        <w:spacing w:line="480" w:lineRule="auto"/>
        <w:jc w:val="both"/>
      </w:pPr>
      <w:r>
        <w:rPr>
          <w:rStyle w:val="14"/>
          <w:b/>
          <w:bCs/>
        </w:rPr>
        <w:t>5.2.1 The Puzzle of India’s Political Weakness</w:t>
      </w:r>
    </w:p>
    <w:p w14:paraId="07E4B819">
      <w:pPr>
        <w:pStyle w:val="13"/>
        <w:spacing w:line="480" w:lineRule="auto"/>
        <w:jc w:val="both"/>
      </w:pPr>
      <w:r>
        <w:t xml:space="preserve">Fukuyama begins by comparing India’s early political trajectory with that of China. Whereas China’s Qin and Han dynasties constructed a rational, impersonal bureaucracy, India’s early polities—such as the </w:t>
      </w:r>
      <w:r>
        <w:rPr>
          <w:rStyle w:val="14"/>
        </w:rPr>
        <w:t>Mauryan</w:t>
      </w:r>
      <w:r>
        <w:t xml:space="preserve"> and </w:t>
      </w:r>
      <w:r>
        <w:rPr>
          <w:rStyle w:val="14"/>
        </w:rPr>
        <w:t>Gupta Empires</w:t>
      </w:r>
      <w:r>
        <w:t>—never achieved lasting administrative unity.</w:t>
      </w:r>
      <w:r>
        <w:rPr>
          <w:rStyle w:val="10"/>
        </w:rPr>
        <w:footnoteReference w:id="52"/>
      </w:r>
      <w:r>
        <w:t xml:space="preserve"> The difference, Fukuyama argues, lay not in geography or resources but in </w:t>
      </w:r>
      <w:r>
        <w:rPr>
          <w:rStyle w:val="14"/>
          <w:b w:val="0"/>
          <w:bCs w:val="0"/>
        </w:rPr>
        <w:t>ideology</w:t>
      </w:r>
      <w:r>
        <w:rPr>
          <w:b/>
          <w:bCs/>
        </w:rPr>
        <w:t>.</w:t>
      </w:r>
    </w:p>
    <w:p w14:paraId="6C774190">
      <w:pPr>
        <w:pStyle w:val="13"/>
        <w:spacing w:line="480" w:lineRule="auto"/>
        <w:jc w:val="both"/>
      </w:pPr>
      <w:r>
        <w:t xml:space="preserve">Indian civilization was defined by a deep moral and religious structure that </w:t>
      </w:r>
      <w:r>
        <w:rPr>
          <w:rStyle w:val="14"/>
          <w:b w:val="0"/>
          <w:bCs w:val="0"/>
        </w:rPr>
        <w:t>subordinated kingship to sacred law</w:t>
      </w:r>
      <w:r>
        <w:rPr>
          <w:rStyle w:val="14"/>
        </w:rPr>
        <w:t xml:space="preserve"> (dharma)</w:t>
      </w:r>
      <w:r>
        <w:t>. Political authority was morally constrained: rulers were expected to govern in harmony with cosmic order (</w:t>
      </w:r>
      <w:r>
        <w:rPr>
          <w:rStyle w:val="8"/>
        </w:rPr>
        <w:t>rita</w:t>
      </w:r>
      <w:r>
        <w:t xml:space="preserve">), as interpreted by the </w:t>
      </w:r>
      <w:r>
        <w:rPr>
          <w:rStyle w:val="14"/>
        </w:rPr>
        <w:t>Brahmins</w:t>
      </w:r>
      <w:r>
        <w:t xml:space="preserve">, the priestly caste who derived power from their mastery of the </w:t>
      </w:r>
      <w:r>
        <w:rPr>
          <w:b/>
          <w:bCs/>
        </w:rPr>
        <w:t>Vedas.</w:t>
      </w:r>
      <w:r>
        <w:rPr>
          <w:rStyle w:val="10"/>
        </w:rPr>
        <w:footnoteReference w:id="53"/>
      </w:r>
      <w:r>
        <w:t xml:space="preserve"> This created a form of governance in which religious legitimacy superseded political necessity.</w:t>
      </w:r>
    </w:p>
    <w:p w14:paraId="361B3124">
      <w:pPr>
        <w:pStyle w:val="13"/>
        <w:spacing w:line="480" w:lineRule="auto"/>
        <w:jc w:val="both"/>
      </w:pPr>
      <w:r>
        <w:t xml:space="preserve">As a result, Indian kingship became a </w:t>
      </w:r>
      <w:r>
        <w:rPr>
          <w:rStyle w:val="14"/>
        </w:rPr>
        <w:t>moral office rather than a political one</w:t>
      </w:r>
      <w:r>
        <w:t>. Fukuyama observes that “the king’s duty was not to build institutions but to uphold the moral law.”</w:t>
      </w:r>
      <w:r>
        <w:rPr>
          <w:rStyle w:val="10"/>
        </w:rPr>
        <w:footnoteReference w:id="54"/>
      </w:r>
      <w:r>
        <w:t xml:space="preserve"> Unlike the Legalist rulers of China, who saw the state as supreme, Indian monarchs ruled under the shadow of moral restraint. This made tyranny rare but institutional weakness chronic.</w:t>
      </w:r>
    </w:p>
    <w:p w14:paraId="4C39076C">
      <w:pPr>
        <w:pStyle w:val="4"/>
        <w:spacing w:line="480" w:lineRule="auto"/>
        <w:jc w:val="both"/>
      </w:pPr>
      <w:r>
        <w:rPr>
          <w:rStyle w:val="14"/>
          <w:b/>
          <w:bCs/>
        </w:rPr>
        <w:t>5.2.2 The Brahmins and the Moral Order</w:t>
      </w:r>
    </w:p>
    <w:p w14:paraId="42DE8FCD">
      <w:pPr>
        <w:pStyle w:val="13"/>
        <w:spacing w:line="480" w:lineRule="auto"/>
        <w:jc w:val="both"/>
      </w:pPr>
      <w:r>
        <w:t xml:space="preserve">At the center of this system stood the </w:t>
      </w:r>
      <w:r>
        <w:rPr>
          <w:rStyle w:val="14"/>
        </w:rPr>
        <w:t>Brahmins</w:t>
      </w:r>
      <w:r>
        <w:t>, the priestly elite charged with maintaining cosmic and ritual order. Their religious authority, based on sacred knowledge, placed them above temporal rulers. “The Brahmins came to represent an independent social force, one that stood above temporal power,” writes Fukuyama.</w:t>
      </w:r>
      <w:r>
        <w:rPr>
          <w:rStyle w:val="10"/>
        </w:rPr>
        <w:footnoteReference w:id="55"/>
      </w:r>
    </w:p>
    <w:p w14:paraId="6F3F95F1">
      <w:pPr>
        <w:pStyle w:val="13"/>
        <w:spacing w:line="480" w:lineRule="auto"/>
        <w:jc w:val="both"/>
      </w:pPr>
      <w:r>
        <w:t>Kings needed Brahminical approval to legitimize their rule, and rebellion against priestly counsel was considered sacrilege. This moral hierarchy inverted the political order: the ruler became servant to the spiritual class. In practice, this ensured ethical constraints but prevented the emergence of an autonomous bureaucracy.</w:t>
      </w:r>
    </w:p>
    <w:p w14:paraId="75684305">
      <w:pPr>
        <w:pStyle w:val="13"/>
        <w:spacing w:line="480" w:lineRule="auto"/>
        <w:jc w:val="both"/>
      </w:pPr>
      <w:r>
        <w:t xml:space="preserve">As Max Weber later observed in </w:t>
      </w:r>
      <w:r>
        <w:rPr>
          <w:rStyle w:val="8"/>
        </w:rPr>
        <w:t>The Religion of India</w:t>
      </w:r>
      <w:r>
        <w:t>, Hinduism’s emphasis on purity, ritual, and rebirth entrenched social conservatism and discouraged political innovation.</w:t>
      </w:r>
      <w:r>
        <w:rPr>
          <w:rStyle w:val="10"/>
        </w:rPr>
        <w:footnoteReference w:id="56"/>
      </w:r>
      <w:r>
        <w:t xml:space="preserve"> The Brahminical monopoly over moral authority “routinized charisma,” embedding moral power into hereditary status rather than institutional reform.</w:t>
      </w:r>
    </w:p>
    <w:p w14:paraId="3BE01C6A">
      <w:pPr>
        <w:pStyle w:val="4"/>
        <w:spacing w:line="480" w:lineRule="auto"/>
        <w:jc w:val="both"/>
      </w:pPr>
      <w:r>
        <w:rPr>
          <w:rStyle w:val="14"/>
          <w:b/>
          <w:bCs/>
        </w:rPr>
        <w:t>5.2.3 The Caste System: Varna and Jati</w:t>
      </w:r>
    </w:p>
    <w:p w14:paraId="1FAEE341">
      <w:pPr>
        <w:pStyle w:val="13"/>
        <w:spacing w:line="480" w:lineRule="auto"/>
        <w:jc w:val="both"/>
      </w:pPr>
      <w:r>
        <w:t xml:space="preserve">Fukuyama next turns to the social structure that underpinned Indian civilization—the </w:t>
      </w:r>
      <w:r>
        <w:rPr>
          <w:rStyle w:val="14"/>
        </w:rPr>
        <w:t>varna-jati system</w:t>
      </w:r>
      <w:r>
        <w:t>, one of the most enduring hierarchies in human history.</w:t>
      </w:r>
      <w:r>
        <w:rPr>
          <w:rStyle w:val="10"/>
        </w:rPr>
        <w:footnoteReference w:id="57"/>
      </w:r>
      <w:r>
        <w:t xml:space="preserve"> The four </w:t>
      </w:r>
      <w:r>
        <w:rPr>
          <w:rStyle w:val="8"/>
        </w:rPr>
        <w:t>varnas</w:t>
      </w:r>
      <w:r>
        <w:t>—</w:t>
      </w:r>
      <w:r>
        <w:rPr>
          <w:b/>
          <w:bCs/>
          <w:i/>
          <w:iCs/>
        </w:rPr>
        <w:t>Brahmins</w:t>
      </w:r>
      <w:r>
        <w:t xml:space="preserve"> (priests), </w:t>
      </w:r>
      <w:r>
        <w:rPr>
          <w:b/>
          <w:bCs/>
          <w:i/>
          <w:iCs/>
        </w:rPr>
        <w:t>Kshatriyas</w:t>
      </w:r>
      <w:r>
        <w:t xml:space="preserve"> (warriors), </w:t>
      </w:r>
      <w:r>
        <w:rPr>
          <w:b/>
          <w:bCs/>
          <w:i/>
          <w:iCs/>
        </w:rPr>
        <w:t>Vaishyas</w:t>
      </w:r>
      <w:r>
        <w:t xml:space="preserve"> (traders), and </w:t>
      </w:r>
      <w:r>
        <w:rPr>
          <w:b/>
          <w:bCs/>
          <w:i/>
          <w:iCs/>
        </w:rPr>
        <w:t>Shudras</w:t>
      </w:r>
      <w:r>
        <w:t xml:space="preserve"> (laborers)—were believed to have originated from the cosmic body of </w:t>
      </w:r>
      <w:r>
        <w:rPr>
          <w:rStyle w:val="8"/>
          <w:b/>
          <w:bCs/>
        </w:rPr>
        <w:t>Purusha</w:t>
      </w:r>
      <w:r>
        <w:rPr>
          <w:b/>
          <w:bCs/>
        </w:rPr>
        <w:t>,</w:t>
      </w:r>
      <w:r>
        <w:t xml:space="preserve"> the primordial being. This myth sacralized inequality and made hierarchy itself a moral principle.</w:t>
      </w:r>
    </w:p>
    <w:p w14:paraId="1350F8CD">
      <w:pPr>
        <w:pStyle w:val="13"/>
        <w:spacing w:line="480" w:lineRule="auto"/>
        <w:jc w:val="both"/>
      </w:pPr>
      <w:r>
        <w:t xml:space="preserve">Beneath these broad categories existed thousands of </w:t>
      </w:r>
      <w:r>
        <w:rPr>
          <w:rStyle w:val="14"/>
        </w:rPr>
        <w:t>jatis</w:t>
      </w:r>
      <w:r>
        <w:t xml:space="preserve">, or subcastes, each linked to a hereditary occupation and locality. The </w:t>
      </w:r>
      <w:r>
        <w:rPr>
          <w:rStyle w:val="8"/>
        </w:rPr>
        <w:t>jati</w:t>
      </w:r>
      <w:r>
        <w:t xml:space="preserve"> became the true unit of social organization: “The jati became the true social unit of Indian life, more immediate and binding than the abstract varna,” notes Fukuyama. Each caste governed its members through local councils (</w:t>
      </w:r>
      <w:r>
        <w:rPr>
          <w:rStyle w:val="8"/>
        </w:rPr>
        <w:t>panchayats</w:t>
      </w:r>
      <w:r>
        <w:t>), enforcing rules of conduct, marriage, and ritual purity.</w:t>
      </w:r>
    </w:p>
    <w:p w14:paraId="24658F31">
      <w:pPr>
        <w:pStyle w:val="13"/>
        <w:spacing w:line="480" w:lineRule="auto"/>
        <w:jc w:val="both"/>
      </w:pPr>
      <w:r>
        <w:t>This intricate web of self-contained communities ensured stability without central coercion. As Fukuyama puts it, “The caste system was a system of social regulation that replaced the need for political regulation.”</w:t>
      </w:r>
      <w:r>
        <w:rPr>
          <w:rStyle w:val="10"/>
        </w:rPr>
        <w:footnoteReference w:id="58"/>
      </w:r>
      <w:r>
        <w:t xml:space="preserve"> The result was </w:t>
      </w:r>
      <w:r>
        <w:rPr>
          <w:rStyle w:val="14"/>
        </w:rPr>
        <w:t>moral order without political order</w:t>
      </w:r>
      <w:r>
        <w:t>—a civilization governed by norms rather than law, by religion rather than bureaucracy.</w:t>
      </w:r>
    </w:p>
    <w:p w14:paraId="6732FF8C">
      <w:pPr>
        <w:pStyle w:val="4"/>
        <w:spacing w:line="480" w:lineRule="auto"/>
        <w:jc w:val="both"/>
      </w:pPr>
      <w:r>
        <w:rPr>
          <w:rStyle w:val="14"/>
          <w:b/>
          <w:bCs/>
        </w:rPr>
        <w:t>5.2.4 The Mauryan Experiment and Its Limits</w:t>
      </w:r>
    </w:p>
    <w:p w14:paraId="2A829945">
      <w:pPr>
        <w:pStyle w:val="13"/>
        <w:spacing w:line="480" w:lineRule="auto"/>
        <w:jc w:val="both"/>
      </w:pPr>
      <w:r>
        <w:t xml:space="preserve">The brief emergence of the </w:t>
      </w:r>
      <w:r>
        <w:rPr>
          <w:rStyle w:val="14"/>
        </w:rPr>
        <w:t>Mauryan Empire (321–185 BCE)</w:t>
      </w:r>
      <w:r>
        <w:t xml:space="preserve"> under </w:t>
      </w:r>
      <w:r>
        <w:rPr>
          <w:rStyle w:val="14"/>
        </w:rPr>
        <w:t>Chandragupta Maurya</w:t>
      </w:r>
      <w:r>
        <w:t xml:space="preserve"> and </w:t>
      </w:r>
      <w:r>
        <w:rPr>
          <w:rStyle w:val="14"/>
        </w:rPr>
        <w:t>Ashoka the Great</w:t>
      </w:r>
      <w:r>
        <w:t xml:space="preserve"> was India’s closest approach to Chinese-style centralization. Drawing from </w:t>
      </w:r>
      <w:r>
        <w:rPr>
          <w:rStyle w:val="14"/>
          <w:b w:val="0"/>
          <w:bCs w:val="0"/>
        </w:rPr>
        <w:t xml:space="preserve">Kautilya’s </w:t>
      </w:r>
      <w:r>
        <w:rPr>
          <w:rStyle w:val="8"/>
          <w:b/>
          <w:bCs/>
        </w:rPr>
        <w:t>Arthashastra</w:t>
      </w:r>
      <w:r>
        <w:t xml:space="preserve">, a realist treatise comparable to Machiavelli’s </w:t>
      </w:r>
      <w:r>
        <w:rPr>
          <w:rStyle w:val="8"/>
          <w:b/>
          <w:bCs/>
        </w:rPr>
        <w:t>The Prince</w:t>
      </w:r>
      <w:r>
        <w:t>, the Mauryans developed a sophisticated system of taxation, administration, and espionage.</w:t>
      </w:r>
      <w:r>
        <w:rPr>
          <w:rStyle w:val="10"/>
        </w:rPr>
        <w:footnoteReference w:id="59"/>
      </w:r>
    </w:p>
    <w:p w14:paraId="6F3EA5C2">
      <w:pPr>
        <w:pStyle w:val="13"/>
        <w:spacing w:line="480" w:lineRule="auto"/>
        <w:jc w:val="both"/>
      </w:pPr>
      <w:r>
        <w:t xml:space="preserve">Yet this experiment collapsed soon after Ashoka’s death. Fukuyama writes, “The Mauryan state lacked moral and social foundations; it was an institutional superstructure without deep legitimacy.” The emperor’s conversion to </w:t>
      </w:r>
      <w:r>
        <w:rPr>
          <w:rStyle w:val="14"/>
        </w:rPr>
        <w:t>Buddhism</w:t>
      </w:r>
      <w:r>
        <w:t xml:space="preserve"> after the Kalinga War symbolized the triumph of moral universalism over political necessity. Ashoka renounced warfare, replacing coercion with </w:t>
      </w:r>
      <w:r>
        <w:rPr>
          <w:rStyle w:val="8"/>
          <w:b/>
          <w:bCs/>
        </w:rPr>
        <w:t>dhamma</w:t>
      </w:r>
      <w:r>
        <w:rPr>
          <w:b/>
          <w:bCs/>
        </w:rPr>
        <w:t xml:space="preserve"> </w:t>
      </w:r>
      <w:r>
        <w:t>(compassionate governance). While ethically remarkable, this shift weakened the empire’s administrative discipline.</w:t>
      </w:r>
      <w:r>
        <w:rPr>
          <w:rStyle w:val="10"/>
        </w:rPr>
        <w:footnoteReference w:id="60"/>
      </w:r>
    </w:p>
    <w:p w14:paraId="5169FE6F">
      <w:pPr>
        <w:pStyle w:val="13"/>
        <w:spacing w:line="480" w:lineRule="auto"/>
        <w:jc w:val="both"/>
      </w:pPr>
      <w:r>
        <w:t xml:space="preserve">The Mauryan decline reaffirmed India’s preference for </w:t>
      </w:r>
      <w:r>
        <w:rPr>
          <w:rStyle w:val="14"/>
        </w:rPr>
        <w:t>moral authority over political control</w:t>
      </w:r>
      <w:r>
        <w:t xml:space="preserve">. Kingship became constrained by religious duty, and power fragmented among regional dynasties such as the </w:t>
      </w:r>
      <w:r>
        <w:rPr>
          <w:rStyle w:val="14"/>
        </w:rPr>
        <w:t>Guptas</w:t>
      </w:r>
      <w:r>
        <w:t xml:space="preserve"> and </w:t>
      </w:r>
      <w:r>
        <w:rPr>
          <w:rStyle w:val="14"/>
        </w:rPr>
        <w:t>Cholas</w:t>
      </w:r>
      <w:r>
        <w:t>, which ruled effectively but locally.</w:t>
      </w:r>
    </w:p>
    <w:p w14:paraId="6A52C502">
      <w:pPr>
        <w:pStyle w:val="4"/>
        <w:spacing w:line="480" w:lineRule="auto"/>
        <w:jc w:val="both"/>
      </w:pPr>
      <w:r>
        <w:rPr>
          <w:rStyle w:val="14"/>
          <w:b/>
          <w:bCs/>
        </w:rPr>
        <w:t>5.2.5 The Political Consequences of Caste</w:t>
      </w:r>
    </w:p>
    <w:p w14:paraId="045CD205">
      <w:pPr>
        <w:pStyle w:val="13"/>
        <w:spacing w:line="480" w:lineRule="auto"/>
        <w:jc w:val="both"/>
      </w:pPr>
      <w:r>
        <w:t xml:space="preserve">The </w:t>
      </w:r>
      <w:r>
        <w:rPr>
          <w:rStyle w:val="14"/>
        </w:rPr>
        <w:t>varna-jati hierarchy</w:t>
      </w:r>
      <w:r>
        <w:t xml:space="preserve"> profoundly shaped India’s political evolution. Because social identity was tied to caste, loyalty rarely extended beyond local or ritual boundaries. Fukuyama observes, “The state could not command obedience directly; it had to govern through intermediaries—priests, landlords, and caste elders.”</w:t>
      </w:r>
    </w:p>
    <w:p w14:paraId="77F1B9B1">
      <w:pPr>
        <w:pStyle w:val="13"/>
        <w:spacing w:line="480" w:lineRule="auto"/>
        <w:jc w:val="both"/>
      </w:pPr>
      <w:r>
        <w:t xml:space="preserve">This decentralized system prevented the emergence of a professional bureaucracy. Positions of authority were tied to status, not merit, and military service was bound to ritual obligation rather than national command. Economic specialization flourished within castes, but mobility and innovation were stifled. As Douglass North notes, societies based on </w:t>
      </w:r>
      <w:r>
        <w:rPr>
          <w:rStyle w:val="14"/>
        </w:rPr>
        <w:t>personal or status-based relationships</w:t>
      </w:r>
      <w:r>
        <w:t xml:space="preserve"> tend to exhibit limited state capacity, and India exemplified this pattern.</w:t>
      </w:r>
    </w:p>
    <w:p w14:paraId="0F6DBE21">
      <w:pPr>
        <w:pStyle w:val="4"/>
        <w:spacing w:line="480" w:lineRule="auto"/>
        <w:jc w:val="both"/>
      </w:pPr>
      <w:r>
        <w:rPr>
          <w:rStyle w:val="14"/>
          <w:b/>
          <w:bCs/>
        </w:rPr>
        <w:t>5.2.6 The Brahmin–Kshatriya Relationship</w:t>
      </w:r>
    </w:p>
    <w:p w14:paraId="0023B12A">
      <w:pPr>
        <w:pStyle w:val="13"/>
        <w:spacing w:line="480" w:lineRule="auto"/>
        <w:jc w:val="both"/>
      </w:pPr>
      <w:r>
        <w:t xml:space="preserve">Fukuyama highlights the dynamic between the </w:t>
      </w:r>
      <w:r>
        <w:rPr>
          <w:rStyle w:val="14"/>
        </w:rPr>
        <w:t>Brahmins (priests)</w:t>
      </w:r>
      <w:r>
        <w:t xml:space="preserve"> and </w:t>
      </w:r>
      <w:r>
        <w:rPr>
          <w:rStyle w:val="14"/>
        </w:rPr>
        <w:t>Kshatriyas (warriors)</w:t>
      </w:r>
      <w:r>
        <w:t xml:space="preserve"> as a defining feature of Indian political life. Ideally, these classes were complementary—spiritual authority guiding temporal power—but in practice, the Brahmins often dominated. “Kings ruled,” Fukuyama writes, “but Brahmins defined the terms under which they ruled.”</w:t>
      </w:r>
      <w:r>
        <w:rPr>
          <w:rStyle w:val="10"/>
        </w:rPr>
        <w:footnoteReference w:id="61"/>
      </w:r>
    </w:p>
    <w:p w14:paraId="74503C12">
      <w:pPr>
        <w:pStyle w:val="13"/>
        <w:spacing w:line="480" w:lineRule="auto"/>
        <w:jc w:val="both"/>
      </w:pPr>
      <w:r>
        <w:t xml:space="preserve">This moral supremacy prevented tyranny but also institutional stagnation. Unlike in medieval Europe, where the Church’s conflict with monarchs eventually produced a balance between moral and political power, in India the </w:t>
      </w:r>
      <w:r>
        <w:rPr>
          <w:rStyle w:val="14"/>
        </w:rPr>
        <w:t>Brahmins remained unchallenged</w:t>
      </w:r>
      <w:r>
        <w:t>. As Weber observed, Hindu religion produced moral unity but suppressed rational, legal, and bureaucratic development.</w:t>
      </w:r>
    </w:p>
    <w:p w14:paraId="451D7800">
      <w:pPr>
        <w:pStyle w:val="4"/>
        <w:spacing w:line="480" w:lineRule="auto"/>
        <w:jc w:val="both"/>
      </w:pPr>
      <w:r>
        <w:rPr>
          <w:rStyle w:val="14"/>
          <w:b/>
          <w:bCs/>
        </w:rPr>
        <w:t>5.2.7 Social Stability and Economic Order</w:t>
      </w:r>
    </w:p>
    <w:p w14:paraId="16916ACC">
      <w:pPr>
        <w:pStyle w:val="13"/>
        <w:spacing w:line="480" w:lineRule="auto"/>
        <w:jc w:val="both"/>
      </w:pPr>
      <w:r>
        <w:t xml:space="preserve">Despite its political weakness, the caste system provided </w:t>
      </w:r>
      <w:r>
        <w:rPr>
          <w:rStyle w:val="14"/>
        </w:rPr>
        <w:t>extraordinary social stability</w:t>
      </w:r>
      <w:r>
        <w:t xml:space="preserve">. Each </w:t>
      </w:r>
      <w:r>
        <w:rPr>
          <w:rStyle w:val="8"/>
        </w:rPr>
        <w:t>jati</w:t>
      </w:r>
      <w:r>
        <w:t xml:space="preserve"> specialized in particular crafts, ensuring continuity of skills and mutual dependence across castes. Fukuyama notes, “The division of labor under caste produced a self-regulating economic order.”</w:t>
      </w:r>
      <w:r>
        <w:rPr>
          <w:rStyle w:val="10"/>
        </w:rPr>
        <w:footnoteReference w:id="62"/>
      </w:r>
      <w:r>
        <w:t xml:space="preserve"> This resilience made Indian civilization remarkably durable, surviving successive invasions and empires.</w:t>
      </w:r>
    </w:p>
    <w:p w14:paraId="63BAE2EF">
      <w:pPr>
        <w:pStyle w:val="13"/>
        <w:spacing w:line="480" w:lineRule="auto"/>
        <w:jc w:val="both"/>
      </w:pPr>
      <w:r>
        <w:t>Yet stability came at the cost of dynamism. The rigid caste system limited innovation, technological diffusion, and market expansion. Huntington later summarized this paradox succinctly: “Where the state is weak, society is strong.”</w:t>
      </w:r>
      <w:r>
        <w:rPr>
          <w:rStyle w:val="10"/>
        </w:rPr>
        <w:footnoteReference w:id="63"/>
      </w:r>
      <w:r>
        <w:t xml:space="preserve"> India’s society thrived morally and socially even as its political institutions remained fragile.</w:t>
      </w:r>
    </w:p>
    <w:p w14:paraId="13A0C7F7">
      <w:pPr>
        <w:pStyle w:val="4"/>
        <w:spacing w:line="480" w:lineRule="auto"/>
        <w:jc w:val="both"/>
      </w:pPr>
      <w:r>
        <w:rPr>
          <w:rStyle w:val="14"/>
          <w:b/>
          <w:bCs/>
        </w:rPr>
        <w:t>5.2.8 India’s Distinctive Path in Political Evolution</w:t>
      </w:r>
    </w:p>
    <w:p w14:paraId="1A23F9BE">
      <w:pPr>
        <w:pStyle w:val="13"/>
        <w:spacing w:line="480" w:lineRule="auto"/>
        <w:jc w:val="both"/>
      </w:pPr>
      <w:r>
        <w:t>Fukuyama’s comparative framework reveals two divergent solutions to the problem of political order. China subordinated family and religion to the state, achieving administrative unity; India subordinated the state to family and religion, achieving moral unity.</w:t>
      </w:r>
      <w:r>
        <w:rPr>
          <w:rStyle w:val="10"/>
        </w:rPr>
        <w:footnoteReference w:id="64"/>
      </w:r>
      <w:r>
        <w:t xml:space="preserve"> The result was that </w:t>
      </w:r>
      <w:r>
        <w:rPr>
          <w:rStyle w:val="14"/>
        </w:rPr>
        <w:t>China created a strong state without moral pluralism</w:t>
      </w:r>
      <w:r>
        <w:t xml:space="preserve">, while </w:t>
      </w:r>
      <w:r>
        <w:rPr>
          <w:rStyle w:val="14"/>
        </w:rPr>
        <w:t>India created a moral civilization without political centralization</w:t>
      </w:r>
      <w:r>
        <w:t>.</w:t>
      </w:r>
    </w:p>
    <w:p w14:paraId="7130AB89">
      <w:pPr>
        <w:pStyle w:val="13"/>
        <w:spacing w:line="480" w:lineRule="auto"/>
        <w:jc w:val="both"/>
      </w:pPr>
      <w:r>
        <w:t>India’s history thus illustrates an alternative trajectory of development—one that prioritized moral virtue and spiritual cohesion over bureaucratic efficiency. By placing ethical order above political power, India avoided despotism but remained decentralized. Fukuyama concludes that “India achieved moral unity without political unity.”</w:t>
      </w:r>
    </w:p>
    <w:p w14:paraId="7331ABD7">
      <w:pPr>
        <w:pStyle w:val="13"/>
        <w:spacing w:line="480" w:lineRule="auto"/>
        <w:jc w:val="both"/>
      </w:pPr>
      <w:r>
        <w:t>This “Indian detour” enriches Fukuyama’s broader theory of political order and decay. It demonstrates that history is not a linear march toward Western-style statehood but a</w:t>
      </w:r>
      <w:r>
        <w:rPr>
          <w:b/>
          <w:bCs/>
        </w:rPr>
        <w:t xml:space="preserve"> </w:t>
      </w:r>
      <w:r>
        <w:rPr>
          <w:rStyle w:val="14"/>
          <w:b w:val="0"/>
          <w:bCs w:val="0"/>
        </w:rPr>
        <w:t>plural evolution of moral and institutional forms</w:t>
      </w:r>
      <w:r>
        <w:t>. India’s system of varnas and jatis stands as both a triumph of moral order and a limitation on political innovation—proof that civilization can endure for millennia even without the machinery of the modern state.</w:t>
      </w:r>
    </w:p>
    <w:p w14:paraId="05269B4D">
      <w:pPr>
        <w:pStyle w:val="3"/>
        <w:jc w:val="both"/>
        <w:rPr>
          <w:rFonts w:ascii="Times New Roman" w:hAnsi="Times New Roman" w:cs="Times New Roman"/>
          <w:color w:val="auto"/>
          <w:sz w:val="28"/>
          <w:szCs w:val="28"/>
        </w:rPr>
      </w:pPr>
      <w:r>
        <w:rPr>
          <w:rStyle w:val="14"/>
          <w:rFonts w:ascii="Times New Roman" w:hAnsi="Times New Roman" w:cs="Times New Roman"/>
          <w:color w:val="auto"/>
          <w:sz w:val="28"/>
          <w:szCs w:val="28"/>
        </w:rPr>
        <w:t>5.3 Slavery and the Muslim Exit from Tribalism: Religion, Kinship, and the Foundations of Islamic Political Order</w:t>
      </w:r>
    </w:p>
    <w:p w14:paraId="35209AE9">
      <w:pPr>
        <w:pStyle w:val="13"/>
        <w:spacing w:line="480" w:lineRule="auto"/>
        <w:jc w:val="both"/>
      </w:pPr>
      <w:r>
        <w:t>Francis Fukuyama identifies the emergence of the Islamic world as one of history’s most remarkable solutions to the ancient problem of kinship politics.</w:t>
      </w:r>
      <w:r>
        <w:rPr>
          <w:rStyle w:val="10"/>
        </w:rPr>
        <w:footnoteReference w:id="65"/>
      </w:r>
      <w:r>
        <w:t xml:space="preserve"> Whereas China transcended clan loyalty through bureaucratic administration and India through moral-religious hierarchy, Islam combined </w:t>
      </w:r>
      <w:r>
        <w:rPr>
          <w:rStyle w:val="14"/>
        </w:rPr>
        <w:t>religious universalism</w:t>
      </w:r>
      <w:r>
        <w:t xml:space="preserve"> with an </w:t>
      </w:r>
      <w:r>
        <w:rPr>
          <w:rStyle w:val="14"/>
        </w:rPr>
        <w:t>institutional innovation</w:t>
      </w:r>
      <w:r>
        <w:t xml:space="preserve"> that replaced blood ties with loyalty to the state—the </w:t>
      </w:r>
      <w:r>
        <w:rPr>
          <w:rStyle w:val="14"/>
        </w:rPr>
        <w:t>slave-soldier system</w:t>
      </w:r>
      <w:r>
        <w:t>. Through this synthesis, the early Muslim empires achieved strong centralized authority while preserving moral cohesion under a universal faith.</w:t>
      </w:r>
    </w:p>
    <w:p w14:paraId="3EE3B07D">
      <w:pPr>
        <w:pStyle w:val="4"/>
        <w:spacing w:line="480" w:lineRule="auto"/>
        <w:jc w:val="both"/>
      </w:pPr>
      <w:r>
        <w:rPr>
          <w:rStyle w:val="14"/>
          <w:b/>
          <w:bCs/>
        </w:rPr>
        <w:t>5.3.1 The Problem of Tribalism in Pre-Islamic Arabia</w:t>
      </w:r>
    </w:p>
    <w:p w14:paraId="3FF68F11">
      <w:pPr>
        <w:pStyle w:val="13"/>
        <w:spacing w:line="480" w:lineRule="auto"/>
        <w:jc w:val="both"/>
      </w:pPr>
      <w:r>
        <w:t xml:space="preserve">Before the rise of Islam in the seventh century CE, </w:t>
      </w:r>
      <w:r>
        <w:rPr>
          <w:rStyle w:val="14"/>
        </w:rPr>
        <w:t>Arabian society</w:t>
      </w:r>
      <w:r>
        <w:t xml:space="preserve"> was structured around tribes and extended kinship groups bound by </w:t>
      </w:r>
      <w:r>
        <w:rPr>
          <w:rStyle w:val="8"/>
          <w:b/>
          <w:bCs/>
        </w:rPr>
        <w:t>asabiyya</w:t>
      </w:r>
      <w:r>
        <w:t>—a term denoting the solidarity of the clan.</w:t>
      </w:r>
      <w:r>
        <w:rPr>
          <w:rStyle w:val="10"/>
        </w:rPr>
        <w:footnoteReference w:id="66"/>
      </w:r>
      <w:r>
        <w:t xml:space="preserve"> Allegiance to tribe determined identity, status, and justice. These segmentary lineage systems, similar to those described by anthropologists like Fortes and Evans-Pritchard in Africa, produced intense internal loyalty but perpetual fragmentation. There were no impersonal political institutions, only coalitions of families united by blood and custom.</w:t>
      </w:r>
    </w:p>
    <w:p w14:paraId="70DB48FA">
      <w:pPr>
        <w:pStyle w:val="13"/>
        <w:spacing w:line="480" w:lineRule="auto"/>
        <w:jc w:val="both"/>
      </w:pPr>
      <w:r>
        <w:t>In such an environment, unity beyond the tribe was almost impossible. Inter-tribal warfare, raiding (</w:t>
      </w:r>
      <w:r>
        <w:rPr>
          <w:rStyle w:val="8"/>
          <w:b/>
          <w:bCs/>
        </w:rPr>
        <w:t>ghazw</w:t>
      </w:r>
      <w:r>
        <w:t>), and vendetta cycles made lasting political consolidation elusive. The challenge, therefore, was to construct a moral and political order capable of transcending lineage.</w:t>
      </w:r>
    </w:p>
    <w:p w14:paraId="278B9BCD">
      <w:pPr>
        <w:pStyle w:val="13"/>
        <w:spacing w:line="480" w:lineRule="auto"/>
        <w:jc w:val="both"/>
      </w:pPr>
      <w:r>
        <w:rPr>
          <w:rStyle w:val="14"/>
        </w:rPr>
        <w:t>Islam’s revolutionary achievement</w:t>
      </w:r>
      <w:r>
        <w:t xml:space="preserve"> lay in doing exactly that. The Prophet </w:t>
      </w:r>
      <w:r>
        <w:rPr>
          <w:rStyle w:val="14"/>
        </w:rPr>
        <w:t>Muhammad</w:t>
      </w:r>
      <w:r>
        <w:t xml:space="preserve"> transformed kin-based solidarity into religious solidarity.</w:t>
      </w:r>
      <w:r>
        <w:rPr>
          <w:rStyle w:val="10"/>
        </w:rPr>
        <w:footnoteReference w:id="67"/>
      </w:r>
      <w:r>
        <w:t xml:space="preserve"> Through revelation, he redefined the community’s foundation: believers (</w:t>
      </w:r>
      <w:r>
        <w:rPr>
          <w:rStyle w:val="8"/>
          <w:b/>
          <w:bCs/>
        </w:rPr>
        <w:t>mu’minun</w:t>
      </w:r>
      <w:r>
        <w:t xml:space="preserve">) were bound not by descent but by faith. This moral transformation created the </w:t>
      </w:r>
      <w:r>
        <w:rPr>
          <w:rStyle w:val="8"/>
          <w:b/>
          <w:bCs/>
        </w:rPr>
        <w:t>ummah</w:t>
      </w:r>
      <w:r>
        <w:t>—a universal community of believers that superseded tribal divisions. In the Qur’an’s language, “The believers are but a single brotherhood,” marking a decisive break with blood-based identity.</w:t>
      </w:r>
    </w:p>
    <w:p w14:paraId="31E4E06A">
      <w:pPr>
        <w:pStyle w:val="13"/>
        <w:spacing w:line="480" w:lineRule="auto"/>
        <w:jc w:val="both"/>
      </w:pPr>
      <w:r>
        <w:t>This innovation allowed the Arabs to unify under a common moral vision, enabling the rapid expansion of the Islamic polity across Arabia, Persia, and the Levant within decades. Yet, as Fukuyama observes, tribal tendencies did not vanish entirely; they resurfaced as the Islamic empire expanded and absorbed diverse peoples. The enduring challenge for Muslim rulers became how to institutionalize this newfound moral unity into durable administrative structures.</w:t>
      </w:r>
    </w:p>
    <w:p w14:paraId="34820D4A">
      <w:pPr>
        <w:pStyle w:val="4"/>
        <w:spacing w:line="480" w:lineRule="auto"/>
        <w:jc w:val="both"/>
      </w:pPr>
      <w:r>
        <w:rPr>
          <w:rStyle w:val="14"/>
          <w:b/>
          <w:bCs/>
        </w:rPr>
        <w:t>5.3.2 The Caliphate and the Challenge of Governance</w:t>
      </w:r>
    </w:p>
    <w:p w14:paraId="7C448DFF">
      <w:pPr>
        <w:pStyle w:val="13"/>
        <w:spacing w:line="480" w:lineRule="auto"/>
        <w:jc w:val="both"/>
      </w:pPr>
      <w:r>
        <w:t xml:space="preserve">Following Muhammad’s death in 632 CE, questions of </w:t>
      </w:r>
      <w:r>
        <w:rPr>
          <w:rStyle w:val="14"/>
        </w:rPr>
        <w:t>succession and legitimacy</w:t>
      </w:r>
      <w:r>
        <w:t xml:space="preserve"> immediately tested the unity of the </w:t>
      </w:r>
      <w:r>
        <w:rPr>
          <w:rStyle w:val="8"/>
        </w:rPr>
        <w:t>ummah</w:t>
      </w:r>
      <w:r>
        <w:t>. The first four “Rightly Guided” (</w:t>
      </w:r>
      <w:r>
        <w:rPr>
          <w:rStyle w:val="8"/>
        </w:rPr>
        <w:t>Rashidun</w:t>
      </w:r>
      <w:r>
        <w:t>) Caliphs governed largely by personal virtue and religious authority, relying on the Prophet’s moral legacy rather than bureaucratic mechanisms.</w:t>
      </w:r>
      <w:r>
        <w:rPr>
          <w:rStyle w:val="10"/>
        </w:rPr>
        <w:footnoteReference w:id="68"/>
      </w:r>
      <w:r>
        <w:t xml:space="preserve"> As Islam spread across vast territories—from Spain to Central Asia—this charismatic model proved insufficient.</w:t>
      </w:r>
    </w:p>
    <w:p w14:paraId="6D085FBA">
      <w:pPr>
        <w:pStyle w:val="13"/>
        <w:spacing w:line="480" w:lineRule="auto"/>
        <w:jc w:val="both"/>
      </w:pPr>
      <w:r>
        <w:t xml:space="preserve">Under the </w:t>
      </w:r>
      <w:r>
        <w:rPr>
          <w:rStyle w:val="14"/>
        </w:rPr>
        <w:t>Umayyad (661–750 CE)</w:t>
      </w:r>
      <w:r>
        <w:t xml:space="preserve"> and </w:t>
      </w:r>
      <w:r>
        <w:rPr>
          <w:rStyle w:val="14"/>
        </w:rPr>
        <w:t>Abbasid (750–1258 CE)</w:t>
      </w:r>
      <w:r>
        <w:t xml:space="preserve"> dynasties, Islam evolved from a prophetic movement into an imperial civilization. Fukuyama notes that “the Caliphate transformed religious community into political hierarchy, but it could not escape the pull of kinship.” Appointments and favors followed family lines; Arab tribal rivalries continued within the state. The result was a fragile empire held together more by moral legitimacy than by institutional discipline.</w:t>
      </w:r>
    </w:p>
    <w:p w14:paraId="754D5894">
      <w:pPr>
        <w:pStyle w:val="13"/>
        <w:spacing w:line="480" w:lineRule="auto"/>
        <w:jc w:val="both"/>
      </w:pPr>
      <w:r>
        <w:t xml:space="preserve">The central dilemma of Islamic governance thus mirrored that of earlier civilizations: how to construct impersonal administration within a world still organized by personal loyalties. The Muslim solution emerged in a strikingly original form—the </w:t>
      </w:r>
      <w:r>
        <w:rPr>
          <w:rStyle w:val="14"/>
        </w:rPr>
        <w:t>creation of slave and foreign administrative classes</w:t>
      </w:r>
      <w:r>
        <w:t xml:space="preserve"> whose allegiance was severed from lineage and ethnicity.</w:t>
      </w:r>
    </w:p>
    <w:p w14:paraId="334C2944">
      <w:pPr>
        <w:pStyle w:val="4"/>
        <w:spacing w:line="480" w:lineRule="auto"/>
        <w:jc w:val="both"/>
      </w:pPr>
      <w:r>
        <w:rPr>
          <w:rStyle w:val="14"/>
          <w:b/>
          <w:bCs/>
        </w:rPr>
        <w:t>5.3.3 The Slave-Soldier System (Mamluks)</w:t>
      </w:r>
    </w:p>
    <w:p w14:paraId="0BD7E727">
      <w:pPr>
        <w:pStyle w:val="13"/>
        <w:spacing w:line="480" w:lineRule="auto"/>
        <w:jc w:val="both"/>
      </w:pPr>
      <w:r>
        <w:t xml:space="preserve">Beginning in the eighth century, Muslim rulers institutionalized a system of </w:t>
      </w:r>
      <w:r>
        <w:rPr>
          <w:rStyle w:val="14"/>
        </w:rPr>
        <w:t>slave-soldiers</w:t>
      </w:r>
      <w:r>
        <w:t xml:space="preserve">, or </w:t>
      </w:r>
      <w:r>
        <w:rPr>
          <w:rStyle w:val="14"/>
        </w:rPr>
        <w:t>Mamluks</w:t>
      </w:r>
      <w:r>
        <w:t xml:space="preserve"> (“owned men”), recruited largely from non-Arab populations in Central Asia, the Caucasus, and Eastern Europe.</w:t>
      </w:r>
      <w:r>
        <w:rPr>
          <w:rStyle w:val="10"/>
        </w:rPr>
        <w:footnoteReference w:id="69"/>
      </w:r>
      <w:r>
        <w:t xml:space="preserve"> Trained from youth in military and bureaucratic discipline, these men were indoctrinated to serve the ruler personally but without kinship ties or hereditary claims.</w:t>
      </w:r>
    </w:p>
    <w:p w14:paraId="74CB87A6">
      <w:pPr>
        <w:pStyle w:val="13"/>
        <w:spacing w:line="480" w:lineRule="auto"/>
        <w:jc w:val="both"/>
      </w:pPr>
      <w:r>
        <w:t xml:space="preserve">Fukuyama describes this as “a deliberate institutional solution to the problem of </w:t>
      </w:r>
      <w:r>
        <w:rPr>
          <w:rStyle w:val="8"/>
        </w:rPr>
        <w:t>asabiyya</w:t>
      </w:r>
      <w:r>
        <w:t xml:space="preserve">; they replaced blood-based loyalty with artificial bonds of servitude and discipline.” By relying on Mamluks, Abbasid Caliphs—and later dynasties such as the </w:t>
      </w:r>
      <w:r>
        <w:rPr>
          <w:rStyle w:val="14"/>
        </w:rPr>
        <w:t>Seljuks</w:t>
      </w:r>
      <w:r>
        <w:t xml:space="preserve">, </w:t>
      </w:r>
      <w:r>
        <w:rPr>
          <w:rStyle w:val="14"/>
        </w:rPr>
        <w:t>Fatimids</w:t>
      </w:r>
      <w:r>
        <w:t xml:space="preserve">, and </w:t>
      </w:r>
      <w:r>
        <w:rPr>
          <w:rStyle w:val="14"/>
        </w:rPr>
        <w:t>Ottomans</w:t>
      </w:r>
      <w:r>
        <w:t xml:space="preserve">—could bypass tribal elites and create </w:t>
      </w:r>
      <w:r>
        <w:rPr>
          <w:rStyle w:val="14"/>
        </w:rPr>
        <w:t>centralized military and administrative apparatuses</w:t>
      </w:r>
      <w:r>
        <w:t>.</w:t>
      </w:r>
    </w:p>
    <w:p w14:paraId="3F1FEC42">
      <w:pPr>
        <w:pStyle w:val="13"/>
        <w:spacing w:line="480" w:lineRule="auto"/>
        <w:jc w:val="both"/>
      </w:pPr>
      <w:r>
        <w:t>The Mamluks functioned as a political class akin to the Chinese mandarinate, but based on loyalty rather than education. Their disciplined detachment from kinship produced efficiency and cohesion, yet their dependence on personal patronage made the system inherently fragile.</w:t>
      </w:r>
    </w:p>
    <w:p w14:paraId="46B76AAE">
      <w:pPr>
        <w:pStyle w:val="4"/>
        <w:spacing w:line="480" w:lineRule="auto"/>
        <w:jc w:val="both"/>
      </w:pPr>
      <w:r>
        <w:rPr>
          <w:rStyle w:val="14"/>
          <w:b/>
          <w:bCs/>
        </w:rPr>
        <w:t>5.3.4 Religion as a Source of Impersonal Order</w:t>
      </w:r>
    </w:p>
    <w:p w14:paraId="058472BA">
      <w:pPr>
        <w:pStyle w:val="13"/>
        <w:spacing w:line="480" w:lineRule="auto"/>
        <w:jc w:val="both"/>
      </w:pPr>
      <w:r>
        <w:t xml:space="preserve">Islam’s transcendence of kinship was not achieved through bureaucracy alone but through its </w:t>
      </w:r>
      <w:r>
        <w:rPr>
          <w:rStyle w:val="14"/>
        </w:rPr>
        <w:t>religious universalism</w:t>
      </w:r>
      <w:r>
        <w:t xml:space="preserve">. The Qur’an’s vision of humanity united under one God redefined political legitimacy: “The </w:t>
      </w:r>
      <w:r>
        <w:rPr>
          <w:rStyle w:val="8"/>
        </w:rPr>
        <w:t>ummah</w:t>
      </w:r>
      <w:r>
        <w:t>,” Fukuyama writes, “was humanity’s first large-scale moral community based on shared belief rather than kinship.”</w:t>
      </w:r>
      <w:r>
        <w:rPr>
          <w:rStyle w:val="10"/>
        </w:rPr>
        <w:footnoteReference w:id="70"/>
      </w:r>
    </w:p>
    <w:p w14:paraId="4531F10F">
      <w:pPr>
        <w:pStyle w:val="13"/>
        <w:spacing w:line="480" w:lineRule="auto"/>
        <w:jc w:val="both"/>
      </w:pPr>
      <w:r>
        <w:t xml:space="preserve">This moral unity enabled a form of impersonal order that bound rulers and subjects alike under </w:t>
      </w:r>
      <w:r>
        <w:rPr>
          <w:rStyle w:val="14"/>
        </w:rPr>
        <w:t>divine law (</w:t>
      </w:r>
      <w:r>
        <w:rPr>
          <w:rStyle w:val="8"/>
          <w:b/>
          <w:bCs/>
        </w:rPr>
        <w:t>shari‘a</w:t>
      </w:r>
      <w:r>
        <w:rPr>
          <w:rStyle w:val="14"/>
        </w:rPr>
        <w:t>)</w:t>
      </w:r>
      <w:r>
        <w:t xml:space="preserve">. As </w:t>
      </w:r>
      <w:r>
        <w:rPr>
          <w:rStyle w:val="14"/>
        </w:rPr>
        <w:t>Max Weber</w:t>
      </w:r>
      <w:r>
        <w:t xml:space="preserve"> observed, Islam constituted a “religiously rationalized theocracy” in which authority was legitimized through adherence to revealed law.</w:t>
      </w:r>
      <w:r>
        <w:rPr>
          <w:rStyle w:val="10"/>
        </w:rPr>
        <w:footnoteReference w:id="71"/>
      </w:r>
      <w:r>
        <w:t xml:space="preserve"> The </w:t>
      </w:r>
      <w:r>
        <w:rPr>
          <w:rStyle w:val="8"/>
          <w:b/>
          <w:bCs/>
        </w:rPr>
        <w:t>ulama</w:t>
      </w:r>
      <w:r>
        <w:t xml:space="preserve"> (religious scholars) became custodians of this moral order, interpreting </w:t>
      </w:r>
      <w:r>
        <w:rPr>
          <w:rStyle w:val="8"/>
          <w:b/>
          <w:bCs/>
        </w:rPr>
        <w:t>shari‘a</w:t>
      </w:r>
      <w:r>
        <w:t xml:space="preserve"> and constraining political power through doctrine rather than institutions.</w:t>
      </w:r>
    </w:p>
    <w:p w14:paraId="27F99BBA">
      <w:pPr>
        <w:pStyle w:val="13"/>
        <w:spacing w:line="480" w:lineRule="auto"/>
        <w:jc w:val="both"/>
      </w:pPr>
      <w:r>
        <w:t>The consequence was paradoxical: while Islam replaced tribal custom with universal law, its sacred nature made reform difficult. Fukuyama explains that “because Islamic law was divine and immutable, rulers could not easily adapt institutions without religious sanction.” Thus, moral order triumphed over administrative flexibility.</w:t>
      </w:r>
    </w:p>
    <w:p w14:paraId="2DD7E8CB">
      <w:pPr>
        <w:pStyle w:val="4"/>
        <w:spacing w:line="480" w:lineRule="auto"/>
        <w:jc w:val="both"/>
      </w:pPr>
      <w:r>
        <w:rPr>
          <w:rStyle w:val="14"/>
          <w:b/>
          <w:bCs/>
        </w:rPr>
        <w:t>5.3.5 The Abbasid Bureaucratic Empire</w:t>
      </w:r>
    </w:p>
    <w:p w14:paraId="4F0A6C64">
      <w:pPr>
        <w:pStyle w:val="13"/>
        <w:spacing w:line="480" w:lineRule="auto"/>
        <w:jc w:val="both"/>
      </w:pPr>
      <w:r>
        <w:t xml:space="preserve">The </w:t>
      </w:r>
      <w:r>
        <w:rPr>
          <w:rStyle w:val="14"/>
        </w:rPr>
        <w:t>Abbasid Caliphate</w:t>
      </w:r>
      <w:r>
        <w:t xml:space="preserve"> (750–1258 CE) reached the height of Islamic administrative sophistication. Its capital, </w:t>
      </w:r>
      <w:r>
        <w:rPr>
          <w:rStyle w:val="14"/>
        </w:rPr>
        <w:t>Baghdad</w:t>
      </w:r>
      <w:r>
        <w:t>, became the intellectual and bureaucratic center of the medieval world. Non-Arab officials—Persians, Turks, and others—staffed the expanding civil service, reflecting the empire’s cosmopolitan character.</w:t>
      </w:r>
    </w:p>
    <w:p w14:paraId="5DED1E74">
      <w:pPr>
        <w:pStyle w:val="13"/>
        <w:spacing w:line="480" w:lineRule="auto"/>
        <w:jc w:val="both"/>
      </w:pPr>
      <w:r>
        <w:t xml:space="preserve">Fukuyama notes that “the Abbasids succeeded in creating a professional bureaucracy, but its cohesion rested on personal dependence rather than institutional permanence.” Offices were tied to households rather than to enduring state structures. As </w:t>
      </w:r>
      <w:r>
        <w:rPr>
          <w:rStyle w:val="14"/>
        </w:rPr>
        <w:t>Douglass North</w:t>
      </w:r>
      <w:r>
        <w:t xml:space="preserve"> later theorized, such personalized institutions can maintain order temporarily but fail to generate predictable, impersonal rules necessary for long-term development.</w:t>
      </w:r>
      <w:r>
        <w:rPr>
          <w:rStyle w:val="10"/>
        </w:rPr>
        <w:footnoteReference w:id="72"/>
      </w:r>
    </w:p>
    <w:p w14:paraId="6CB63815">
      <w:pPr>
        <w:pStyle w:val="13"/>
        <w:spacing w:line="480" w:lineRule="auto"/>
        <w:jc w:val="both"/>
      </w:pPr>
      <w:r>
        <w:t>When the central authority of the Caliph weakened, these same Mamluks, viziers, and governors asserted autonomy, fragmenting the empire into competing successor states. The very mechanism that had freed the state from tribalism eventually reproduced patrimonial tendencies in new forms.</w:t>
      </w:r>
    </w:p>
    <w:p w14:paraId="259265B5">
      <w:pPr>
        <w:pStyle w:val="4"/>
        <w:spacing w:line="480" w:lineRule="auto"/>
        <w:jc w:val="both"/>
      </w:pPr>
      <w:r>
        <w:rPr>
          <w:rStyle w:val="14"/>
          <w:b/>
          <w:bCs/>
        </w:rPr>
        <w:t>5.3.6 The Paradox of Islamic Political Development</w:t>
      </w:r>
    </w:p>
    <w:p w14:paraId="7C548FC4">
      <w:pPr>
        <w:pStyle w:val="13"/>
        <w:spacing w:line="480" w:lineRule="auto"/>
        <w:jc w:val="both"/>
      </w:pPr>
      <w:r>
        <w:t>Fukuyama identifies Islam’s trajectory as deeply paradoxical. On one hand, Islam achieved an extraordinary moral and cultural unity unmatched in world history—a civilization bound by a single law, faith, and language. On the other hand, its political institutions remained personalistic, constrained by religious legitimacy. “Islam,” Fukuyama writes, “solved the problem of tribalism but never fully achieved impersonal administration.”</w:t>
      </w:r>
      <w:r>
        <w:rPr>
          <w:rStyle w:val="10"/>
        </w:rPr>
        <w:footnoteReference w:id="73"/>
      </w:r>
    </w:p>
    <w:p w14:paraId="531C4930">
      <w:pPr>
        <w:pStyle w:val="13"/>
        <w:spacing w:line="480" w:lineRule="auto"/>
        <w:jc w:val="both"/>
      </w:pPr>
      <w:r>
        <w:t xml:space="preserve">This limitation stemmed from the theological nature of authority. Political legitimacy depended on conformity to divine law rather than institutional continuity. As </w:t>
      </w:r>
      <w:r>
        <w:rPr>
          <w:rStyle w:val="14"/>
        </w:rPr>
        <w:t>Samuel Huntington</w:t>
      </w:r>
      <w:r>
        <w:t xml:space="preserve"> observed, “authority is moral before it is institutional,” meaning that when political order is grounded in religion, it resists bureaucratic rationalization.</w:t>
      </w:r>
      <w:r>
        <w:rPr>
          <w:rStyle w:val="10"/>
        </w:rPr>
        <w:footnoteReference w:id="74"/>
      </w:r>
    </w:p>
    <w:p w14:paraId="7F30A15B">
      <w:pPr>
        <w:pStyle w:val="4"/>
        <w:spacing w:line="480" w:lineRule="auto"/>
        <w:jc w:val="both"/>
      </w:pPr>
      <w:r>
        <w:rPr>
          <w:rStyle w:val="14"/>
          <w:b/>
          <w:bCs/>
        </w:rPr>
        <w:t>5.3.7 The Long-Term Legacy: From Mamluks to Ottomans</w:t>
      </w:r>
    </w:p>
    <w:p w14:paraId="07AB27FB">
      <w:pPr>
        <w:pStyle w:val="13"/>
        <w:spacing w:line="480" w:lineRule="auto"/>
        <w:jc w:val="both"/>
      </w:pPr>
      <w:r>
        <w:t xml:space="preserve">The institutional legacy of Islam’s “exit from tribalism” endured for centuries. The </w:t>
      </w:r>
      <w:r>
        <w:rPr>
          <w:rStyle w:val="14"/>
        </w:rPr>
        <w:t>Ottoman Empire</w:t>
      </w:r>
      <w:r>
        <w:t xml:space="preserve"> perfected the model through the </w:t>
      </w:r>
      <w:r>
        <w:rPr>
          <w:rStyle w:val="14"/>
        </w:rPr>
        <w:t>devshirme</w:t>
      </w:r>
      <w:r>
        <w:t xml:space="preserve"> system, which conscripted Christian youths from the Balkans, converted them to Islam, and trained them as elite soldiers (</w:t>
      </w:r>
      <w:r>
        <w:rPr>
          <w:rStyle w:val="8"/>
        </w:rPr>
        <w:t>Janissaries</w:t>
      </w:r>
      <w:r>
        <w:t>) and administrators. This innovation represented the culmination of Fukuyama’s theme: “The Ottomans built a powerful, centralized state not by destroying kinship, but by creating institutions outside it.”</w:t>
      </w:r>
      <w:r>
        <w:rPr>
          <w:rStyle w:val="10"/>
        </w:rPr>
        <w:footnoteReference w:id="75"/>
      </w:r>
    </w:p>
    <w:p w14:paraId="4C298ED7">
      <w:pPr>
        <w:pStyle w:val="13"/>
        <w:spacing w:line="480" w:lineRule="auto"/>
        <w:jc w:val="both"/>
      </w:pPr>
      <w:r>
        <w:t>The Janissaries and Ottoman bureaucracy became pillars of stability and imperial expansion. Yet, as in earlier cases, time eroded their integrity. Offices turned hereditary, corruption spread, and the once-disciplined corps degenerated into a privileged caste—mirroring the cyclical pattern of political decay Fukuyama observes across civilizations.</w:t>
      </w:r>
    </w:p>
    <w:p w14:paraId="7159B2F5">
      <w:pPr>
        <w:pStyle w:val="4"/>
        <w:spacing w:line="480" w:lineRule="auto"/>
        <w:jc w:val="both"/>
      </w:pPr>
      <w:r>
        <w:rPr>
          <w:rStyle w:val="14"/>
          <w:b/>
          <w:bCs/>
        </w:rPr>
        <w:t>5.3.8 Conclusion: The Islamic Path to Political Order</w:t>
      </w:r>
    </w:p>
    <w:p w14:paraId="19334D94">
      <w:pPr>
        <w:pStyle w:val="13"/>
        <w:spacing w:line="480" w:lineRule="auto"/>
        <w:jc w:val="both"/>
      </w:pPr>
      <w:r>
        <w:t xml:space="preserve">Fukuyama situates Islam’s political evolution within his broader theory of institutional development. Each great civilization, he argues, confronted the same dilemma of transcending kinship and personal rule. China solved it through bureaucratic hierarchy; India through religious morality; and Islam through </w:t>
      </w:r>
      <w:r>
        <w:rPr>
          <w:rStyle w:val="14"/>
        </w:rPr>
        <w:t>a synthesis of both—religious universalism supported by institutional innovation</w:t>
      </w:r>
      <w:r>
        <w:t>.</w:t>
      </w:r>
    </w:p>
    <w:p w14:paraId="6033E1E2">
      <w:pPr>
        <w:pStyle w:val="13"/>
        <w:spacing w:line="480" w:lineRule="auto"/>
        <w:jc w:val="both"/>
      </w:pPr>
      <w:r>
        <w:t>The creation of the slave-soldier system allowed the Islamic world to forge centralized authority without abolishing moral restraint. Yet, as history shows, every solution to patrimonialism carries within it the seeds of new decay. Islam’s achievement was monumental: the construction of a moral empire that unified diverse peoples under a single law. Its limitation was equally profound: the inability to translate moral order into permanent institutional autonomy.</w:t>
      </w:r>
    </w:p>
    <w:p w14:paraId="3175B240">
      <w:pPr>
        <w:pStyle w:val="13"/>
        <w:spacing w:line="480" w:lineRule="auto"/>
        <w:jc w:val="both"/>
      </w:pPr>
      <w:r>
        <w:t>Through this analysis, Fukuyama illuminates how the Islamic world’s evolution reflects the universal tension between moral legitimacy and administrative efficiency—the same tension that defines the history of political order itself.</w:t>
      </w:r>
    </w:p>
    <w:p w14:paraId="4ED8D807">
      <w:pPr>
        <w:jc w:val="both"/>
        <w:rPr>
          <w:rFonts w:ascii="Times New Roman" w:hAnsi="Times New Roman" w:cs="Times New Roman"/>
          <w:b/>
          <w:bCs/>
          <w:sz w:val="28"/>
          <w:szCs w:val="28"/>
        </w:rPr>
      </w:pPr>
      <w:r>
        <w:rPr>
          <w:rFonts w:ascii="Times New Roman" w:hAnsi="Times New Roman" w:cs="Times New Roman"/>
          <w:b/>
          <w:bCs/>
          <w:sz w:val="28"/>
          <w:szCs w:val="28"/>
        </w:rPr>
        <w:t xml:space="preserve">6.0 THE RULE OF LAW </w:t>
      </w:r>
    </w:p>
    <w:p w14:paraId="400C5E32">
      <w:pPr>
        <w:pStyle w:val="3"/>
        <w:jc w:val="both"/>
        <w:rPr>
          <w:rFonts w:ascii="Times New Roman" w:hAnsi="Times New Roman" w:cs="Times New Roman"/>
          <w:b/>
          <w:bCs/>
          <w:color w:val="auto"/>
          <w:sz w:val="28"/>
          <w:szCs w:val="28"/>
        </w:rPr>
      </w:pPr>
      <w:r>
        <w:rPr>
          <w:rStyle w:val="14"/>
          <w:rFonts w:ascii="Times New Roman" w:hAnsi="Times New Roman" w:cs="Times New Roman"/>
          <w:color w:val="auto"/>
          <w:sz w:val="28"/>
          <w:szCs w:val="28"/>
        </w:rPr>
        <w:t>6.1 The Papal Revolution and the Birth of the Rule of Law: Institutional Conflict, Legal Rationality, and the Rise of Western Political Order</w:t>
      </w:r>
    </w:p>
    <w:p w14:paraId="3586685A">
      <w:pPr>
        <w:pStyle w:val="13"/>
        <w:spacing w:line="480" w:lineRule="auto"/>
        <w:jc w:val="both"/>
      </w:pPr>
      <w:r>
        <w:t xml:space="preserve">Francis Fukuyama identifies the </w:t>
      </w:r>
      <w:r>
        <w:rPr>
          <w:rStyle w:val="14"/>
          <w:b w:val="0"/>
          <w:bCs w:val="0"/>
        </w:rPr>
        <w:t>Papal Revolution of the 11th and 12th centuries</w:t>
      </w:r>
      <w:r>
        <w:t xml:space="preserve"> as one of the most transformative moments in world history.</w:t>
      </w:r>
      <w:r>
        <w:rPr>
          <w:rStyle w:val="10"/>
        </w:rPr>
        <w:footnoteReference w:id="76"/>
      </w:r>
      <w:r>
        <w:t xml:space="preserve"> Unlike in China, where the state absorbed religion, or in the Islamic world, where religion dominated politics, Western Europe developed a unique </w:t>
      </w:r>
      <w:r>
        <w:rPr>
          <w:rStyle w:val="14"/>
          <w:b w:val="0"/>
          <w:bCs w:val="0"/>
        </w:rPr>
        <w:t>dualism</w:t>
      </w:r>
      <w:r>
        <w:t xml:space="preserve"> between spiritual and temporal authority. This enduring tension between Church and state produced the </w:t>
      </w:r>
      <w:r>
        <w:rPr>
          <w:rStyle w:val="14"/>
          <w:b w:val="0"/>
          <w:bCs w:val="0"/>
        </w:rPr>
        <w:t>rule of law</w:t>
      </w:r>
      <w:r>
        <w:t>—the principle that all, including rulers, are bound by law.</w:t>
      </w:r>
      <w:r>
        <w:rPr>
          <w:rStyle w:val="10"/>
        </w:rPr>
        <w:footnoteReference w:id="77"/>
      </w:r>
    </w:p>
    <w:p w14:paraId="005E036A">
      <w:pPr>
        <w:pStyle w:val="4"/>
        <w:spacing w:line="480" w:lineRule="auto"/>
        <w:jc w:val="both"/>
      </w:pPr>
      <w:r>
        <w:rPr>
          <w:rStyle w:val="14"/>
          <w:b/>
          <w:bCs/>
        </w:rPr>
        <w:t>6.1.1 The Gregorian Reforms and the Assertion of Ecclesiastical Autonomy</w:t>
      </w:r>
    </w:p>
    <w:p w14:paraId="31B5AE42">
      <w:pPr>
        <w:pStyle w:val="13"/>
        <w:spacing w:line="480" w:lineRule="auto"/>
        <w:jc w:val="both"/>
      </w:pPr>
      <w:r>
        <w:t xml:space="preserve">The roots of the Papal Revolution lay in the </w:t>
      </w:r>
      <w:r>
        <w:rPr>
          <w:rStyle w:val="14"/>
        </w:rPr>
        <w:t>Gregorian Reforms</w:t>
      </w:r>
      <w:r>
        <w:t xml:space="preserve"> initiated by </w:t>
      </w:r>
      <w:r>
        <w:rPr>
          <w:rStyle w:val="14"/>
        </w:rPr>
        <w:t>Pope Gregory VII (1073–1085)</w:t>
      </w:r>
      <w:r>
        <w:t xml:space="preserve">, whose goal was to free the Church from secular domination. In the early Middle Ages, monarchs routinely appointed bishops and abbots through </w:t>
      </w:r>
      <w:r>
        <w:rPr>
          <w:rStyle w:val="14"/>
        </w:rPr>
        <w:t>lay investiture</w:t>
      </w:r>
      <w:r>
        <w:t>, symbolically bestowing ecclesiastical offices. This practice intertwined the Church with feudal politics and compromised its spiritual authority.</w:t>
      </w:r>
    </w:p>
    <w:p w14:paraId="21EAEF06">
      <w:pPr>
        <w:pStyle w:val="13"/>
        <w:spacing w:line="480" w:lineRule="auto"/>
        <w:jc w:val="both"/>
      </w:pPr>
      <w:r>
        <w:t>Fukuyama observes that “the Church’s campaign for autonomy was the first great institutional revolution of the West.”</w:t>
      </w:r>
      <w:r>
        <w:rPr>
          <w:rStyle w:val="10"/>
        </w:rPr>
        <w:footnoteReference w:id="78"/>
      </w:r>
      <w:r>
        <w:t xml:space="preserve"> In 1075, Gregory issued the </w:t>
      </w:r>
      <w:r>
        <w:rPr>
          <w:rStyle w:val="14"/>
        </w:rPr>
        <w:t>Dictatus Papae</w:t>
      </w:r>
      <w:r>
        <w:t xml:space="preserve">, proclaiming papal supremacy over all Christian rulers. The declaration sparked the </w:t>
      </w:r>
      <w:r>
        <w:rPr>
          <w:rStyle w:val="14"/>
        </w:rPr>
        <w:t>Investiture Controversy</w:t>
      </w:r>
      <w:r>
        <w:t xml:space="preserve">, a prolonged struggle between the papacy and the </w:t>
      </w:r>
      <w:r>
        <w:rPr>
          <w:rStyle w:val="14"/>
        </w:rPr>
        <w:t>Holy Roman Empire</w:t>
      </w:r>
      <w:r>
        <w:t>.</w:t>
      </w:r>
    </w:p>
    <w:p w14:paraId="4CE08143">
      <w:pPr>
        <w:pStyle w:val="13"/>
        <w:spacing w:line="480" w:lineRule="auto"/>
        <w:jc w:val="both"/>
      </w:pPr>
      <w:r>
        <w:t xml:space="preserve">According to </w:t>
      </w:r>
      <w:r>
        <w:rPr>
          <w:rStyle w:val="14"/>
        </w:rPr>
        <w:t>Max Weber</w:t>
      </w:r>
      <w:r>
        <w:t>, this confrontation was pivotal in differentiating religious and political power: “Out of the struggle between Emperor and Pope grew the differentiation of spiritual and temporal powers that shaped the Western state.” The Church’s assertion of independence laid the groundwork for a moral order above kings an early articulation of legal accountability.</w:t>
      </w:r>
    </w:p>
    <w:p w14:paraId="5BCBB723">
      <w:pPr>
        <w:pStyle w:val="4"/>
        <w:spacing w:line="480" w:lineRule="auto"/>
        <w:jc w:val="both"/>
      </w:pPr>
      <w:r>
        <w:rPr>
          <w:rStyle w:val="14"/>
          <w:b/>
          <w:bCs/>
        </w:rPr>
        <w:t>6.1.2 The Investiture Controversy and the Legal Revolution</w:t>
      </w:r>
    </w:p>
    <w:p w14:paraId="313DA4B7">
      <w:pPr>
        <w:pStyle w:val="13"/>
        <w:spacing w:line="480" w:lineRule="auto"/>
        <w:jc w:val="both"/>
      </w:pPr>
      <w:r>
        <w:t xml:space="preserve">The </w:t>
      </w:r>
      <w:r>
        <w:rPr>
          <w:rStyle w:val="14"/>
        </w:rPr>
        <w:t>Investiture Controversy (1075–1122)</w:t>
      </w:r>
      <w:r>
        <w:t xml:space="preserve">, pitting Gregory VII against Emperor </w:t>
      </w:r>
      <w:r>
        <w:rPr>
          <w:rStyle w:val="14"/>
        </w:rPr>
        <w:t>Henry IV</w:t>
      </w:r>
      <w:r>
        <w:t xml:space="preserve">, was both political and ideological. When Henry defied the papal decrees, Gregory excommunicated him, provoking rebellion among the German princes. The famous scene at </w:t>
      </w:r>
      <w:r>
        <w:rPr>
          <w:rStyle w:val="14"/>
        </w:rPr>
        <w:t>Canossa (1077)</w:t>
      </w:r>
      <w:r>
        <w:t>, where the emperor stood barefoot in the snow seeking absolution, symbolized the triumph of moral over temporal power. Fukuyama writes that this moment “created the conceptual space for law to stand above rulers.”</w:t>
      </w:r>
    </w:p>
    <w:p w14:paraId="24E4C2A5">
      <w:pPr>
        <w:pStyle w:val="13"/>
        <w:spacing w:line="480" w:lineRule="auto"/>
        <w:jc w:val="both"/>
      </w:pPr>
      <w:r>
        <w:t xml:space="preserve">This moral shift soon became institutional. The Church’s victory spurred the codification of </w:t>
      </w:r>
      <w:r>
        <w:rPr>
          <w:rStyle w:val="14"/>
        </w:rPr>
        <w:t>canon law</w:t>
      </w:r>
      <w:r>
        <w:t xml:space="preserve">, beginning with </w:t>
      </w:r>
      <w:r>
        <w:rPr>
          <w:rStyle w:val="14"/>
        </w:rPr>
        <w:t xml:space="preserve">Gratian’s </w:t>
      </w:r>
      <w:r>
        <w:rPr>
          <w:rStyle w:val="8"/>
          <w:b/>
          <w:bCs/>
        </w:rPr>
        <w:t>Decretum</w:t>
      </w:r>
      <w:r>
        <w:t xml:space="preserve"> at the </w:t>
      </w:r>
      <w:r>
        <w:rPr>
          <w:rStyle w:val="14"/>
        </w:rPr>
        <w:t>University of Bologna</w:t>
      </w:r>
      <w:r>
        <w:t xml:space="preserve"> in the 12th century. The new legal system introduced procedural norms—appeals, rights of the accused, and written decrees—that transcended personal rule. As </w:t>
      </w:r>
      <w:r>
        <w:rPr>
          <w:rStyle w:val="14"/>
        </w:rPr>
        <w:t>Douglass North</w:t>
      </w:r>
      <w:r>
        <w:t xml:space="preserve"> later noted, “The creation of a rule-bound legal system is the foundation of all subsequent institutional evolution.”</w:t>
      </w:r>
      <w:r>
        <w:rPr>
          <w:rStyle w:val="10"/>
        </w:rPr>
        <w:footnoteReference w:id="79"/>
      </w:r>
    </w:p>
    <w:p w14:paraId="770BF653">
      <w:pPr>
        <w:pStyle w:val="13"/>
        <w:spacing w:line="480" w:lineRule="auto"/>
        <w:jc w:val="both"/>
      </w:pPr>
      <w:r>
        <w:t xml:space="preserve">The Church thus became Europe’s first </w:t>
      </w:r>
      <w:r>
        <w:rPr>
          <w:rStyle w:val="14"/>
        </w:rPr>
        <w:t>legal bureaucracy</w:t>
      </w:r>
      <w:r>
        <w:t>, defining governance through codified norms rather than personal command.</w:t>
      </w:r>
    </w:p>
    <w:p w14:paraId="20F5CBCF">
      <w:pPr>
        <w:pStyle w:val="4"/>
        <w:spacing w:line="480" w:lineRule="auto"/>
        <w:jc w:val="both"/>
      </w:pPr>
      <w:r>
        <w:rPr>
          <w:rStyle w:val="14"/>
          <w:b/>
          <w:bCs/>
        </w:rPr>
        <w:t>6.1.3 The Rise of Legal Rationalism</w:t>
      </w:r>
    </w:p>
    <w:p w14:paraId="10988F35">
      <w:pPr>
        <w:pStyle w:val="13"/>
        <w:spacing w:line="480" w:lineRule="auto"/>
        <w:jc w:val="both"/>
      </w:pPr>
      <w:r>
        <w:t xml:space="preserve">The codification of canon law marked the birth of </w:t>
      </w:r>
      <w:r>
        <w:rPr>
          <w:rStyle w:val="14"/>
        </w:rPr>
        <w:t>legal rationalism</w:t>
      </w:r>
      <w:r>
        <w:t>, a defining feature of Western civilization.</w:t>
      </w:r>
      <w:r>
        <w:rPr>
          <w:rStyle w:val="10"/>
        </w:rPr>
        <w:footnoteReference w:id="80"/>
      </w:r>
      <w:r>
        <w:t xml:space="preserve"> Law became an autonomous domain governed by logic, precedent, and professional expertise. Fukuyama writes, “The Church’s intellectualization of law provided the model for secular jurisprudence.”</w:t>
      </w:r>
    </w:p>
    <w:p w14:paraId="47BA90E9">
      <w:pPr>
        <w:pStyle w:val="13"/>
        <w:spacing w:line="480" w:lineRule="auto"/>
        <w:jc w:val="both"/>
      </w:pPr>
      <w:r>
        <w:t xml:space="preserve">In universities such as </w:t>
      </w:r>
      <w:r>
        <w:rPr>
          <w:rStyle w:val="14"/>
        </w:rPr>
        <w:t>Bologna</w:t>
      </w:r>
      <w:r>
        <w:t xml:space="preserve"> and </w:t>
      </w:r>
      <w:r>
        <w:rPr>
          <w:rStyle w:val="14"/>
        </w:rPr>
        <w:t>Paris</w:t>
      </w:r>
      <w:r>
        <w:t>, legal scholars developed methods of interpretation and disputation that shaped the curriculum of Europe’s first academic institutions. According to Weber, “The West alone produced a rational legal system administered by specialized officials.” The Church’s reliance on reasoned procedures, record-keeping, and formal precedent prefigured the bureaucratic governance of modern states.</w:t>
      </w:r>
    </w:p>
    <w:p w14:paraId="5B561E5F">
      <w:pPr>
        <w:pStyle w:val="13"/>
        <w:spacing w:line="480" w:lineRule="auto"/>
        <w:jc w:val="both"/>
      </w:pPr>
      <w:r>
        <w:t xml:space="preserve">In essence, the medieval Church was the first </w:t>
      </w:r>
      <w:r>
        <w:rPr>
          <w:rStyle w:val="14"/>
        </w:rPr>
        <w:t>rule-bound organization</w:t>
      </w:r>
      <w:r>
        <w:t xml:space="preserve"> in Europe—impersonal, meritocratic, and legally self-governing.</w:t>
      </w:r>
    </w:p>
    <w:p w14:paraId="11D819A7">
      <w:pPr>
        <w:pStyle w:val="4"/>
        <w:spacing w:line="480" w:lineRule="auto"/>
        <w:jc w:val="both"/>
      </w:pPr>
      <w:r>
        <w:rPr>
          <w:rStyle w:val="14"/>
          <w:b/>
          <w:bCs/>
        </w:rPr>
        <w:t>6.1.4 The Dualism of Church and State</w:t>
      </w:r>
    </w:p>
    <w:p w14:paraId="2A5CC7CD">
      <w:pPr>
        <w:pStyle w:val="13"/>
        <w:spacing w:line="480" w:lineRule="auto"/>
        <w:jc w:val="both"/>
      </w:pPr>
      <w:r>
        <w:t xml:space="preserve">Europe’s political structure diverged sharply from the monistic models of other civilizations. In </w:t>
      </w:r>
      <w:r>
        <w:rPr>
          <w:rStyle w:val="14"/>
        </w:rPr>
        <w:t>China</w:t>
      </w:r>
      <w:r>
        <w:t xml:space="preserve">, the emperor’s authority was total; in the </w:t>
      </w:r>
      <w:r>
        <w:rPr>
          <w:rStyle w:val="14"/>
        </w:rPr>
        <w:t>Islamic world</w:t>
      </w:r>
      <w:r>
        <w:t xml:space="preserve">, divine law constrained rulers but prevented institutional differentiation. In </w:t>
      </w:r>
      <w:r>
        <w:rPr>
          <w:rStyle w:val="14"/>
        </w:rPr>
        <w:t>India</w:t>
      </w:r>
      <w:r>
        <w:t xml:space="preserve">, religion subsumed politics altogether. In contrast, medieval Europe produced </w:t>
      </w:r>
      <w:r>
        <w:rPr>
          <w:rStyle w:val="14"/>
        </w:rPr>
        <w:t>institutional pluralism</w:t>
      </w:r>
      <w:r>
        <w:t>: the Church and the state coexisted in tension, neither able to annihilate the other.</w:t>
      </w:r>
      <w:r>
        <w:rPr>
          <w:rStyle w:val="10"/>
        </w:rPr>
        <w:footnoteReference w:id="81"/>
      </w:r>
    </w:p>
    <w:p w14:paraId="4469DCCA">
      <w:pPr>
        <w:pStyle w:val="13"/>
        <w:spacing w:line="480" w:lineRule="auto"/>
        <w:jc w:val="both"/>
      </w:pPr>
      <w:r>
        <w:t xml:space="preserve">Fukuyama calls this “a self-sustaining balance of power that nurtured liberty.” The Holy Roman Emperor ruled by divine sanction but could be excommunicated by the Pope; the Pope held moral supremacy but depended on secular protection. This mutual limitation gave rise to </w:t>
      </w:r>
      <w:r>
        <w:rPr>
          <w:rStyle w:val="14"/>
        </w:rPr>
        <w:t>the rule of law</w:t>
      </w:r>
      <w:r>
        <w:t>—law binding ruler and ruled alike.</w:t>
      </w:r>
    </w:p>
    <w:p w14:paraId="2C47F8A4">
      <w:pPr>
        <w:pStyle w:val="4"/>
        <w:spacing w:line="480" w:lineRule="auto"/>
        <w:jc w:val="both"/>
      </w:pPr>
      <w:r>
        <w:rPr>
          <w:rStyle w:val="14"/>
          <w:b/>
          <w:bCs/>
        </w:rPr>
        <w:t>6.1.5 Law, Education, and Bureaucratic Expansion</w:t>
      </w:r>
    </w:p>
    <w:p w14:paraId="601A7B73">
      <w:pPr>
        <w:pStyle w:val="13"/>
        <w:spacing w:line="480" w:lineRule="auto"/>
        <w:jc w:val="both"/>
      </w:pPr>
      <w:r>
        <w:t xml:space="preserve">The Papal Revolution also sparked an intellectual and administrative transformation. The Church’s reliance on written law and trained jurists led to the establishment of </w:t>
      </w:r>
      <w:r>
        <w:rPr>
          <w:rStyle w:val="14"/>
        </w:rPr>
        <w:t>universities</w:t>
      </w:r>
      <w:r>
        <w:t>, which became centers for legal and bureaucratic education. Literacy and record-keeping expanded, creating a professional class of clerics and administrators who staffed both ecclesiastical and secular institutions.</w:t>
      </w:r>
    </w:p>
    <w:p w14:paraId="72FEDCBE">
      <w:pPr>
        <w:pStyle w:val="13"/>
        <w:spacing w:line="480" w:lineRule="auto"/>
        <w:jc w:val="both"/>
      </w:pPr>
      <w:r>
        <w:t>This integration of legal knowledge into governance made the Church the prototype of modern administration—rational, hierarchical, and document-based.</w:t>
      </w:r>
    </w:p>
    <w:p w14:paraId="3667496E">
      <w:pPr>
        <w:pStyle w:val="4"/>
        <w:spacing w:line="480" w:lineRule="auto"/>
        <w:jc w:val="both"/>
      </w:pPr>
      <w:r>
        <w:rPr>
          <w:rStyle w:val="14"/>
          <w:b/>
          <w:bCs/>
        </w:rPr>
        <w:t>6.1.6 The Church as Proto-State</w:t>
      </w:r>
    </w:p>
    <w:p w14:paraId="3378C3B9">
      <w:pPr>
        <w:pStyle w:val="13"/>
        <w:spacing w:line="480" w:lineRule="auto"/>
        <w:jc w:val="both"/>
      </w:pPr>
      <w:r>
        <w:t xml:space="preserve">In asserting autonomy from monarchs, the Church paradoxically became a </w:t>
      </w:r>
      <w:r>
        <w:rPr>
          <w:rStyle w:val="14"/>
        </w:rPr>
        <w:t>state-like institution</w:t>
      </w:r>
      <w:r>
        <w:t>. It established administrative offices, taxation systems (</w:t>
      </w:r>
      <w:r>
        <w:rPr>
          <w:rStyle w:val="8"/>
        </w:rPr>
        <w:t>tithes</w:t>
      </w:r>
      <w:r>
        <w:t>), and judicial courts. Fukuyama notes, “The Church was the first European institution to separate public office from private property.” Through celibacy and appointment by merit, Church offices became non-hereditary, severing the link between governance and kinship.</w:t>
      </w:r>
    </w:p>
    <w:p w14:paraId="3AF963FA">
      <w:pPr>
        <w:pStyle w:val="13"/>
        <w:spacing w:line="480" w:lineRule="auto"/>
        <w:jc w:val="both"/>
      </w:pPr>
      <w:r>
        <w:t xml:space="preserve">Weber recognized this as the emergence of </w:t>
      </w:r>
      <w:r>
        <w:rPr>
          <w:rStyle w:val="14"/>
        </w:rPr>
        <w:t>rational-legal authority</w:t>
      </w:r>
      <w:r>
        <w:t>—legitimacy based on law and office rather than lineage or charisma.</w:t>
      </w:r>
      <w:r>
        <w:rPr>
          <w:rStyle w:val="10"/>
        </w:rPr>
        <w:footnoteReference w:id="82"/>
      </w:r>
      <w:r>
        <w:t xml:space="preserve"> The Church’s model of governance prefigured the bureaucratic states of the Renaissance and modern Europe.</w:t>
      </w:r>
    </w:p>
    <w:p w14:paraId="0C7D4A83">
      <w:pPr>
        <w:pStyle w:val="4"/>
        <w:spacing w:line="480" w:lineRule="auto"/>
        <w:jc w:val="both"/>
      </w:pPr>
      <w:r>
        <w:rPr>
          <w:rStyle w:val="14"/>
          <w:b/>
          <w:bCs/>
        </w:rPr>
        <w:t>6.1.7 The Long-Term Consequences</w:t>
      </w:r>
    </w:p>
    <w:p w14:paraId="3DA02B27">
      <w:pPr>
        <w:pStyle w:val="13"/>
        <w:spacing w:line="480" w:lineRule="auto"/>
        <w:jc w:val="both"/>
      </w:pPr>
      <w:r>
        <w:t xml:space="preserve">The Papal Revolution’s most profound legacy was the institutionalization of the </w:t>
      </w:r>
      <w:r>
        <w:rPr>
          <w:rStyle w:val="14"/>
        </w:rPr>
        <w:t>rule of law</w:t>
      </w:r>
      <w:r>
        <w:t xml:space="preserve">. By asserting that moral and legal authority could exist independent of rulers, the Church laid the foundation for </w:t>
      </w:r>
      <w:r>
        <w:rPr>
          <w:rStyle w:val="14"/>
        </w:rPr>
        <w:t>constitutionalism</w:t>
      </w:r>
      <w:r>
        <w:t xml:space="preserve"> and </w:t>
      </w:r>
      <w:r>
        <w:rPr>
          <w:rStyle w:val="14"/>
        </w:rPr>
        <w:t>individual rights</w:t>
      </w:r>
      <w:r>
        <w:t>. Fukuyama concludes, “The rule of law in Europe did not originate from secular rulers restraining themselves, but from the Church’s assertion of a higher moral law.”</w:t>
      </w:r>
    </w:p>
    <w:p w14:paraId="6E3A919B">
      <w:pPr>
        <w:pStyle w:val="13"/>
        <w:spacing w:line="480" w:lineRule="auto"/>
        <w:jc w:val="both"/>
      </w:pPr>
      <w:r>
        <w:t xml:space="preserve">As </w:t>
      </w:r>
      <w:r>
        <w:rPr>
          <w:rStyle w:val="14"/>
        </w:rPr>
        <w:t>Charles Tilly</w:t>
      </w:r>
      <w:r>
        <w:t xml:space="preserve"> later summarized, “War made the state, but law made legitimate states.” Europe’s pluralistic structure—Church versus monarchy—produced a diversity of institutions and checks that became the hallmark of Western freedom.</w:t>
      </w:r>
    </w:p>
    <w:p w14:paraId="4B0356FB">
      <w:pPr>
        <w:pStyle w:val="13"/>
        <w:spacing w:line="480" w:lineRule="auto"/>
        <w:jc w:val="both"/>
      </w:pPr>
      <w:r>
        <w:t>The Papal Revolution redefined political order by subordinating power to principle. Out of conflict between pope and emperor emerged the revolutionary notion that law, not will, governs legitimacy. Fukuyama concludes, “Without the Papal Revolution, there would have been no rule of law—and without the rule of law, no freedom.”</w:t>
      </w:r>
    </w:p>
    <w:p w14:paraId="5A2CBD7D">
      <w:pPr>
        <w:pStyle w:val="3"/>
        <w:spacing w:line="480" w:lineRule="auto"/>
        <w:jc w:val="both"/>
        <w:rPr>
          <w:rFonts w:ascii="Times New Roman" w:hAnsi="Times New Roman" w:cs="Times New Roman"/>
          <w:color w:val="auto"/>
          <w:sz w:val="28"/>
          <w:szCs w:val="28"/>
        </w:rPr>
      </w:pPr>
      <w:r>
        <w:rPr>
          <w:rStyle w:val="14"/>
          <w:rFonts w:ascii="Times New Roman" w:hAnsi="Times New Roman" w:cs="Times New Roman"/>
          <w:color w:val="auto"/>
          <w:sz w:val="28"/>
          <w:szCs w:val="28"/>
        </w:rPr>
        <w:t>6.2 Christianity Undermines the Family: The Church, Kinship, and the Foundations of Western Individualism</w:t>
      </w:r>
    </w:p>
    <w:p w14:paraId="016E4A3E">
      <w:pPr>
        <w:pStyle w:val="13"/>
        <w:spacing w:line="480" w:lineRule="auto"/>
        <w:jc w:val="both"/>
      </w:pPr>
      <w:r>
        <w:t xml:space="preserve">If the Papal Revolution created Europe’s </w:t>
      </w:r>
      <w:r>
        <w:rPr>
          <w:rStyle w:val="14"/>
        </w:rPr>
        <w:t>legal order</w:t>
      </w:r>
      <w:r>
        <w:t xml:space="preserve">, Christianity’s campaign against extended kinship created its </w:t>
      </w:r>
      <w:r>
        <w:rPr>
          <w:rStyle w:val="14"/>
        </w:rPr>
        <w:t>social order</w:t>
      </w:r>
      <w:r>
        <w:t>. Fukuyama identifies the Church’s systematic attack on the extended family as a decisive step in Europe’s escape from tribalism.</w:t>
      </w:r>
      <w:r>
        <w:rPr>
          <w:rStyle w:val="10"/>
        </w:rPr>
        <w:footnoteReference w:id="83"/>
      </w:r>
    </w:p>
    <w:p w14:paraId="7F22DA3A">
      <w:pPr>
        <w:pStyle w:val="4"/>
        <w:spacing w:line="480" w:lineRule="auto"/>
        <w:jc w:val="both"/>
      </w:pPr>
      <w:r>
        <w:rPr>
          <w:rStyle w:val="14"/>
          <w:b/>
          <w:bCs/>
        </w:rPr>
        <w:t>6.2.1 The Problem of Kinship in Early Europe</w:t>
      </w:r>
    </w:p>
    <w:p w14:paraId="771ADBA1">
      <w:pPr>
        <w:pStyle w:val="13"/>
        <w:spacing w:line="480" w:lineRule="auto"/>
        <w:jc w:val="both"/>
      </w:pPr>
      <w:r>
        <w:t>Before Christianization, early European societies, particularly the Germanic tribes, were governed by extended kin groups (</w:t>
      </w:r>
      <w:r>
        <w:rPr>
          <w:rStyle w:val="8"/>
          <w:b/>
          <w:bCs/>
        </w:rPr>
        <w:t>Sippen</w:t>
      </w:r>
      <w:r>
        <w:t>) that controlled land, vengeance, and justice. Fukuyama remarks that “in early medieval Europe, the kin group was the state.” These familial networks provided stability but hindered the emergence of impersonal authority.</w:t>
      </w:r>
    </w:p>
    <w:p w14:paraId="5C689EE8">
      <w:pPr>
        <w:pStyle w:val="4"/>
        <w:spacing w:line="480" w:lineRule="auto"/>
        <w:jc w:val="both"/>
      </w:pPr>
      <w:r>
        <w:rPr>
          <w:rStyle w:val="14"/>
          <w:b/>
          <w:bCs/>
        </w:rPr>
        <w:t>6.2.2 The Church’s Assault on Extended Kinship</w:t>
      </w:r>
    </w:p>
    <w:p w14:paraId="34A50804">
      <w:pPr>
        <w:pStyle w:val="13"/>
        <w:spacing w:line="480" w:lineRule="auto"/>
        <w:jc w:val="both"/>
      </w:pPr>
      <w:r>
        <w:t xml:space="preserve">From the sixth century onward, the Catholic Church launched a deliberate effort to dismantle kin-based organization. It enacted doctrines that prohibited </w:t>
      </w:r>
      <w:r>
        <w:rPr>
          <w:rStyle w:val="14"/>
        </w:rPr>
        <w:t>cousin marriage</w:t>
      </w:r>
      <w:r>
        <w:t xml:space="preserve">, banned </w:t>
      </w:r>
      <w:r>
        <w:rPr>
          <w:rStyle w:val="14"/>
        </w:rPr>
        <w:t>adoption</w:t>
      </w:r>
      <w:r>
        <w:t xml:space="preserve"> and </w:t>
      </w:r>
      <w:r>
        <w:rPr>
          <w:rStyle w:val="14"/>
        </w:rPr>
        <w:t>concubinage</w:t>
      </w:r>
      <w:r>
        <w:t xml:space="preserve">, and elevated </w:t>
      </w:r>
      <w:r>
        <w:rPr>
          <w:rStyle w:val="14"/>
        </w:rPr>
        <w:t>monogamous, sacramental marriage</w:t>
      </w:r>
      <w:r>
        <w:t>.</w:t>
      </w:r>
    </w:p>
    <w:p w14:paraId="3A316436">
      <w:pPr>
        <w:pStyle w:val="13"/>
        <w:spacing w:line="480" w:lineRule="auto"/>
        <w:jc w:val="both"/>
      </w:pPr>
      <w:r>
        <w:t xml:space="preserve">Fukuyama calls this campaign “a frontal assault on the clan as the basis of social organization.” By weakening kinship, the Church redirected loyalty from blood to faith, consolidating spiritual authority. </w:t>
      </w:r>
      <w:r>
        <w:rPr>
          <w:rStyle w:val="14"/>
        </w:rPr>
        <w:t>Max Weber</w:t>
      </w:r>
      <w:r>
        <w:t xml:space="preserve"> recognized this as a moral revolution that laid the groundwork for Western individualism.</w:t>
      </w:r>
      <w:r>
        <w:rPr>
          <w:rStyle w:val="10"/>
        </w:rPr>
        <w:footnoteReference w:id="84"/>
      </w:r>
    </w:p>
    <w:p w14:paraId="13DE2E88">
      <w:pPr>
        <w:pStyle w:val="4"/>
        <w:spacing w:line="480" w:lineRule="auto"/>
        <w:jc w:val="both"/>
      </w:pPr>
      <w:r>
        <w:rPr>
          <w:rStyle w:val="14"/>
          <w:b/>
          <w:bCs/>
        </w:rPr>
        <w:t>6.2.3 The Economics of Family Fragmentation</w:t>
      </w:r>
    </w:p>
    <w:p w14:paraId="4DABD2C0">
      <w:pPr>
        <w:pStyle w:val="13"/>
        <w:spacing w:line="480" w:lineRule="auto"/>
        <w:jc w:val="both"/>
      </w:pPr>
      <w:r>
        <w:t>The Church’s prohibitions transformed Europe’s economic landscape. By restricting inheritance through kin lines, property became fragmented. Families could no longer preserve wealth through marriage alliances and thus donated land to the Church for salvation. Fukuyama observes, “In weakening the family, the Church strengthened itself, accumulating vast tracts of land and wealth.”</w:t>
      </w:r>
    </w:p>
    <w:p w14:paraId="53C0E431">
      <w:pPr>
        <w:pStyle w:val="13"/>
        <w:spacing w:line="480" w:lineRule="auto"/>
        <w:jc w:val="both"/>
      </w:pPr>
      <w:r>
        <w:t xml:space="preserve">Celibate clergy and merit-based appointments made the Church Europe’s first </w:t>
      </w:r>
      <w:r>
        <w:rPr>
          <w:rStyle w:val="14"/>
        </w:rPr>
        <w:t>impersonal corporate entity</w:t>
      </w:r>
      <w:r>
        <w:t xml:space="preserve">, functioning like a bureaucratic state. In </w:t>
      </w:r>
      <w:r>
        <w:rPr>
          <w:rStyle w:val="14"/>
        </w:rPr>
        <w:t>Douglass North’s</w:t>
      </w:r>
      <w:r>
        <w:t xml:space="preserve"> terms, this marked a shift from personal to rule-based organization.</w:t>
      </w:r>
    </w:p>
    <w:p w14:paraId="29FF20D7">
      <w:pPr>
        <w:pStyle w:val="4"/>
        <w:spacing w:line="480" w:lineRule="auto"/>
        <w:jc w:val="both"/>
      </w:pPr>
      <w:r>
        <w:rPr>
          <w:rStyle w:val="14"/>
          <w:b/>
          <w:bCs/>
        </w:rPr>
        <w:t>6.2.4 Christianity and the Individual</w:t>
      </w:r>
    </w:p>
    <w:p w14:paraId="3B9BA74E">
      <w:pPr>
        <w:pStyle w:val="13"/>
        <w:spacing w:line="480" w:lineRule="auto"/>
        <w:jc w:val="both"/>
      </w:pPr>
      <w:r>
        <w:t xml:space="preserve">At the heart of Christianity’s social transformation was the elevation of the </w:t>
      </w:r>
      <w:r>
        <w:rPr>
          <w:rStyle w:val="14"/>
        </w:rPr>
        <w:t>individual</w:t>
      </w:r>
      <w:r>
        <w:t xml:space="preserve">. Salvation was personal, not hereditary: “Before God,” Fukuyama writes, “all souls were equal.”¹⁵ This universal moral equality dissolved collective identity and introduced personal responsibility. </w:t>
      </w:r>
      <w:r>
        <w:rPr>
          <w:rStyle w:val="14"/>
        </w:rPr>
        <w:t>Weber</w:t>
      </w:r>
      <w:r>
        <w:t xml:space="preserve"> observed that “Christianity universalized moral accountability; it individualized the ethical actor.”</w:t>
      </w:r>
    </w:p>
    <w:p w14:paraId="5D6E34F3">
      <w:pPr>
        <w:pStyle w:val="13"/>
        <w:spacing w:line="480" w:lineRule="auto"/>
        <w:jc w:val="both"/>
      </w:pPr>
      <w:r>
        <w:t xml:space="preserve">This individualism provided the moral foundation for </w:t>
      </w:r>
      <w:r>
        <w:rPr>
          <w:rStyle w:val="14"/>
        </w:rPr>
        <w:t>citizenship</w:t>
      </w:r>
      <w:r>
        <w:t xml:space="preserve">, </w:t>
      </w:r>
      <w:r>
        <w:rPr>
          <w:rStyle w:val="14"/>
        </w:rPr>
        <w:t>legal equality</w:t>
      </w:r>
      <w:r>
        <w:t xml:space="preserve">, and </w:t>
      </w:r>
      <w:r>
        <w:rPr>
          <w:rStyle w:val="14"/>
        </w:rPr>
        <w:t>representative governance</w:t>
      </w:r>
      <w:r>
        <w:t>—core elements of modern political order.</w:t>
      </w:r>
    </w:p>
    <w:p w14:paraId="67F23168">
      <w:pPr>
        <w:pStyle w:val="4"/>
        <w:spacing w:line="480" w:lineRule="auto"/>
        <w:jc w:val="both"/>
      </w:pPr>
      <w:r>
        <w:rPr>
          <w:rStyle w:val="14"/>
          <w:b/>
          <w:bCs/>
        </w:rPr>
        <w:t>6.2.5 Cultural and Economic Transformation</w:t>
      </w:r>
    </w:p>
    <w:p w14:paraId="515E4888">
      <w:pPr>
        <w:pStyle w:val="13"/>
        <w:spacing w:line="480" w:lineRule="auto"/>
        <w:jc w:val="both"/>
      </w:pPr>
      <w:r>
        <w:t xml:space="preserve">Over the centuries, these reforms eroded the power of extended families, replacing them with </w:t>
      </w:r>
      <w:r>
        <w:rPr>
          <w:rStyle w:val="14"/>
        </w:rPr>
        <w:t>nuclear households</w:t>
      </w:r>
      <w:r>
        <w:t xml:space="preserve">, </w:t>
      </w:r>
      <w:r>
        <w:rPr>
          <w:rStyle w:val="14"/>
        </w:rPr>
        <w:t>voluntary associations</w:t>
      </w:r>
      <w:r>
        <w:t xml:space="preserve">, and </w:t>
      </w:r>
      <w:r>
        <w:rPr>
          <w:rStyle w:val="14"/>
        </w:rPr>
        <w:t>urban institutions</w:t>
      </w:r>
      <w:r>
        <w:t xml:space="preserve">. Fukuyama notes, “Europe was the first major civilization to escape the grip of kinship without replacing it with despotism.” This transformation encouraged </w:t>
      </w:r>
      <w:r>
        <w:rPr>
          <w:rStyle w:val="14"/>
        </w:rPr>
        <w:t>social trust</w:t>
      </w:r>
      <w:r>
        <w:t xml:space="preserve"> among non-relatives, a precondition for markets and cities.</w:t>
      </w:r>
    </w:p>
    <w:p w14:paraId="29117CDF">
      <w:pPr>
        <w:pStyle w:val="13"/>
        <w:spacing w:line="480" w:lineRule="auto"/>
        <w:jc w:val="both"/>
      </w:pPr>
      <w:r>
        <w:t xml:space="preserve">Weber later linked this cultural shift to the </w:t>
      </w:r>
      <w:r>
        <w:rPr>
          <w:rStyle w:val="14"/>
        </w:rPr>
        <w:t>Protestant ethic</w:t>
      </w:r>
      <w:r>
        <w:t>, which encouraged rational work and personal vocation. Fukuyama, however, stresses that the Catholic Church laid the groundwork: “Without the Church’s destruction of kinship, the later achievements of modernity would not have been possible.”</w:t>
      </w:r>
      <w:r>
        <w:rPr>
          <w:rStyle w:val="10"/>
        </w:rPr>
        <w:footnoteReference w:id="85"/>
      </w:r>
    </w:p>
    <w:p w14:paraId="1EF04D55">
      <w:pPr>
        <w:pStyle w:val="4"/>
        <w:spacing w:line="480" w:lineRule="auto"/>
        <w:jc w:val="both"/>
      </w:pPr>
      <w:r>
        <w:rPr>
          <w:rStyle w:val="14"/>
          <w:b/>
          <w:bCs/>
        </w:rPr>
        <w:t>6.2.6 Christianity and Gender</w:t>
      </w:r>
    </w:p>
    <w:p w14:paraId="61ED892D">
      <w:pPr>
        <w:pStyle w:val="13"/>
        <w:spacing w:line="480" w:lineRule="auto"/>
        <w:jc w:val="both"/>
      </w:pPr>
      <w:r>
        <w:t xml:space="preserve">The Church also redefined gender relations. By promoting </w:t>
      </w:r>
      <w:r>
        <w:rPr>
          <w:rStyle w:val="14"/>
        </w:rPr>
        <w:t>monogamy</w:t>
      </w:r>
      <w:r>
        <w:t xml:space="preserve"> and sanctifying marriage, it elevated women’s moral and legal status. Canon law recognized women as individuals, though within patriarchal structures. The same doctrines that dignified women also reinforced male spiritual headship, embedding gender hierarchy within moral equality.</w:t>
      </w:r>
      <w:r>
        <w:rPr>
          <w:rStyle w:val="10"/>
        </w:rPr>
        <w:footnoteReference w:id="86"/>
      </w:r>
    </w:p>
    <w:p w14:paraId="0F7D850C">
      <w:pPr>
        <w:pStyle w:val="13"/>
        <w:spacing w:line="480" w:lineRule="auto"/>
        <w:jc w:val="both"/>
      </w:pPr>
      <w:r>
        <w:t xml:space="preserve">In dismantling the extended family, Christianity liberated individuals from inherited loyalties and replaced kinship with moral and institutional ties. This transformation underpinned Europe’s distinctive path toward </w:t>
      </w:r>
      <w:r>
        <w:rPr>
          <w:rStyle w:val="14"/>
        </w:rPr>
        <w:t>individualism</w:t>
      </w:r>
      <w:r>
        <w:t xml:space="preserve">, </w:t>
      </w:r>
      <w:r>
        <w:rPr>
          <w:rStyle w:val="14"/>
        </w:rPr>
        <w:t>impersonal institutions</w:t>
      </w:r>
      <w:r>
        <w:t xml:space="preserve">, and </w:t>
      </w:r>
      <w:r>
        <w:rPr>
          <w:rStyle w:val="14"/>
        </w:rPr>
        <w:t>rule-based governance</w:t>
      </w:r>
      <w:r>
        <w:t>. Fukuyama concludes that Christianity, beyond its theological mission, was “a civilizational force that redefined human relationships and laid the moral foundations for political modernity.”</w:t>
      </w:r>
    </w:p>
    <w:p w14:paraId="5D65C824">
      <w:pPr>
        <w:pStyle w:val="3"/>
        <w:spacing w:line="480" w:lineRule="auto"/>
        <w:jc w:val="both"/>
        <w:rPr>
          <w:rFonts w:ascii="Times New Roman" w:hAnsi="Times New Roman" w:cs="Times New Roman"/>
          <w:color w:val="auto"/>
          <w:sz w:val="28"/>
          <w:szCs w:val="28"/>
        </w:rPr>
      </w:pPr>
      <w:r>
        <w:rPr>
          <w:rStyle w:val="14"/>
          <w:rFonts w:ascii="Times New Roman" w:hAnsi="Times New Roman" w:cs="Times New Roman"/>
          <w:color w:val="auto"/>
          <w:sz w:val="28"/>
          <w:szCs w:val="28"/>
        </w:rPr>
        <w:t>7.0 The Origins of Accountability</w:t>
      </w:r>
    </w:p>
    <w:p w14:paraId="24BC026B">
      <w:pPr>
        <w:pStyle w:val="4"/>
        <w:spacing w:line="480" w:lineRule="auto"/>
        <w:jc w:val="both"/>
      </w:pPr>
      <w:r>
        <w:rPr>
          <w:rStyle w:val="8"/>
        </w:rPr>
        <w:t>7.1 Representation, Consent, and the Foundations of Modern Political Legitimacy</w:t>
      </w:r>
    </w:p>
    <w:p w14:paraId="5BB58794">
      <w:pPr>
        <w:pStyle w:val="13"/>
        <w:spacing w:line="480" w:lineRule="auto"/>
        <w:jc w:val="both"/>
      </w:pPr>
      <w:r>
        <w:t xml:space="preserve">Francis Fukuyama explores the final pillar of political development in the Western world: </w:t>
      </w:r>
      <w:r>
        <w:rPr>
          <w:rStyle w:val="14"/>
        </w:rPr>
        <w:t>accountability</w:t>
      </w:r>
      <w:r>
        <w:t xml:space="preserve">. Building on earlier chapters that examined the emergence of the </w:t>
      </w:r>
      <w:r>
        <w:rPr>
          <w:rStyle w:val="14"/>
        </w:rPr>
        <w:t>state</w:t>
      </w:r>
      <w:r>
        <w:t xml:space="preserve"> (China) and the </w:t>
      </w:r>
      <w:r>
        <w:rPr>
          <w:rStyle w:val="14"/>
        </w:rPr>
        <w:t>rule of law</w:t>
      </w:r>
      <w:r>
        <w:t xml:space="preserve"> (medieval Europe), Fukuyama now turns to the institutions that made rulers answerable to those they governed. Accountability, he argues, is the mechanism that ensures power is exercised not arbitrarily but in accordance with the public interest.</w:t>
      </w:r>
    </w:p>
    <w:p w14:paraId="6C58509A">
      <w:pPr>
        <w:pStyle w:val="13"/>
        <w:spacing w:line="480" w:lineRule="auto"/>
        <w:jc w:val="both"/>
      </w:pPr>
      <w:r>
        <w:t xml:space="preserve">Fukuyama traces the roots of accountability to the </w:t>
      </w:r>
      <w:r>
        <w:rPr>
          <w:rStyle w:val="14"/>
        </w:rPr>
        <w:t>political pluralism of medieval Europe</w:t>
      </w:r>
      <w:r>
        <w:t xml:space="preserve">—a system in which kings, nobles, clergy, and towns all held competing forms of authority. Out of this fragmented landscape emerged representative institutions such as </w:t>
      </w:r>
      <w:r>
        <w:rPr>
          <w:rStyle w:val="14"/>
        </w:rPr>
        <w:t>parliaments</w:t>
      </w:r>
      <w:r>
        <w:t xml:space="preserve">, </w:t>
      </w:r>
      <w:r>
        <w:rPr>
          <w:rStyle w:val="14"/>
        </w:rPr>
        <w:t>estates</w:t>
      </w:r>
      <w:r>
        <w:t xml:space="preserve">, and </w:t>
      </w:r>
      <w:r>
        <w:rPr>
          <w:rStyle w:val="14"/>
        </w:rPr>
        <w:t>assemblies</w:t>
      </w:r>
      <w:r>
        <w:t xml:space="preserve">, which limited monarchic power and embodied the principle of </w:t>
      </w:r>
      <w:r>
        <w:rPr>
          <w:rStyle w:val="14"/>
        </w:rPr>
        <w:t>consent of the governed</w:t>
      </w:r>
      <w:r>
        <w:t xml:space="preserve">. Unlike in China, where the state was powerful but unaccountable, or in the Islamic world, where law constrained rulers but society remained hierarchical, Europe produced a synthesis: </w:t>
      </w:r>
      <w:r>
        <w:rPr>
          <w:rStyle w:val="14"/>
        </w:rPr>
        <w:t>power constrained by both law and representation</w:t>
      </w:r>
      <w:r>
        <w:t>.</w:t>
      </w:r>
      <w:r>
        <w:rPr>
          <w:rStyle w:val="10"/>
        </w:rPr>
        <w:footnoteReference w:id="87"/>
      </w:r>
    </w:p>
    <w:p w14:paraId="131921FA">
      <w:pPr>
        <w:pStyle w:val="4"/>
        <w:spacing w:line="480" w:lineRule="auto"/>
        <w:jc w:val="both"/>
      </w:pPr>
      <w:r>
        <w:rPr>
          <w:rStyle w:val="14"/>
          <w:b/>
          <w:bCs/>
        </w:rPr>
        <w:t>7.1.1 The Meaning of Accountability</w:t>
      </w:r>
    </w:p>
    <w:p w14:paraId="46393B60">
      <w:pPr>
        <w:pStyle w:val="13"/>
        <w:spacing w:line="480" w:lineRule="auto"/>
        <w:jc w:val="both"/>
      </w:pPr>
      <w:r>
        <w:t>Fukuyama begins by defining accountability as “the obligation of rulers to justify their actions to the ruled and to face consequences for misconduct.”</w:t>
      </w:r>
      <w:r>
        <w:rPr>
          <w:rStyle w:val="10"/>
        </w:rPr>
        <w:footnoteReference w:id="88"/>
      </w:r>
      <w:r>
        <w:t xml:space="preserve"> It involves two dimensions:</w:t>
      </w:r>
    </w:p>
    <w:p w14:paraId="1CA7BDA0">
      <w:pPr>
        <w:pStyle w:val="13"/>
        <w:numPr>
          <w:ilvl w:val="0"/>
          <w:numId w:val="2"/>
        </w:numPr>
        <w:spacing w:line="480" w:lineRule="auto"/>
        <w:jc w:val="both"/>
      </w:pPr>
      <w:r>
        <w:rPr>
          <w:rStyle w:val="14"/>
        </w:rPr>
        <w:t>Vertical accountability</w:t>
      </w:r>
      <w:r>
        <w:t>, where citizens hold leaders responsible through elections or consent; and</w:t>
      </w:r>
    </w:p>
    <w:p w14:paraId="6A225E3E">
      <w:pPr>
        <w:pStyle w:val="13"/>
        <w:numPr>
          <w:ilvl w:val="0"/>
          <w:numId w:val="2"/>
        </w:numPr>
        <w:spacing w:line="480" w:lineRule="auto"/>
        <w:jc w:val="both"/>
      </w:pPr>
      <w:r>
        <w:rPr>
          <w:rStyle w:val="14"/>
        </w:rPr>
        <w:t>Horizontal accountability</w:t>
      </w:r>
      <w:r>
        <w:t>, where institutions—courts, legislatures, or independent bodies—check one another.</w:t>
      </w:r>
    </w:p>
    <w:p w14:paraId="4386566D">
      <w:pPr>
        <w:pStyle w:val="13"/>
        <w:spacing w:line="480" w:lineRule="auto"/>
        <w:jc w:val="both"/>
      </w:pPr>
      <w:r>
        <w:t xml:space="preserve">This concept differs from mere legitimacy. A ruler may be legitimate in the eyes of the people or religion but still unaccountable. True accountability requires institutional mechanisms that can </w:t>
      </w:r>
      <w:r>
        <w:rPr>
          <w:rStyle w:val="14"/>
        </w:rPr>
        <w:t>enforce responsibility</w:t>
      </w:r>
      <w:r>
        <w:t xml:space="preserve"> through formal rules and representation.</w:t>
      </w:r>
    </w:p>
    <w:p w14:paraId="25D7314B">
      <w:pPr>
        <w:pStyle w:val="13"/>
        <w:spacing w:line="480" w:lineRule="auto"/>
        <w:jc w:val="both"/>
      </w:pPr>
      <w:r>
        <w:t xml:space="preserve">Fukuyama notes that in the modern world, accountability is often associated with democracy, but historically it arose in </w:t>
      </w:r>
      <w:r>
        <w:rPr>
          <w:rStyle w:val="14"/>
        </w:rPr>
        <w:t>non-democratic contexts</w:t>
      </w:r>
      <w:r>
        <w:t>—through bargains between monarchs and elites over taxation, law, and war. The roots of democratic consent thus lie in medieval Europe’s political compromises rather than revolutionary ideals.</w:t>
      </w:r>
    </w:p>
    <w:p w14:paraId="4B8AC810">
      <w:pPr>
        <w:pStyle w:val="4"/>
        <w:spacing w:line="480" w:lineRule="auto"/>
        <w:jc w:val="both"/>
      </w:pPr>
      <w:r>
        <w:rPr>
          <w:rStyle w:val="14"/>
          <w:b/>
          <w:bCs/>
        </w:rPr>
        <w:t>7.1.2 The Medieval Origins of Representation</w:t>
      </w:r>
    </w:p>
    <w:p w14:paraId="2629E209">
      <w:pPr>
        <w:pStyle w:val="13"/>
        <w:spacing w:line="480" w:lineRule="auto"/>
        <w:jc w:val="both"/>
      </w:pPr>
      <w:r>
        <w:t xml:space="preserve">In medieval Europe, kings depended on </w:t>
      </w:r>
      <w:r>
        <w:rPr>
          <w:rStyle w:val="14"/>
        </w:rPr>
        <w:t>nobles, clergy, and townsmen</w:t>
      </w:r>
      <w:r>
        <w:t xml:space="preserve"> to provide taxes and soldiers. Because wealth was widely distributed among these groups, monarchs could not easily extract resources without negotiation. Out of this necessity grew </w:t>
      </w:r>
      <w:r>
        <w:rPr>
          <w:rStyle w:val="14"/>
        </w:rPr>
        <w:t>representative assemblies</w:t>
      </w:r>
      <w:r>
        <w:t>—forums where elites granted consent in exchange for privileges and participation in governance.</w:t>
      </w:r>
    </w:p>
    <w:p w14:paraId="2FD12D0A">
      <w:pPr>
        <w:pStyle w:val="13"/>
        <w:spacing w:line="480" w:lineRule="auto"/>
        <w:jc w:val="both"/>
      </w:pPr>
      <w:r>
        <w:t xml:space="preserve">Fukuyama emphasizes that “representation was born not of ideology but of practical necessity.” Kings needed cooperation; nobles demanded accountability. The resulting institutions—such as the </w:t>
      </w:r>
      <w:r>
        <w:rPr>
          <w:rStyle w:val="14"/>
        </w:rPr>
        <w:t>English Parliament</w:t>
      </w:r>
      <w:r>
        <w:t xml:space="preserve">, the </w:t>
      </w:r>
      <w:r>
        <w:rPr>
          <w:rStyle w:val="14"/>
        </w:rPr>
        <w:t>French Estates-General</w:t>
      </w:r>
      <w:r>
        <w:t xml:space="preserve">, and the </w:t>
      </w:r>
      <w:r>
        <w:rPr>
          <w:rStyle w:val="14"/>
        </w:rPr>
        <w:t>Spanish Cortes</w:t>
      </w:r>
      <w:r>
        <w:t>—served as mechanisms of mutual restraint.</w:t>
      </w:r>
    </w:p>
    <w:p w14:paraId="06B9B433">
      <w:pPr>
        <w:pStyle w:val="13"/>
        <w:spacing w:line="480" w:lineRule="auto"/>
        <w:jc w:val="both"/>
      </w:pPr>
      <w:r>
        <w:t xml:space="preserve">Douglass North interprets this as a shift from </w:t>
      </w:r>
      <w:r>
        <w:rPr>
          <w:rStyle w:val="14"/>
        </w:rPr>
        <w:t>limited-access orders</w:t>
      </w:r>
      <w:r>
        <w:t xml:space="preserve"> to </w:t>
      </w:r>
      <w:r>
        <w:rPr>
          <w:rStyle w:val="14"/>
        </w:rPr>
        <w:t>open-access orders</w:t>
      </w:r>
      <w:r>
        <w:t>, where multiple groups gained rights to participate in political and economic life.</w:t>
      </w:r>
      <w:r>
        <w:rPr>
          <w:rStyle w:val="10"/>
        </w:rPr>
        <w:footnoteReference w:id="89"/>
      </w:r>
      <w:r>
        <w:t xml:space="preserve"> The feudal balance of power thus created the foundation for constitutional government.</w:t>
      </w:r>
    </w:p>
    <w:p w14:paraId="23FF865D">
      <w:pPr>
        <w:pStyle w:val="13"/>
        <w:spacing w:line="480" w:lineRule="auto"/>
        <w:jc w:val="both"/>
      </w:pPr>
      <w:r>
        <w:t xml:space="preserve">Max Weber, similarly, saw medieval assemblies as an early form of </w:t>
      </w:r>
      <w:r>
        <w:rPr>
          <w:rStyle w:val="14"/>
        </w:rPr>
        <w:t>legal rationalization</w:t>
      </w:r>
      <w:r>
        <w:t>, replacing arbitrary rule with deliberative consent.</w:t>
      </w:r>
      <w:r>
        <w:rPr>
          <w:rStyle w:val="10"/>
        </w:rPr>
        <w:footnoteReference w:id="90"/>
      </w:r>
      <w:r>
        <w:t xml:space="preserve"> These assemblies institutionalized the notion that the monarch’s power was conditional, not absolute—a revolutionary departure from the despotisms of other civilizations.</w:t>
      </w:r>
    </w:p>
    <w:p w14:paraId="1CD274A1">
      <w:pPr>
        <w:pStyle w:val="4"/>
        <w:spacing w:line="480" w:lineRule="auto"/>
        <w:jc w:val="both"/>
      </w:pPr>
      <w:r>
        <w:rPr>
          <w:rStyle w:val="14"/>
          <w:b/>
          <w:bCs/>
        </w:rPr>
        <w:t>7.1.3 The English Path to Accountability</w:t>
      </w:r>
    </w:p>
    <w:p w14:paraId="50D10BF8">
      <w:pPr>
        <w:pStyle w:val="13"/>
        <w:spacing w:line="480" w:lineRule="auto"/>
        <w:jc w:val="both"/>
      </w:pPr>
      <w:r>
        <w:t xml:space="preserve">Fukuyama highlights </w:t>
      </w:r>
      <w:r>
        <w:rPr>
          <w:rStyle w:val="14"/>
        </w:rPr>
        <w:t>England</w:t>
      </w:r>
      <w:r>
        <w:t xml:space="preserve"> as the most successful case of early accountability. From the Magna Carta (1215) onward, English kings faced organized resistance from their barons and clergy, who demanded the right to be consulted on taxation and law. “The Magna Carta,” Fukuyama writes, “was the first contract between ruler and ruled.”</w:t>
      </w:r>
    </w:p>
    <w:p w14:paraId="7EC50DDE">
      <w:pPr>
        <w:pStyle w:val="13"/>
        <w:spacing w:line="480" w:lineRule="auto"/>
        <w:jc w:val="both"/>
      </w:pPr>
      <w:r>
        <w:t xml:space="preserve">Over the next centuries, England’s </w:t>
      </w:r>
      <w:r>
        <w:rPr>
          <w:rStyle w:val="14"/>
        </w:rPr>
        <w:t>Parliament</w:t>
      </w:r>
      <w:r>
        <w:t xml:space="preserve"> evolved into a permanent institution that linked fiscal consent to political oversight. The principle of “no taxation without representation” emerged as a check on royal authority. The </w:t>
      </w:r>
      <w:r>
        <w:rPr>
          <w:rStyle w:val="14"/>
        </w:rPr>
        <w:t>Glorious Revolution of 1688</w:t>
      </w:r>
      <w:r>
        <w:t xml:space="preserve"> later institutionalized these principles, establishing parliamentary supremacy and the constitutional monarchy.</w:t>
      </w:r>
    </w:p>
    <w:p w14:paraId="68B2099D">
      <w:pPr>
        <w:pStyle w:val="13"/>
        <w:spacing w:line="480" w:lineRule="auto"/>
        <w:jc w:val="both"/>
      </w:pPr>
      <w:r>
        <w:t>Fukuyama notes that English accountability was grounded not in ideology but in social structure: a relatively homogeneous elite class of landowners, merchants, and clergy, whose interests overlapped enough to sustain compromise. Unlike in France or Spain, where monarchy and aristocracy were divided, England’s political community was cohesive.</w:t>
      </w:r>
    </w:p>
    <w:p w14:paraId="3AD3BFDF">
      <w:pPr>
        <w:pStyle w:val="13"/>
        <w:spacing w:line="480" w:lineRule="auto"/>
        <w:jc w:val="both"/>
      </w:pPr>
      <w:r>
        <w:t xml:space="preserve">This continuity allowed England to move from </w:t>
      </w:r>
      <w:r>
        <w:rPr>
          <w:rStyle w:val="14"/>
        </w:rPr>
        <w:t>rule of law</w:t>
      </w:r>
      <w:r>
        <w:t xml:space="preserve"> to </w:t>
      </w:r>
      <w:r>
        <w:rPr>
          <w:rStyle w:val="14"/>
        </w:rPr>
        <w:t>rule by consent</w:t>
      </w:r>
      <w:r>
        <w:t>, linking liberty to institutional representation. Samuel Huntington would later describe this as the successful “institutionalization of participation.”</w:t>
      </w:r>
      <w:r>
        <w:rPr>
          <w:rStyle w:val="10"/>
        </w:rPr>
        <w:footnoteReference w:id="91"/>
      </w:r>
    </w:p>
    <w:p w14:paraId="6874B0B1">
      <w:pPr>
        <w:pStyle w:val="4"/>
        <w:spacing w:line="480" w:lineRule="auto"/>
        <w:jc w:val="both"/>
      </w:pPr>
      <w:r>
        <w:rPr>
          <w:rStyle w:val="14"/>
          <w:b/>
          <w:bCs/>
        </w:rPr>
        <w:t>7.1.4 The Continental Variations</w:t>
      </w:r>
    </w:p>
    <w:p w14:paraId="5FAB589B">
      <w:pPr>
        <w:pStyle w:val="13"/>
        <w:spacing w:line="480" w:lineRule="auto"/>
        <w:jc w:val="both"/>
      </w:pPr>
      <w:r>
        <w:t xml:space="preserve">In contrast, continental Europe’s path to accountability was less linear. In </w:t>
      </w:r>
      <w:r>
        <w:rPr>
          <w:rStyle w:val="14"/>
        </w:rPr>
        <w:t>France</w:t>
      </w:r>
      <w:r>
        <w:t xml:space="preserve">, early assemblies such as the </w:t>
      </w:r>
      <w:r>
        <w:rPr>
          <w:rStyle w:val="14"/>
        </w:rPr>
        <w:t>Estates-General</w:t>
      </w:r>
      <w:r>
        <w:t xml:space="preserve"> were convened sporadically and ultimately sidelined by the growing absolutism of the monarchy. The centralization of power under Louis XIV epitomized the triumph of state over representation.</w:t>
      </w:r>
      <w:r>
        <w:rPr>
          <w:rStyle w:val="10"/>
        </w:rPr>
        <w:footnoteReference w:id="92"/>
      </w:r>
    </w:p>
    <w:p w14:paraId="4B731823">
      <w:pPr>
        <w:pStyle w:val="13"/>
        <w:spacing w:line="480" w:lineRule="auto"/>
        <w:jc w:val="both"/>
      </w:pPr>
      <w:r>
        <w:t xml:space="preserve">Fukuyama explains that France’s failure to sustain accountability stemmed from the </w:t>
      </w:r>
      <w:r>
        <w:rPr>
          <w:rStyle w:val="14"/>
        </w:rPr>
        <w:t>dependence of elites on royal patronage</w:t>
      </w:r>
      <w:r>
        <w:t>: “When power and wealth came from the crown, nobles sought favor rather than consent.” This dynamic reinforced absolutism and delayed constitutional development until the French Revolution.</w:t>
      </w:r>
    </w:p>
    <w:p w14:paraId="1971CAC9">
      <w:pPr>
        <w:pStyle w:val="13"/>
        <w:spacing w:line="480" w:lineRule="auto"/>
        <w:jc w:val="both"/>
      </w:pPr>
      <w:r>
        <w:t xml:space="preserve">In </w:t>
      </w:r>
      <w:r>
        <w:rPr>
          <w:rStyle w:val="14"/>
        </w:rPr>
        <w:t>Spain</w:t>
      </w:r>
      <w:r>
        <w:t xml:space="preserve">, the early Cortes of Castile and Aragon had represented towns and nobles but declined as royal power expanded under Ferdinand and Isabella. In the </w:t>
      </w:r>
      <w:r>
        <w:rPr>
          <w:rStyle w:val="14"/>
        </w:rPr>
        <w:t>Holy Roman Empire</w:t>
      </w:r>
      <w:r>
        <w:t>, accountability was fractured among numerous local princes and city-states, preventing national consolidation.</w:t>
      </w:r>
    </w:p>
    <w:p w14:paraId="5CC09910">
      <w:pPr>
        <w:pStyle w:val="13"/>
        <w:spacing w:line="480" w:lineRule="auto"/>
        <w:jc w:val="both"/>
      </w:pPr>
      <w:r>
        <w:t>Thus, while representative institutions emerged widely across Europe, only a few—most notably England’s Parliament and later the Dutch Estates—became enduring mechanisms of accountability.</w:t>
      </w:r>
    </w:p>
    <w:p w14:paraId="1562CBED">
      <w:pPr>
        <w:pStyle w:val="13"/>
        <w:spacing w:line="480" w:lineRule="auto"/>
        <w:jc w:val="both"/>
      </w:pPr>
      <w:r>
        <w:rPr>
          <w:rStyle w:val="14"/>
        </w:rPr>
        <w:t>7.1.5 The Transformation from Feudalism to Constitutionalism</w:t>
      </w:r>
    </w:p>
    <w:p w14:paraId="0A35F9B9">
      <w:pPr>
        <w:pStyle w:val="13"/>
        <w:spacing w:line="480" w:lineRule="auto"/>
        <w:jc w:val="both"/>
      </w:pPr>
      <w:r>
        <w:t xml:space="preserve">Fukuyama situates the rise of accountability within the broader transition from </w:t>
      </w:r>
      <w:r>
        <w:rPr>
          <w:rStyle w:val="14"/>
        </w:rPr>
        <w:t>feudalism</w:t>
      </w:r>
      <w:r>
        <w:t xml:space="preserve"> to </w:t>
      </w:r>
      <w:r>
        <w:rPr>
          <w:rStyle w:val="14"/>
        </w:rPr>
        <w:t>constitutionalism</w:t>
      </w:r>
      <w:r>
        <w:t xml:space="preserve">. Feudal society was based on reciprocal obligations between lord and vassal, a moral economy of mutual dependence. Over time, these private relationships evolved into </w:t>
      </w:r>
      <w:r>
        <w:rPr>
          <w:rStyle w:val="14"/>
        </w:rPr>
        <w:t>public institutions</w:t>
      </w:r>
      <w:r>
        <w:t xml:space="preserve"> of consent.</w:t>
      </w:r>
      <w:r>
        <w:rPr>
          <w:rStyle w:val="10"/>
        </w:rPr>
        <w:footnoteReference w:id="93"/>
      </w:r>
    </w:p>
    <w:p w14:paraId="53B9F1A4">
      <w:pPr>
        <w:pStyle w:val="13"/>
        <w:spacing w:line="480" w:lineRule="auto"/>
        <w:jc w:val="both"/>
      </w:pPr>
      <w:r>
        <w:t xml:space="preserve">The </w:t>
      </w:r>
      <w:r>
        <w:rPr>
          <w:rStyle w:val="14"/>
        </w:rPr>
        <w:t>feudal contract</w:t>
      </w:r>
      <w:r>
        <w:t xml:space="preserve">—an exchange of service for protection—became the template for constitutional agreements between ruler and subject. As written charters and legal documents proliferated, the principle of </w:t>
      </w:r>
      <w:r>
        <w:rPr>
          <w:rStyle w:val="14"/>
        </w:rPr>
        <w:t>explicit consent</w:t>
      </w:r>
      <w:r>
        <w:t xml:space="preserve"> replaced implicit loyalty.</w:t>
      </w:r>
    </w:p>
    <w:p w14:paraId="5B8C0CFC">
      <w:pPr>
        <w:pStyle w:val="13"/>
        <w:spacing w:line="480" w:lineRule="auto"/>
        <w:jc w:val="both"/>
      </w:pPr>
      <w:r>
        <w:t xml:space="preserve">Fukuyama argues that “the habit of negotiation became the foundation of political legitimacy.” Whereas other civilizations relied on divine sanction or bureaucratic command, Europe built its states on </w:t>
      </w:r>
      <w:r>
        <w:rPr>
          <w:rStyle w:val="14"/>
        </w:rPr>
        <w:t>deliberation and compromise</w:t>
      </w:r>
      <w:r>
        <w:t>. This capacity for institutional bargaining explains the region’s later adaptability and democratic evolution.</w:t>
      </w:r>
    </w:p>
    <w:p w14:paraId="26DB1736">
      <w:pPr>
        <w:pStyle w:val="4"/>
        <w:spacing w:line="480" w:lineRule="auto"/>
        <w:jc w:val="both"/>
      </w:pPr>
      <w:r>
        <w:rPr>
          <w:rStyle w:val="14"/>
          <w:b/>
          <w:bCs/>
        </w:rPr>
        <w:t>7.1.6 The Distinction Between State and Society</w:t>
      </w:r>
    </w:p>
    <w:p w14:paraId="3E16292A">
      <w:pPr>
        <w:pStyle w:val="13"/>
        <w:spacing w:line="480" w:lineRule="auto"/>
        <w:jc w:val="both"/>
      </w:pPr>
      <w:r>
        <w:t xml:space="preserve">One of Fukuyama’s key insights is that accountability in Europe emerged because </w:t>
      </w:r>
      <w:r>
        <w:rPr>
          <w:rStyle w:val="14"/>
        </w:rPr>
        <w:t>society remained strong relative to the state</w:t>
      </w:r>
      <w:r>
        <w:t>. The Church, nobility, cities, and guilds all possessed independent resources and organizational capacity. This pluralism prevented monarchs from achieving absolute control.</w:t>
      </w:r>
    </w:p>
    <w:p w14:paraId="73361316">
      <w:pPr>
        <w:pStyle w:val="13"/>
        <w:spacing w:line="480" w:lineRule="auto"/>
        <w:jc w:val="both"/>
      </w:pPr>
      <w:r>
        <w:t>In Weberian terms, Europe developed a “polycentric system of authority,” in which power was diffused across overlapping jurisdictions.</w:t>
      </w:r>
      <w:r>
        <w:rPr>
          <w:rStyle w:val="10"/>
        </w:rPr>
        <w:footnoteReference w:id="94"/>
      </w:r>
      <w:r>
        <w:t xml:space="preserve"> Fukuyama contrasts this with China, where the state dominated society, and with the Middle East, where religion limited pluralism. In Europe, the constant tension between monarch and community produced both law and liberty.</w:t>
      </w:r>
    </w:p>
    <w:p w14:paraId="675F9288">
      <w:pPr>
        <w:pStyle w:val="13"/>
        <w:spacing w:line="480" w:lineRule="auto"/>
        <w:jc w:val="both"/>
      </w:pPr>
      <w:r>
        <w:t>Huntington later summarized this balance as the essence of political development: “Political order arises when institutions are strong enough to constrain power but flexible enough to adapt.”</w:t>
      </w:r>
      <w:r>
        <w:rPr>
          <w:rStyle w:val="10"/>
        </w:rPr>
        <w:footnoteReference w:id="95"/>
      </w:r>
      <w:r>
        <w:t xml:space="preserve"> Accountability, in Fukuyama’s framework, represents that equilibrium in action.</w:t>
      </w:r>
    </w:p>
    <w:p w14:paraId="58854E3C">
      <w:pPr>
        <w:pStyle w:val="4"/>
        <w:spacing w:line="480" w:lineRule="auto"/>
        <w:jc w:val="both"/>
      </w:pPr>
      <w:r>
        <w:rPr>
          <w:rStyle w:val="14"/>
          <w:b/>
          <w:bCs/>
        </w:rPr>
        <w:t>7.1.7 The Modern Legacy</w:t>
      </w:r>
    </w:p>
    <w:p w14:paraId="0D17440B">
      <w:pPr>
        <w:pStyle w:val="13"/>
        <w:spacing w:line="480" w:lineRule="auto"/>
        <w:jc w:val="both"/>
      </w:pPr>
      <w:r>
        <w:t xml:space="preserve">By the early modern period, the principle of accountability had become embedded in European political culture. The English Civil War (1642–1651) and the </w:t>
      </w:r>
      <w:r>
        <w:rPr>
          <w:rStyle w:val="14"/>
        </w:rPr>
        <w:t>Glorious Revolution (1688)</w:t>
      </w:r>
      <w:r>
        <w:t xml:space="preserve"> consolidated the supremacy of Parliament. In the Netherlands, the merchant republic institutionalized civic participation. Even in monarchies that retained absolute rulers, the expectation of consent persisted.</w:t>
      </w:r>
    </w:p>
    <w:p w14:paraId="509A1138">
      <w:pPr>
        <w:pStyle w:val="13"/>
        <w:spacing w:line="480" w:lineRule="auto"/>
        <w:jc w:val="both"/>
      </w:pPr>
      <w:r>
        <w:t>Fukuyama concludes that “Europe’s political pluralism was its greatest strength; it produced institutions that neither tyranny nor anarchy could destroy.” The combination of a capable state, a moral rule of law, and representative accountability formed what he calls the “three pillars of political order.”</w:t>
      </w:r>
    </w:p>
    <w:p w14:paraId="2F58B11A">
      <w:pPr>
        <w:pStyle w:val="13"/>
        <w:spacing w:line="480" w:lineRule="auto"/>
        <w:jc w:val="both"/>
      </w:pPr>
      <w:r>
        <w:t>This institutional balance became the model for later constitutional democracies and explains the enduring stability of Western political systems compared to other civilizations.</w:t>
      </w:r>
    </w:p>
    <w:p w14:paraId="788F0DEE">
      <w:pPr>
        <w:pStyle w:val="13"/>
        <w:spacing w:line="480" w:lineRule="auto"/>
        <w:jc w:val="both"/>
      </w:pPr>
      <w:r>
        <w:t>In “The Origins of Accountability,” Fukuyama completes his account of how human societies moved from kin-based tribes to modern political institutions. Accountability, born of Europe’s feudal compromises and religious dualism, transformed coercive rule into legitimate governance.</w:t>
      </w:r>
    </w:p>
    <w:p w14:paraId="23165B59">
      <w:pPr>
        <w:pStyle w:val="13"/>
        <w:spacing w:line="480" w:lineRule="auto"/>
        <w:jc w:val="both"/>
      </w:pPr>
      <w:r>
        <w:t xml:space="preserve">The emergence of representative assemblies, legal rights, and moral responsibility created a political order rooted in consent and restraint. While the Chinese perfected state power and the Church established the rule of law, Europe’s distinctive contribution was to make rulers </w:t>
      </w:r>
      <w:r>
        <w:rPr>
          <w:rStyle w:val="14"/>
        </w:rPr>
        <w:t>answerable</w:t>
      </w:r>
      <w:r>
        <w:t xml:space="preserve"> to the governed.</w:t>
      </w:r>
    </w:p>
    <w:p w14:paraId="474B657D">
      <w:pPr>
        <w:pStyle w:val="13"/>
        <w:spacing w:line="480" w:lineRule="auto"/>
        <w:jc w:val="both"/>
      </w:pPr>
      <w:r>
        <w:t>Fukuyama’s synthesis thus reveals that modern democracy did not arise suddenly or ideologically—it evolved through centuries of negotiation, institutional innovation, and moral discipline. The story of accountability is therefore the story of how freedom became law.</w:t>
      </w:r>
    </w:p>
    <w:p w14:paraId="3F026579">
      <w:pPr>
        <w:pStyle w:val="3"/>
        <w:spacing w:line="480" w:lineRule="auto"/>
        <w:jc w:val="both"/>
        <w:rPr>
          <w:rFonts w:ascii="Times New Roman" w:hAnsi="Times New Roman" w:cs="Times New Roman"/>
          <w:color w:val="auto"/>
          <w:sz w:val="28"/>
          <w:szCs w:val="28"/>
        </w:rPr>
      </w:pPr>
      <w:r>
        <w:rPr>
          <w:rStyle w:val="14"/>
          <w:rFonts w:ascii="Times New Roman" w:hAnsi="Times New Roman" w:cs="Times New Roman"/>
          <w:color w:val="auto"/>
          <w:sz w:val="28"/>
          <w:szCs w:val="28"/>
        </w:rPr>
        <w:t>8.0 Political Development and Political Decay</w:t>
      </w:r>
    </w:p>
    <w:p w14:paraId="59FBA946">
      <w:pPr>
        <w:pStyle w:val="4"/>
        <w:spacing w:line="480" w:lineRule="auto"/>
        <w:jc w:val="both"/>
      </w:pPr>
      <w:r>
        <w:rPr>
          <w:rStyle w:val="8"/>
        </w:rPr>
        <w:t>8.1 The Cycles of Order and Decline in Human Governance</w:t>
      </w:r>
    </w:p>
    <w:p w14:paraId="2699C5DD">
      <w:pPr>
        <w:pStyle w:val="13"/>
        <w:spacing w:line="480" w:lineRule="auto"/>
        <w:jc w:val="both"/>
      </w:pPr>
      <w:r>
        <w:t xml:space="preserve"> Francis Fukuyama concludes the first part of </w:t>
      </w:r>
      <w:r>
        <w:rPr>
          <w:rStyle w:val="8"/>
        </w:rPr>
        <w:t>The Origins of Political Order</w:t>
      </w:r>
      <w:r>
        <w:t xml:space="preserve"> by addressing the dynamic nature of political systems. He argues that political development is not a one-way trajectory toward progress but a </w:t>
      </w:r>
      <w:r>
        <w:rPr>
          <w:rStyle w:val="14"/>
        </w:rPr>
        <w:t>cyclical process</w:t>
      </w:r>
      <w:r>
        <w:t xml:space="preserve"> that alternates between creation and decay, renewal and corruption. The same institutions that enable order can, over time, become rigid, self-serving, and detached from the societies they were meant to serve.</w:t>
      </w:r>
      <w:r>
        <w:rPr>
          <w:rStyle w:val="10"/>
        </w:rPr>
        <w:footnoteReference w:id="96"/>
      </w:r>
    </w:p>
    <w:p w14:paraId="1838420F">
      <w:pPr>
        <w:pStyle w:val="13"/>
        <w:spacing w:line="480" w:lineRule="auto"/>
        <w:jc w:val="both"/>
      </w:pPr>
      <w:r>
        <w:t xml:space="preserve">Fukuyama’s central insight is that political decay arises from the </w:t>
      </w:r>
      <w:r>
        <w:rPr>
          <w:rStyle w:val="14"/>
        </w:rPr>
        <w:t>mismatch between institutions and social change</w:t>
      </w:r>
      <w:r>
        <w:t>. As societies evolve economically, socially, and technologically, their political structures must adapt—or they will collapse under the weight of their own stagnation. In this final chapter, Fukuyama synthesizes lessons from China, India, the Islamic world, and Europe to reveal the universal logic of political evolution and decline.]</w:t>
      </w:r>
    </w:p>
    <w:p w14:paraId="414AEAFA">
      <w:pPr>
        <w:pStyle w:val="4"/>
        <w:spacing w:line="480" w:lineRule="auto"/>
        <w:jc w:val="both"/>
      </w:pPr>
      <w:r>
        <w:rPr>
          <w:rStyle w:val="14"/>
          <w:b/>
          <w:bCs/>
        </w:rPr>
        <w:t>8.1.1 Defining Political Development and Decay</w:t>
      </w:r>
    </w:p>
    <w:p w14:paraId="72255521">
      <w:pPr>
        <w:pStyle w:val="13"/>
        <w:spacing w:line="480" w:lineRule="auto"/>
        <w:jc w:val="both"/>
      </w:pPr>
      <w:r>
        <w:t xml:space="preserve">Fukuyama defines </w:t>
      </w:r>
      <w:r>
        <w:rPr>
          <w:rStyle w:val="14"/>
        </w:rPr>
        <w:t>political development</w:t>
      </w:r>
      <w:r>
        <w:t xml:space="preserve"> as the process by which states achieve three essential characteristics:</w:t>
      </w:r>
    </w:p>
    <w:p w14:paraId="1D3FCACD">
      <w:pPr>
        <w:pStyle w:val="13"/>
        <w:numPr>
          <w:ilvl w:val="0"/>
          <w:numId w:val="3"/>
        </w:numPr>
        <w:spacing w:line="480" w:lineRule="auto"/>
        <w:jc w:val="both"/>
      </w:pPr>
      <w:r>
        <w:t xml:space="preserve">A </w:t>
      </w:r>
      <w:r>
        <w:rPr>
          <w:rStyle w:val="14"/>
        </w:rPr>
        <w:t>strong and capable state</w:t>
      </w:r>
      <w:r>
        <w:t>, able to enforce laws and provide security.</w:t>
      </w:r>
    </w:p>
    <w:p w14:paraId="3353DF08">
      <w:pPr>
        <w:pStyle w:val="13"/>
        <w:numPr>
          <w:ilvl w:val="0"/>
          <w:numId w:val="3"/>
        </w:numPr>
        <w:spacing w:line="480" w:lineRule="auto"/>
        <w:jc w:val="both"/>
      </w:pPr>
      <w:r>
        <w:t xml:space="preserve">The </w:t>
      </w:r>
      <w:r>
        <w:rPr>
          <w:rStyle w:val="14"/>
        </w:rPr>
        <w:t>rule of law</w:t>
      </w:r>
      <w:r>
        <w:t>, ensuring that power is exercised within a framework of impersonal norms.</w:t>
      </w:r>
    </w:p>
    <w:p w14:paraId="33A01777">
      <w:pPr>
        <w:pStyle w:val="13"/>
        <w:numPr>
          <w:ilvl w:val="0"/>
          <w:numId w:val="3"/>
        </w:numPr>
        <w:spacing w:line="480" w:lineRule="auto"/>
        <w:jc w:val="both"/>
      </w:pPr>
      <w:r>
        <w:rPr>
          <w:rStyle w:val="14"/>
        </w:rPr>
        <w:t>Accountability</w:t>
      </w:r>
      <w:r>
        <w:t>, the restraint of power through institutional checks and social consent.</w:t>
      </w:r>
    </w:p>
    <w:p w14:paraId="1FB0F6BE">
      <w:pPr>
        <w:pStyle w:val="13"/>
        <w:spacing w:line="480" w:lineRule="auto"/>
        <w:jc w:val="both"/>
      </w:pPr>
      <w:r>
        <w:t xml:space="preserve">When these three elements balance each other, a society achieves what Fukuyama calls “political order.” However, when one of them becomes too dominant or too weak, </w:t>
      </w:r>
      <w:r>
        <w:rPr>
          <w:rStyle w:val="14"/>
        </w:rPr>
        <w:t>decay</w:t>
      </w:r>
      <w:r>
        <w:t xml:space="preserve"> sets in. Political decay, he explains, “occurs when institutions fail to adjust to new realities, when elites capture them for private gain, or when the moral foundations of authority erode.”</w:t>
      </w:r>
    </w:p>
    <w:p w14:paraId="26BC0738">
      <w:pPr>
        <w:pStyle w:val="13"/>
        <w:spacing w:line="480" w:lineRule="auto"/>
        <w:jc w:val="both"/>
      </w:pPr>
      <w:r>
        <w:t>Max Weber had described a similar pattern: bureaucratic institutions, once rational and efficient, tend to ossify and become self-serving over time.</w:t>
      </w:r>
      <w:r>
        <w:rPr>
          <w:rStyle w:val="10"/>
        </w:rPr>
        <w:footnoteReference w:id="97"/>
      </w:r>
      <w:r>
        <w:t xml:space="preserve"> Fukuyama builds on this Weberian insight, showing that the problem of decay is not limited to authoritarian states but inherent in all systems of governance—including modern democracies.</w:t>
      </w:r>
    </w:p>
    <w:p w14:paraId="166DA9A4">
      <w:pPr>
        <w:pStyle w:val="4"/>
        <w:spacing w:line="480" w:lineRule="auto"/>
        <w:jc w:val="both"/>
      </w:pPr>
      <w:r>
        <w:rPr>
          <w:rStyle w:val="14"/>
          <w:b/>
          <w:bCs/>
        </w:rPr>
        <w:t>8.1.2 The Sources of Political Decay</w:t>
      </w:r>
    </w:p>
    <w:p w14:paraId="0811B832">
      <w:pPr>
        <w:pStyle w:val="13"/>
        <w:spacing w:line="480" w:lineRule="auto"/>
        <w:jc w:val="both"/>
      </w:pPr>
      <w:r>
        <w:t>According to Fukuyama, there are three main sources of political decay:</w:t>
      </w:r>
    </w:p>
    <w:p w14:paraId="2AD411CF">
      <w:pPr>
        <w:pStyle w:val="13"/>
        <w:numPr>
          <w:ilvl w:val="0"/>
          <w:numId w:val="4"/>
        </w:numPr>
        <w:spacing w:line="480" w:lineRule="auto"/>
        <w:jc w:val="both"/>
      </w:pPr>
      <w:r>
        <w:rPr>
          <w:rStyle w:val="14"/>
        </w:rPr>
        <w:t>Repatrimonialization</w:t>
      </w:r>
      <w:r>
        <w:t>: the reassertion of family and personal loyalties within impersonal institutions.</w:t>
      </w:r>
    </w:p>
    <w:p w14:paraId="24BBFC28">
      <w:pPr>
        <w:pStyle w:val="13"/>
        <w:numPr>
          <w:ilvl w:val="0"/>
          <w:numId w:val="4"/>
        </w:numPr>
        <w:spacing w:line="480" w:lineRule="auto"/>
        <w:jc w:val="both"/>
      </w:pPr>
      <w:r>
        <w:rPr>
          <w:rStyle w:val="14"/>
        </w:rPr>
        <w:t>Institutional rigidity</w:t>
      </w:r>
      <w:r>
        <w:t>: the inability of political organizations to reform themselves in response to change.</w:t>
      </w:r>
    </w:p>
    <w:p w14:paraId="5AC548B8">
      <w:pPr>
        <w:pStyle w:val="13"/>
        <w:numPr>
          <w:ilvl w:val="0"/>
          <w:numId w:val="4"/>
        </w:numPr>
        <w:spacing w:line="480" w:lineRule="auto"/>
        <w:jc w:val="both"/>
      </w:pPr>
      <w:r>
        <w:rPr>
          <w:rStyle w:val="14"/>
        </w:rPr>
        <w:t>Loss of legitimacy</w:t>
      </w:r>
      <w:r>
        <w:t>: the erosion of public trust in authority due to corruption or inefficiency.</w:t>
      </w:r>
      <w:r>
        <w:rPr>
          <w:rStyle w:val="10"/>
        </w:rPr>
        <w:footnoteReference w:id="98"/>
      </w:r>
    </w:p>
    <w:p w14:paraId="5D83B1E7">
      <w:pPr>
        <w:pStyle w:val="13"/>
        <w:spacing w:line="480" w:lineRule="auto"/>
        <w:jc w:val="both"/>
      </w:pPr>
      <w:r>
        <w:t xml:space="preserve">He traces these phenomena through history. In </w:t>
      </w:r>
      <w:r>
        <w:rPr>
          <w:rStyle w:val="14"/>
        </w:rPr>
        <w:t>China</w:t>
      </w:r>
      <w:r>
        <w:t xml:space="preserve">, the Han bureaucracy decayed as officeholders transformed public offices into family possessions. In </w:t>
      </w:r>
      <w:r>
        <w:rPr>
          <w:rStyle w:val="14"/>
        </w:rPr>
        <w:t>India</w:t>
      </w:r>
      <w:r>
        <w:t xml:space="preserve">, caste and religious hierarchies froze social mobility and blocked state centralization. In the </w:t>
      </w:r>
      <w:r>
        <w:rPr>
          <w:rStyle w:val="14"/>
        </w:rPr>
        <w:t>Islamic world</w:t>
      </w:r>
      <w:r>
        <w:t xml:space="preserve">, the reliance on slave-soldier systems eventually produced new elites who captured the state. In </w:t>
      </w:r>
      <w:r>
        <w:rPr>
          <w:rStyle w:val="14"/>
        </w:rPr>
        <w:t>Europe</w:t>
      </w:r>
      <w:r>
        <w:t>, feudal institutions often resisted reform until crises forced renewal.</w:t>
      </w:r>
    </w:p>
    <w:p w14:paraId="3FBFCEA3">
      <w:pPr>
        <w:pStyle w:val="13"/>
        <w:spacing w:line="480" w:lineRule="auto"/>
        <w:jc w:val="both"/>
      </w:pPr>
      <w:r>
        <w:t xml:space="preserve">“Decay,” Fukuyama writes, “is the shadow that follows development; it is the price of human success.” Institutions born in one era’s conditions become dysfunctional in another. The problem is not human corruption per se but the </w:t>
      </w:r>
      <w:r>
        <w:rPr>
          <w:rStyle w:val="14"/>
        </w:rPr>
        <w:t>failure to adapt</w:t>
      </w:r>
      <w:r>
        <w:t>—a theme reminiscent of Samuel Huntington’s observation that “political decay is the obsolescence of organizations.”</w:t>
      </w:r>
      <w:r>
        <w:rPr>
          <w:rStyle w:val="10"/>
        </w:rPr>
        <w:footnoteReference w:id="99"/>
      </w:r>
    </w:p>
    <w:p w14:paraId="3C670A19">
      <w:pPr>
        <w:pStyle w:val="4"/>
        <w:spacing w:line="480" w:lineRule="auto"/>
        <w:jc w:val="both"/>
      </w:pPr>
      <w:r>
        <w:rPr>
          <w:rStyle w:val="14"/>
          <w:b/>
          <w:bCs/>
        </w:rPr>
        <w:t>8.1.3 The Chinese Cycle of Centralization and Collapse</w:t>
      </w:r>
    </w:p>
    <w:p w14:paraId="57FB347A">
      <w:pPr>
        <w:pStyle w:val="13"/>
        <w:spacing w:line="480" w:lineRule="auto"/>
        <w:jc w:val="both"/>
      </w:pPr>
      <w:r>
        <w:t>Fukuyama revisits the Chinese experience to illustrate his theory. China’s early unification under the Qin and Han dynasties represented one of the greatest political achievements in history: a bureaucratic state freed from tribalism. Yet its very success created the seeds of decline.</w:t>
      </w:r>
    </w:p>
    <w:p w14:paraId="5B190C87">
      <w:pPr>
        <w:pStyle w:val="13"/>
        <w:spacing w:line="480" w:lineRule="auto"/>
        <w:jc w:val="both"/>
      </w:pPr>
      <w:r>
        <w:t>Over time, bureaucratic offices became hereditary, and elite families reasserted their influence. “The Han bureaucracy,” Fukuyama notes, “reverted to patrimonialism as personal relationships replaced impersonal rules.” Dynasties would rise, centralize power, decay through corruption, and collapse—only for the cycle to begin anew under a new dynasty.</w:t>
      </w:r>
    </w:p>
    <w:p w14:paraId="58FED0C5">
      <w:pPr>
        <w:pStyle w:val="13"/>
        <w:spacing w:line="480" w:lineRule="auto"/>
        <w:jc w:val="both"/>
      </w:pPr>
      <w:r>
        <w:t xml:space="preserve">This pattern, later conceptualized by Chinese historians as the </w:t>
      </w:r>
      <w:r>
        <w:rPr>
          <w:rStyle w:val="14"/>
        </w:rPr>
        <w:t>dynastic cycle</w:t>
      </w:r>
      <w:r>
        <w:t>, exemplified what Fukuyama calls “the natural entropy of institutions.”¹⁰ Without mechanisms of accountability or the rule of law, even the strongest states were doomed to periodic disintegration.</w:t>
      </w:r>
    </w:p>
    <w:p w14:paraId="429C03C9">
      <w:pPr>
        <w:pStyle w:val="4"/>
        <w:spacing w:line="480" w:lineRule="auto"/>
        <w:jc w:val="both"/>
      </w:pPr>
      <w:r>
        <w:rPr>
          <w:rStyle w:val="14"/>
          <w:b/>
          <w:bCs/>
        </w:rPr>
        <w:t>8.1.4 The Indian Stagnation</w:t>
      </w:r>
    </w:p>
    <w:p w14:paraId="764A1746">
      <w:pPr>
        <w:pStyle w:val="13"/>
        <w:spacing w:line="480" w:lineRule="auto"/>
        <w:jc w:val="both"/>
      </w:pPr>
      <w:r>
        <w:t xml:space="preserve">In India, the problem was the opposite of China’s. The state was weak, but society was strong. The </w:t>
      </w:r>
      <w:r>
        <w:rPr>
          <w:rStyle w:val="14"/>
        </w:rPr>
        <w:t>varna-jati system</w:t>
      </w:r>
      <w:r>
        <w:t xml:space="preserve"> and the dominance of Brahmin authority provided moral order but prevented institutional evolution. Fukuyama observes that “India achieved stability at the price of stagnation.”</w:t>
      </w:r>
    </w:p>
    <w:p w14:paraId="136BCFCB">
      <w:pPr>
        <w:pStyle w:val="13"/>
        <w:spacing w:line="480" w:lineRule="auto"/>
        <w:jc w:val="both"/>
      </w:pPr>
      <w:r>
        <w:t xml:space="preserve">Because legitimacy derived from religion rather than performance, rulers had little incentive to reform. The caste system locked people into hereditary roles, insulating elites from competition. Over time, political institutions atrophied while social institutions ossified. Douglass North would describe this as a society trapped in a </w:t>
      </w:r>
      <w:r>
        <w:rPr>
          <w:rStyle w:val="14"/>
        </w:rPr>
        <w:t>limited-access order</w:t>
      </w:r>
      <w:r>
        <w:t>, where elite privileges stifle innovation.</w:t>
      </w:r>
      <w:r>
        <w:rPr>
          <w:rStyle w:val="10"/>
        </w:rPr>
        <w:footnoteReference w:id="100"/>
      </w:r>
    </w:p>
    <w:p w14:paraId="2ADD4ED8">
      <w:pPr>
        <w:pStyle w:val="13"/>
        <w:spacing w:line="480" w:lineRule="auto"/>
        <w:jc w:val="both"/>
      </w:pPr>
      <w:r>
        <w:t>Thus, while China’s problem was excessive centralization, India’s was excessive decentralization—two different manifestations of decay resulting from imbalance among the pillars of political order.</w:t>
      </w:r>
    </w:p>
    <w:p w14:paraId="072678BB">
      <w:pPr>
        <w:pStyle w:val="4"/>
        <w:spacing w:line="480" w:lineRule="auto"/>
        <w:jc w:val="both"/>
      </w:pPr>
      <w:r>
        <w:rPr>
          <w:rStyle w:val="14"/>
          <w:b/>
          <w:bCs/>
        </w:rPr>
        <w:t>8.1.5 The Islamic World and the Problem of Personal Rule</w:t>
      </w:r>
    </w:p>
    <w:p w14:paraId="69F2639D">
      <w:pPr>
        <w:pStyle w:val="13"/>
        <w:spacing w:line="480" w:lineRule="auto"/>
        <w:jc w:val="both"/>
      </w:pPr>
      <w:r>
        <w:t xml:space="preserve">Fukuyama then turns to the </w:t>
      </w:r>
      <w:r>
        <w:rPr>
          <w:rStyle w:val="14"/>
        </w:rPr>
        <w:t>Islamic world</w:t>
      </w:r>
      <w:r>
        <w:t>, where early political order rested on moral unity rather than bureaucratic structure. The Caliphate created a vast empire, but its institutions were fragile because they relied on personal authority and loyalty.</w:t>
      </w:r>
    </w:p>
    <w:p w14:paraId="12E47B65">
      <w:pPr>
        <w:pStyle w:val="13"/>
        <w:spacing w:line="480" w:lineRule="auto"/>
        <w:jc w:val="both"/>
      </w:pPr>
      <w:r>
        <w:t xml:space="preserve">The use of </w:t>
      </w:r>
      <w:r>
        <w:rPr>
          <w:rStyle w:val="14"/>
        </w:rPr>
        <w:t>slave soldiers (Mamluks)</w:t>
      </w:r>
      <w:r>
        <w:t xml:space="preserve"> solved the problem of tribalism but created a new class of powerful elites who eventually dominated the state. “The very mechanism that freed Islam from kinship,” Fukuyama writes, “reintroduced patrimonialism in another form.”</w:t>
      </w:r>
    </w:p>
    <w:p w14:paraId="5E7DFBEC">
      <w:pPr>
        <w:pStyle w:val="13"/>
        <w:spacing w:line="480" w:lineRule="auto"/>
        <w:jc w:val="both"/>
      </w:pPr>
      <w:r>
        <w:t>Moreover, because Islamic law was divine and immutable, rulers lacked flexibility to adapt to changing conditions. Max Weber described this as “legal traditionalism,” in which sacred norms resist institutional innovation. The result was a system that maintained moral legitimacy but lost administrative vitality—another form of decay through rigidity.</w:t>
      </w:r>
    </w:p>
    <w:p w14:paraId="22367317">
      <w:pPr>
        <w:pStyle w:val="4"/>
        <w:spacing w:line="480" w:lineRule="auto"/>
        <w:jc w:val="both"/>
      </w:pPr>
      <w:r>
        <w:rPr>
          <w:rStyle w:val="14"/>
          <w:b/>
          <w:bCs/>
        </w:rPr>
        <w:t>8.1.6 Europe’s Adaptive Advantage</w:t>
      </w:r>
    </w:p>
    <w:p w14:paraId="1DE9F17B">
      <w:pPr>
        <w:pStyle w:val="13"/>
        <w:spacing w:line="480" w:lineRule="auto"/>
        <w:jc w:val="both"/>
      </w:pPr>
      <w:r>
        <w:t xml:space="preserve">In contrast, Europe avoided long-term stagnation through </w:t>
      </w:r>
      <w:r>
        <w:rPr>
          <w:rStyle w:val="14"/>
        </w:rPr>
        <w:t>institutional pluralism</w:t>
      </w:r>
      <w:r>
        <w:t xml:space="preserve">—the coexistence of multiple centers of authority (monarchs, nobles, clergy, cities). This pluralism, born of the </w:t>
      </w:r>
      <w:r>
        <w:rPr>
          <w:rStyle w:val="14"/>
        </w:rPr>
        <w:t>Papal Revolution</w:t>
      </w:r>
      <w:r>
        <w:t xml:space="preserve"> and feudal fragmentation, created conditions for adaptation.</w:t>
      </w:r>
    </w:p>
    <w:p w14:paraId="32E1B109">
      <w:pPr>
        <w:pStyle w:val="13"/>
        <w:spacing w:line="480" w:lineRule="auto"/>
        <w:jc w:val="both"/>
      </w:pPr>
      <w:r>
        <w:t>Fukuyama argues that “Europe’s political genius lay not in perfect design but in its capacity for self-correction.” When one institution grew too powerful, others resisted. The Church challenged kings; parliaments constrained monarchs; cities defended their charters. This constant tension produced both conflict and renewal.</w:t>
      </w:r>
    </w:p>
    <w:p w14:paraId="28CFB055">
      <w:pPr>
        <w:pStyle w:val="13"/>
        <w:spacing w:line="480" w:lineRule="auto"/>
        <w:jc w:val="both"/>
      </w:pPr>
      <w:r>
        <w:t>Charles Tilly’s observation that “war made the state, and the state made the citizen” captures this dynamic.</w:t>
      </w:r>
      <w:r>
        <w:rPr>
          <w:rStyle w:val="10"/>
        </w:rPr>
        <w:footnoteReference w:id="101"/>
      </w:r>
      <w:r>
        <w:t xml:space="preserve"> Repeated wars forced rulers to negotiate with their subjects, expanding participation and accountability. Unlike in other civilizations, European political decay often triggered reform rather than collapse.</w:t>
      </w:r>
    </w:p>
    <w:p w14:paraId="42AC8478">
      <w:pPr>
        <w:pStyle w:val="4"/>
        <w:spacing w:line="480" w:lineRule="auto"/>
        <w:jc w:val="both"/>
      </w:pPr>
      <w:r>
        <w:rPr>
          <w:rStyle w:val="14"/>
          <w:b/>
          <w:bCs/>
        </w:rPr>
        <w:t>8.1.7 Modern Implications of Political Decay</w:t>
      </w:r>
    </w:p>
    <w:p w14:paraId="6F62D665">
      <w:pPr>
        <w:pStyle w:val="13"/>
        <w:spacing w:line="480" w:lineRule="auto"/>
        <w:jc w:val="both"/>
      </w:pPr>
      <w:r>
        <w:t>Fukuyama’s theory of decay has clear implications for the modern world. Even contemporary democracies, he warns, are not immune. “Political development can go backward when institutions cease to adapt or are captured by powerful interest groups.”¹⁷</w:t>
      </w:r>
    </w:p>
    <w:p w14:paraId="3DC7C2A0">
      <w:pPr>
        <w:pStyle w:val="13"/>
        <w:spacing w:line="480" w:lineRule="auto"/>
        <w:jc w:val="both"/>
      </w:pPr>
      <w:r>
        <w:t xml:space="preserve">He cites examples such as bureaucratic overregulation, rent-seeking elites, and polarization as signs of decay in modern systems. The problem is not the lack of democracy but the </w:t>
      </w:r>
      <w:r>
        <w:rPr>
          <w:rStyle w:val="14"/>
        </w:rPr>
        <w:t>rigidity of institutions</w:t>
      </w:r>
      <w:r>
        <w:t xml:space="preserve"> that no longer reflect social realities.</w:t>
      </w:r>
    </w:p>
    <w:p w14:paraId="258BF5B8">
      <w:pPr>
        <w:pStyle w:val="13"/>
        <w:spacing w:line="480" w:lineRule="auto"/>
        <w:jc w:val="both"/>
      </w:pPr>
      <w:r>
        <w:t xml:space="preserve">Douglass North’s framework reinforces this point: successful institutions must remain </w:t>
      </w:r>
      <w:r>
        <w:rPr>
          <w:rStyle w:val="14"/>
        </w:rPr>
        <w:t>adaptive</w:t>
      </w:r>
      <w:r>
        <w:t>, allowing new entrants and innovations.</w:t>
      </w:r>
      <w:r>
        <w:rPr>
          <w:rStyle w:val="10"/>
        </w:rPr>
        <w:footnoteReference w:id="102"/>
      </w:r>
      <w:r>
        <w:t xml:space="preserve"> When elites close access to political or economic opportunity, decay sets in—a lesson as relevant to twenty-first-century America as to the Han dynasty or the Abbasid Caliphate.</w:t>
      </w:r>
    </w:p>
    <w:p w14:paraId="055E600D">
      <w:pPr>
        <w:pStyle w:val="4"/>
        <w:spacing w:line="480" w:lineRule="auto"/>
        <w:jc w:val="both"/>
      </w:pPr>
      <w:r>
        <w:rPr>
          <w:rStyle w:val="14"/>
          <w:b/>
          <w:bCs/>
        </w:rPr>
        <w:t>8.1.8 The Balance Between Stability and Change</w:t>
      </w:r>
    </w:p>
    <w:p w14:paraId="10977BC9">
      <w:pPr>
        <w:pStyle w:val="13"/>
        <w:spacing w:line="480" w:lineRule="auto"/>
        <w:jc w:val="both"/>
      </w:pPr>
      <w:r>
        <w:t xml:space="preserve">Fukuyama concludes that every political system faces a tension between </w:t>
      </w:r>
      <w:r>
        <w:rPr>
          <w:rStyle w:val="14"/>
        </w:rPr>
        <w:t>stability and adaptability</w:t>
      </w:r>
      <w:r>
        <w:t>. Too much stability breeds stagnation; too much change breeds chaos. The most successful societies are those that can institutionalize reform without destroying order.</w:t>
      </w:r>
    </w:p>
    <w:p w14:paraId="1E74962E">
      <w:pPr>
        <w:pStyle w:val="13"/>
        <w:spacing w:line="480" w:lineRule="auto"/>
        <w:jc w:val="both"/>
      </w:pPr>
      <w:r>
        <w:t>He summarizes this balance as the essence of political wisdom: “Development without decay is impossible; renewal requires crisis.” The key is to build institutions flexible enough to reform themselves—what Huntington called “political institutionalization.”</w:t>
      </w:r>
      <w:r>
        <w:rPr>
          <w:rStyle w:val="10"/>
        </w:rPr>
        <w:footnoteReference w:id="103"/>
      </w:r>
    </w:p>
    <w:p w14:paraId="3192731F">
      <w:pPr>
        <w:pStyle w:val="13"/>
        <w:spacing w:line="480" w:lineRule="auto"/>
        <w:jc w:val="both"/>
      </w:pPr>
      <w:r>
        <w:t>Europe’s experience demonstrates that conflict, when channeled through law and representation, can become a source of renewal. The challenge for modern states is to preserve institutional integrity while remaining responsive to social transformation.</w:t>
      </w:r>
    </w:p>
    <w:p w14:paraId="5A573218">
      <w:pPr>
        <w:pStyle w:val="13"/>
        <w:spacing w:line="480" w:lineRule="auto"/>
        <w:jc w:val="both"/>
      </w:pPr>
      <w:r>
        <w:t xml:space="preserve">In “Political Development and Political Decay,” Fukuyama brings his analysis full circle. From tribal societies to modern states, he identifies a universal rhythm in human governance: institutions emerge, stabilize, ossify, and decay. The survival of political order depends not on avoiding decay but on </w:t>
      </w:r>
      <w:r>
        <w:rPr>
          <w:rStyle w:val="14"/>
        </w:rPr>
        <w:t>managing it through adaptation</w:t>
      </w:r>
      <w:r>
        <w:t>.</w:t>
      </w:r>
    </w:p>
    <w:p w14:paraId="5E29A7A5">
      <w:pPr>
        <w:pStyle w:val="13"/>
        <w:spacing w:line="480" w:lineRule="auto"/>
        <w:jc w:val="both"/>
      </w:pPr>
      <w:r>
        <w:t>China’s bureaucracy, India’s caste order, Islam’s moral law, and Europe’s pluralism each illustrate different responses to the problem of political stagnation. Only the European model—grounded in law, accountability, and conflict—proved capable of self-renewal.</w:t>
      </w:r>
    </w:p>
    <w:p w14:paraId="0FF0A505">
      <w:pPr>
        <w:pStyle w:val="13"/>
        <w:spacing w:line="480" w:lineRule="auto"/>
        <w:jc w:val="both"/>
      </w:pPr>
      <w:r>
        <w:t xml:space="preserve">Fukuyama concludes that political order is not a final destination but a </w:t>
      </w:r>
      <w:r>
        <w:rPr>
          <w:rStyle w:val="14"/>
        </w:rPr>
        <w:t>continuous process of balancing power, law, and legitimacy</w:t>
      </w:r>
      <w:r>
        <w:t>. The struggle to maintain that balance defines the history of civilization—and remains the central challenge of governance today.</w:t>
      </w:r>
    </w:p>
    <w:p w14:paraId="3853C3CA">
      <w:pPr>
        <w:pStyle w:val="3"/>
        <w:spacing w:line="480" w:lineRule="auto"/>
        <w:jc w:val="both"/>
        <w:rPr>
          <w:rFonts w:ascii="Times New Roman" w:hAnsi="Times New Roman" w:cs="Times New Roman"/>
          <w:color w:val="auto"/>
          <w:sz w:val="28"/>
          <w:szCs w:val="28"/>
        </w:rPr>
      </w:pPr>
      <w:r>
        <w:rPr>
          <w:rStyle w:val="14"/>
          <w:rFonts w:ascii="Times New Roman" w:hAnsi="Times New Roman" w:cs="Times New Roman"/>
          <w:color w:val="auto"/>
          <w:sz w:val="28"/>
          <w:szCs w:val="28"/>
        </w:rPr>
        <w:t>9.0 Political Orders and Political Decay in Modern History</w:t>
      </w:r>
    </w:p>
    <w:p w14:paraId="008AFC4C">
      <w:pPr>
        <w:pStyle w:val="4"/>
        <w:spacing w:line="480" w:lineRule="auto"/>
        <w:jc w:val="both"/>
      </w:pPr>
      <w:r>
        <w:rPr>
          <w:rStyle w:val="8"/>
        </w:rPr>
        <w:t>9.1 The Fragility of Progress and the Renewal of Institutions</w:t>
      </w:r>
    </w:p>
    <w:p w14:paraId="6EFD8FE7">
      <w:pPr>
        <w:pStyle w:val="13"/>
        <w:spacing w:line="480" w:lineRule="auto"/>
        <w:jc w:val="both"/>
      </w:pPr>
      <w:r>
        <w:t xml:space="preserve"> Francis Fukuyama extends his theory of political evolution into the modern era, arguing that the challenges of governance that plagued ancient China, India, the Islamic world, and medieval Europe persist even today.¹ Political order, he emphasizes, is not a permanent achievement but a delicate equilibrium between </w:t>
      </w:r>
      <w:r>
        <w:rPr>
          <w:rStyle w:val="14"/>
        </w:rPr>
        <w:t>state capacity</w:t>
      </w:r>
      <w:r>
        <w:t xml:space="preserve">, </w:t>
      </w:r>
      <w:r>
        <w:rPr>
          <w:rStyle w:val="14"/>
        </w:rPr>
        <w:t>rule of law</w:t>
      </w:r>
      <w:r>
        <w:t xml:space="preserve">, and </w:t>
      </w:r>
      <w:r>
        <w:rPr>
          <w:rStyle w:val="14"/>
        </w:rPr>
        <w:t>accountability</w:t>
      </w:r>
      <w:r>
        <w:t>. When that equilibrium falters, societies even modern democracies risk sliding into decay.</w:t>
      </w:r>
    </w:p>
    <w:p w14:paraId="1160FEAE">
      <w:pPr>
        <w:pStyle w:val="13"/>
        <w:spacing w:line="480" w:lineRule="auto"/>
        <w:jc w:val="both"/>
      </w:pPr>
      <w:r>
        <w:t xml:space="preserve">Fukuyama’s aim in this final chapter is to connect the long arc of institutional development to the problems of the contemporary world. He argues that the same forces that once built strong states and constrained power—war, religion, and pluralism—now operate in new and often paradoxical ways. The twentieth and twenty-first centuries demonstrate that modernization does not guarantee progress. Political institutions, like biological organisms, can </w:t>
      </w:r>
      <w:r>
        <w:rPr>
          <w:rStyle w:val="14"/>
        </w:rPr>
        <w:t>adapt or degenerate</w:t>
      </w:r>
      <w:r>
        <w:t xml:space="preserve"> depending on their environment.</w:t>
      </w:r>
      <w:r>
        <w:rPr>
          <w:rStyle w:val="10"/>
        </w:rPr>
        <w:footnoteReference w:id="104"/>
      </w:r>
    </w:p>
    <w:p w14:paraId="51171334">
      <w:pPr>
        <w:pStyle w:val="4"/>
        <w:spacing w:line="480" w:lineRule="auto"/>
        <w:jc w:val="both"/>
      </w:pPr>
      <w:r>
        <w:rPr>
          <w:rStyle w:val="14"/>
          <w:b/>
          <w:bCs/>
        </w:rPr>
        <w:t>9.1.1 The Continuity of Institutional Dynamics</w:t>
      </w:r>
    </w:p>
    <w:p w14:paraId="7D48A25B">
      <w:pPr>
        <w:pStyle w:val="13"/>
        <w:spacing w:line="480" w:lineRule="auto"/>
        <w:jc w:val="both"/>
      </w:pPr>
      <w:r>
        <w:t>Fukuyama opens by reiterating a central insight: institutions are products of historical struggle, not deliberate design. The bureaucratic state in China, the legal order of medieval Europe, and the representative assemblies of England all arose from conflict and necessity. Likewise, modern institutions—parliaments, courts, parties, and bureaucracies—emerged from historical bargains among competing elites.</w:t>
      </w:r>
    </w:p>
    <w:p w14:paraId="66896F8C">
      <w:pPr>
        <w:pStyle w:val="13"/>
        <w:spacing w:line="480" w:lineRule="auto"/>
        <w:jc w:val="both"/>
      </w:pPr>
      <w:r>
        <w:t>He warns that when societies forget the contingent nature of these achievements, they risk institutional complacency. “The very success of modernity breeds the seeds of its undoing,” Fukuyama writes. Prosperity, peace, and stability often weaken the mechanisms of accountability that once sustained reform.</w:t>
      </w:r>
    </w:p>
    <w:p w14:paraId="48E9AB7D">
      <w:pPr>
        <w:pStyle w:val="13"/>
        <w:spacing w:line="480" w:lineRule="auto"/>
        <w:jc w:val="both"/>
      </w:pPr>
      <w:r>
        <w:t xml:space="preserve">This theme echoes Max Weber’s warning about the </w:t>
      </w:r>
      <w:r>
        <w:rPr>
          <w:rStyle w:val="14"/>
        </w:rPr>
        <w:t>“iron cage” of bureaucracy</w:t>
      </w:r>
      <w:r>
        <w:t>—that rationalized systems, once instruments of progress, tend to entrench themselves and resist change. The West’s bureaucratic and legal institutions, born of necessity, have in some cases become rigid and self-protective, mirroring the stagnation that afflicted earlier civilizations.</w:t>
      </w:r>
    </w:p>
    <w:p w14:paraId="4764B0CD">
      <w:pPr>
        <w:pStyle w:val="4"/>
        <w:spacing w:line="480" w:lineRule="auto"/>
        <w:jc w:val="both"/>
      </w:pPr>
      <w:r>
        <w:rPr>
          <w:rStyle w:val="14"/>
          <w:b/>
          <w:bCs/>
        </w:rPr>
        <w:t>9.1.2 Modernization and Its Discontents</w:t>
      </w:r>
    </w:p>
    <w:p w14:paraId="7CDF92DE">
      <w:pPr>
        <w:pStyle w:val="13"/>
        <w:spacing w:line="480" w:lineRule="auto"/>
        <w:jc w:val="both"/>
      </w:pPr>
      <w:r>
        <w:t xml:space="preserve">Fukuyama argues that </w:t>
      </w:r>
      <w:r>
        <w:rPr>
          <w:rStyle w:val="14"/>
        </w:rPr>
        <w:t>economic modernization</w:t>
      </w:r>
      <w:r>
        <w:t xml:space="preserve"> has profoundly altered the social foundations of political order. Industrialization, urbanization, and education have expanded social participation, creating new demands for inclusion and justice.</w:t>
      </w:r>
    </w:p>
    <w:p w14:paraId="28124C28">
      <w:pPr>
        <w:pStyle w:val="13"/>
        <w:spacing w:line="480" w:lineRule="auto"/>
        <w:jc w:val="both"/>
      </w:pPr>
      <w:r>
        <w:t xml:space="preserve">In the nineteenth century, these pressures led to the expansion of suffrage, the rise of labor movements, and the institutionalization of mass democracy. Yet modernization also produced </w:t>
      </w:r>
      <w:r>
        <w:rPr>
          <w:rStyle w:val="14"/>
        </w:rPr>
        <w:t>bureaucratic overload</w:t>
      </w:r>
      <w:r>
        <w:t>, as states assumed ever greater responsibilities—from welfare provision to economic regulation. “As the scope of government expanded,” Fukuyama notes, “its capacity often failed to keep pace.”</w:t>
      </w:r>
    </w:p>
    <w:p w14:paraId="652D63D8">
      <w:pPr>
        <w:pStyle w:val="13"/>
        <w:spacing w:line="480" w:lineRule="auto"/>
        <w:jc w:val="both"/>
      </w:pPr>
      <w:r>
        <w:t xml:space="preserve">This imbalance generated new forms of political decay: clientelism, populism, and bureaucratic inefficiency. Samuel Huntington captured this paradox in </w:t>
      </w:r>
      <w:r>
        <w:rPr>
          <w:rStyle w:val="8"/>
        </w:rPr>
        <w:t>Political Order in Changing Societies</w:t>
      </w:r>
      <w:r>
        <w:t xml:space="preserve"> (1968): “Modernization increases political participation faster than political institutions can respond.” Fukuyama adopts this insight, showing that the problem of decay now lies not in the absence of institutions but in their </w:t>
      </w:r>
      <w:r>
        <w:rPr>
          <w:rStyle w:val="14"/>
        </w:rPr>
        <w:t>inability to adapt to new social complexity</w:t>
      </w:r>
      <w:r>
        <w:t>.</w:t>
      </w:r>
    </w:p>
    <w:p w14:paraId="195C3874">
      <w:pPr>
        <w:pStyle w:val="4"/>
        <w:spacing w:line="480" w:lineRule="auto"/>
        <w:jc w:val="both"/>
      </w:pPr>
      <w:r>
        <w:rPr>
          <w:rStyle w:val="14"/>
          <w:b/>
          <w:bCs/>
        </w:rPr>
        <w:t>9.1.3 The Crisis of the Modern State</w:t>
      </w:r>
    </w:p>
    <w:p w14:paraId="01EE6B99">
      <w:pPr>
        <w:pStyle w:val="13"/>
        <w:spacing w:line="480" w:lineRule="auto"/>
        <w:jc w:val="both"/>
      </w:pPr>
      <w:r>
        <w:t>Fukuyama identifies three major crises confronting modern states:</w:t>
      </w:r>
    </w:p>
    <w:p w14:paraId="32A27B90">
      <w:pPr>
        <w:pStyle w:val="13"/>
        <w:numPr>
          <w:ilvl w:val="0"/>
          <w:numId w:val="5"/>
        </w:numPr>
        <w:spacing w:line="480" w:lineRule="auto"/>
        <w:jc w:val="both"/>
      </w:pPr>
      <w:r>
        <w:rPr>
          <w:rStyle w:val="14"/>
        </w:rPr>
        <w:t>State weakness</w:t>
      </w:r>
      <w:r>
        <w:t xml:space="preserve"> in developing countries;</w:t>
      </w:r>
    </w:p>
    <w:p w14:paraId="1E6B18E3">
      <w:pPr>
        <w:pStyle w:val="13"/>
        <w:numPr>
          <w:ilvl w:val="0"/>
          <w:numId w:val="5"/>
        </w:numPr>
        <w:spacing w:line="480" w:lineRule="auto"/>
        <w:jc w:val="both"/>
      </w:pPr>
      <w:r>
        <w:rPr>
          <w:rStyle w:val="14"/>
        </w:rPr>
        <w:t>Institutional rigidity</w:t>
      </w:r>
      <w:r>
        <w:t xml:space="preserve"> in advanced democracies; and</w:t>
      </w:r>
    </w:p>
    <w:p w14:paraId="0DA67138">
      <w:pPr>
        <w:pStyle w:val="13"/>
        <w:numPr>
          <w:ilvl w:val="0"/>
          <w:numId w:val="5"/>
        </w:numPr>
        <w:spacing w:line="480" w:lineRule="auto"/>
        <w:jc w:val="both"/>
      </w:pPr>
      <w:r>
        <w:rPr>
          <w:rStyle w:val="14"/>
        </w:rPr>
        <w:t>Loss of legitimacy</w:t>
      </w:r>
      <w:r>
        <w:t xml:space="preserve"> in global governance.</w:t>
      </w:r>
      <w:r>
        <w:rPr>
          <w:rStyle w:val="10"/>
        </w:rPr>
        <w:footnoteReference w:id="105"/>
      </w:r>
    </w:p>
    <w:p w14:paraId="45522006">
      <w:pPr>
        <w:pStyle w:val="13"/>
        <w:spacing w:line="480" w:lineRule="auto"/>
        <w:jc w:val="both"/>
      </w:pPr>
      <w:r>
        <w:t>In many developing nations, especially those emerging from colonialism, strong states never fully formed. Instead, patrimonialism reasserted itself through corruption, patronage, and nepotism—what Fukuyama calls “the reemergence of the family in politics.” These states, lacking Weberian bureaucratic norms, struggle to enforce law or provide basic services.</w:t>
      </w:r>
    </w:p>
    <w:p w14:paraId="7AA3663C">
      <w:pPr>
        <w:pStyle w:val="13"/>
        <w:spacing w:line="480" w:lineRule="auto"/>
        <w:jc w:val="both"/>
      </w:pPr>
      <w:r>
        <w:t xml:space="preserve">Conversely, in advanced democracies such as the United States, institutions have become paralyzed by </w:t>
      </w:r>
      <w:r>
        <w:rPr>
          <w:rStyle w:val="14"/>
        </w:rPr>
        <w:t>partisan polarization</w:t>
      </w:r>
      <w:r>
        <w:t xml:space="preserve"> and </w:t>
      </w:r>
      <w:r>
        <w:rPr>
          <w:rStyle w:val="14"/>
        </w:rPr>
        <w:t>interest-group capture</w:t>
      </w:r>
      <w:r>
        <w:t>. The same checks and balances that once ensured accountability now impede effective governance. “Democracy,” Fukuyama warns, “can decay when the veto points multiply faster than the capacity for collective action.”</w:t>
      </w:r>
    </w:p>
    <w:p w14:paraId="3B8DF6CD">
      <w:pPr>
        <w:pStyle w:val="13"/>
        <w:spacing w:line="480" w:lineRule="auto"/>
        <w:jc w:val="both"/>
      </w:pPr>
      <w:r>
        <w:t>Charles Tilly’s observation that “war made the state” no longer holds in the modern era, where geopolitical competition has diminished and external threats rarely catalyze reform. Without existential pressure, elites have little incentive to streamline or modernize institutions, leading to gradual decay.</w:t>
      </w:r>
    </w:p>
    <w:p w14:paraId="5041E466">
      <w:pPr>
        <w:pStyle w:val="4"/>
        <w:spacing w:line="480" w:lineRule="auto"/>
        <w:jc w:val="both"/>
      </w:pPr>
      <w:r>
        <w:rPr>
          <w:rStyle w:val="14"/>
          <w:b/>
          <w:bCs/>
        </w:rPr>
        <w:t>9.1.4 The Persistence of Patrimonialism</w:t>
      </w:r>
    </w:p>
    <w:p w14:paraId="0AE3F34D">
      <w:pPr>
        <w:pStyle w:val="13"/>
        <w:spacing w:line="480" w:lineRule="auto"/>
        <w:jc w:val="both"/>
      </w:pPr>
      <w:r>
        <w:t xml:space="preserve">A recurring theme throughout Fukuyama’s work is the </w:t>
      </w:r>
      <w:r>
        <w:rPr>
          <w:rStyle w:val="14"/>
          <w:b w:val="0"/>
          <w:bCs w:val="0"/>
        </w:rPr>
        <w:t>recurrence of patrimonialism</w:t>
      </w:r>
      <w:r>
        <w:t>—the human tendency to favor family, friends, and personal loyalty over impersonal rules. Even modern bureaucracies, he argues, remain vulnerable to “repatrimonialization,” as elites capture state institutions for private benefit.</w:t>
      </w:r>
    </w:p>
    <w:p w14:paraId="65F98712">
      <w:pPr>
        <w:pStyle w:val="13"/>
        <w:spacing w:line="480" w:lineRule="auto"/>
        <w:jc w:val="both"/>
      </w:pPr>
      <w:r>
        <w:t>Examples range from nepotism in democratic governments to oligarchic control of state-owned enterprises in post-communist countries. In each case, the boundary between public and private interest blurs, undermining legitimacy. Fukuyama notes, “The victory of modernity is never final; patrimonialism waits patiently for its return.”</w:t>
      </w:r>
    </w:p>
    <w:p w14:paraId="41F3EC57">
      <w:pPr>
        <w:pStyle w:val="13"/>
        <w:spacing w:line="480" w:lineRule="auto"/>
        <w:jc w:val="both"/>
      </w:pPr>
      <w:r>
        <w:t xml:space="preserve">Douglass North’s theory of </w:t>
      </w:r>
      <w:r>
        <w:rPr>
          <w:rStyle w:val="14"/>
          <w:b w:val="0"/>
          <w:bCs w:val="0"/>
        </w:rPr>
        <w:t>limited-access orders</w:t>
      </w:r>
      <w:r>
        <w:t xml:space="preserve"> helps explain this persistence: most societies, even modern ones, remain governed by coalitions of elites who restrict entry into political and economic life. Only a small minority those with robust legal institutions and civic trust sustain truly open access.</w:t>
      </w:r>
    </w:p>
    <w:p w14:paraId="45BEA0F1">
      <w:pPr>
        <w:pStyle w:val="4"/>
        <w:spacing w:line="480" w:lineRule="auto"/>
        <w:jc w:val="both"/>
      </w:pPr>
      <w:r>
        <w:rPr>
          <w:rStyle w:val="14"/>
          <w:b/>
          <w:bCs/>
        </w:rPr>
        <w:t>9.1.5 Rule of Law and the Democratic Challenge</w:t>
      </w:r>
    </w:p>
    <w:p w14:paraId="3D312780">
      <w:pPr>
        <w:pStyle w:val="13"/>
        <w:spacing w:line="480" w:lineRule="auto"/>
        <w:jc w:val="both"/>
      </w:pPr>
      <w:r>
        <w:t xml:space="preserve">Fukuyama revisits the rule of law as a cornerstone of political order. He argues that while many modern states possess written constitutions and independent judiciaries, their legal systems often fail to constrain power effectively. The problem lies not in formal rules but in </w:t>
      </w:r>
      <w:r>
        <w:rPr>
          <w:rStyle w:val="14"/>
          <w:b w:val="0"/>
          <w:bCs w:val="0"/>
        </w:rPr>
        <w:t>enforcement</w:t>
      </w:r>
      <w:r>
        <w:t>—in the political will to uphold legality against entrenched interests.</w:t>
      </w:r>
    </w:p>
    <w:p w14:paraId="21C52D32">
      <w:pPr>
        <w:pStyle w:val="13"/>
        <w:spacing w:line="480" w:lineRule="auto"/>
        <w:jc w:val="both"/>
      </w:pPr>
      <w:r>
        <w:t xml:space="preserve">In emerging democracies, the temptation to use law as a weapon of politics rather than a neutral framework remains strong. Conversely, in established democracies, over-legalization can produce </w:t>
      </w:r>
      <w:r>
        <w:rPr>
          <w:rStyle w:val="14"/>
          <w:b w:val="0"/>
          <w:bCs w:val="0"/>
        </w:rPr>
        <w:t>judicial paralysis</w:t>
      </w:r>
      <w:r>
        <w:t>, where excessive litigation and proceduralism prevent decisive action.</w:t>
      </w:r>
    </w:p>
    <w:p w14:paraId="1EEC2C26">
      <w:pPr>
        <w:pStyle w:val="13"/>
        <w:spacing w:line="480" w:lineRule="auto"/>
        <w:jc w:val="both"/>
      </w:pPr>
      <w:r>
        <w:t xml:space="preserve">Weber’s insight into “legal rationality” remains relevant here: law must be </w:t>
      </w:r>
      <w:r>
        <w:rPr>
          <w:rStyle w:val="14"/>
          <w:b w:val="0"/>
          <w:bCs w:val="0"/>
        </w:rPr>
        <w:t>predictable yet flexible</w:t>
      </w:r>
      <w:r>
        <w:t>, capable of adapting to new realities without losing legitimacy. Fukuyama echoes this balance, arguing that law’s vitality depends on social trust and civic virtue, not merely institutional design.</w:t>
      </w:r>
    </w:p>
    <w:p w14:paraId="656683AC">
      <w:pPr>
        <w:pStyle w:val="4"/>
        <w:spacing w:line="480" w:lineRule="auto"/>
        <w:jc w:val="both"/>
      </w:pPr>
      <w:r>
        <w:rPr>
          <w:rStyle w:val="14"/>
          <w:b/>
          <w:bCs/>
        </w:rPr>
        <w:t>9.1.6 The Erosion of Accountability</w:t>
      </w:r>
    </w:p>
    <w:p w14:paraId="28D63D78">
      <w:pPr>
        <w:pStyle w:val="13"/>
        <w:spacing w:line="480" w:lineRule="auto"/>
        <w:jc w:val="both"/>
      </w:pPr>
      <w:r>
        <w:t xml:space="preserve">Perhaps the most troubling form of modern decay, according to Fukuyama, is the </w:t>
      </w:r>
      <w:r>
        <w:rPr>
          <w:rStyle w:val="14"/>
        </w:rPr>
        <w:t>erosion of accountability</w:t>
      </w:r>
      <w:r>
        <w:t>. In theory, democratic elections provide citizens with the power to punish or reward rulers. In practice, however, complex bureaucracies and opaque interest networks often insulate elites from real responsibility.</w:t>
      </w:r>
    </w:p>
    <w:p w14:paraId="3E00F238">
      <w:pPr>
        <w:pStyle w:val="13"/>
        <w:spacing w:line="480" w:lineRule="auto"/>
        <w:jc w:val="both"/>
      </w:pPr>
      <w:r>
        <w:t>Fukuyama writes, “Modern democracy has produced accountability without responsibility—governments that answer symbolically to voters but act independently of them.”²⁰ The influence of money, media, and partisan polarization distorts representation, while globalized economies limit national autonomy.</w:t>
      </w:r>
    </w:p>
    <w:p w14:paraId="096FD8DA">
      <w:pPr>
        <w:pStyle w:val="13"/>
        <w:spacing w:line="480" w:lineRule="auto"/>
        <w:jc w:val="both"/>
      </w:pPr>
      <w:r>
        <w:t>Huntington’s warning again proves prophetic: “When participation expands faster than institutional capacity, instability follows.” Without effective institutions to translate public will into coherent policy, democracies risk disillusionment and populist backlash—a new kind of decay born from excess rather than deficiency.</w:t>
      </w:r>
    </w:p>
    <w:p w14:paraId="22DEDAB8">
      <w:pPr>
        <w:pStyle w:val="4"/>
        <w:spacing w:line="480" w:lineRule="auto"/>
        <w:jc w:val="both"/>
      </w:pPr>
      <w:r>
        <w:rPr>
          <w:rStyle w:val="14"/>
          <w:b/>
          <w:bCs/>
        </w:rPr>
        <w:t>9.1.7 Globalization and the Limits of Sovereignty</w:t>
      </w:r>
    </w:p>
    <w:p w14:paraId="5A798F2C">
      <w:pPr>
        <w:pStyle w:val="13"/>
        <w:spacing w:line="480" w:lineRule="auto"/>
        <w:jc w:val="both"/>
      </w:pPr>
      <w:r>
        <w:t xml:space="preserve">Modern political decay is also shaped by </w:t>
      </w:r>
      <w:r>
        <w:rPr>
          <w:rStyle w:val="14"/>
        </w:rPr>
        <w:t>global interdependence</w:t>
      </w:r>
      <w:r>
        <w:t>. Economic globalization, transnational migration, and supranational organizations (like the EU or IMF) have eroded the autonomy of the nation-state.</w:t>
      </w:r>
    </w:p>
    <w:p w14:paraId="04766C05">
      <w:pPr>
        <w:pStyle w:val="13"/>
        <w:spacing w:line="480" w:lineRule="auto"/>
        <w:jc w:val="both"/>
      </w:pPr>
      <w:r>
        <w:t>Fukuyama observes that while globalization has raised prosperity, it has also weakened national institutions by transferring decision-making to unelected global bodies. This diffusion of authority undermines accountability and breeds public resentment. “The paradox of globalization,” he writes, “is that it creates global wealth but domestic distrust.”</w:t>
      </w:r>
    </w:p>
    <w:p w14:paraId="720E330B">
      <w:pPr>
        <w:pStyle w:val="13"/>
        <w:spacing w:line="480" w:lineRule="auto"/>
        <w:jc w:val="both"/>
      </w:pPr>
      <w:r>
        <w:t>As states lose control over borders, capital, and technology, their capacity to enforce law and deliver justice declines. The result is a legitimacy crisis—an echo of earlier historical moments when political authority outstripped social cohesion.</w:t>
      </w:r>
    </w:p>
    <w:p w14:paraId="25C91F30">
      <w:pPr>
        <w:pStyle w:val="4"/>
        <w:spacing w:line="480" w:lineRule="auto"/>
        <w:jc w:val="both"/>
      </w:pPr>
      <w:r>
        <w:rPr>
          <w:rStyle w:val="14"/>
          <w:b/>
          <w:bCs/>
        </w:rPr>
        <w:t>9.1.8 The Necessity of Institutional Renewal</w:t>
      </w:r>
    </w:p>
    <w:p w14:paraId="2FBE4762">
      <w:pPr>
        <w:pStyle w:val="13"/>
        <w:spacing w:line="480" w:lineRule="auto"/>
        <w:jc w:val="both"/>
      </w:pPr>
      <w:r>
        <w:t xml:space="preserve">Despite these challenges, Fukuyama remains cautiously optimistic. Political decay, he insists, is </w:t>
      </w:r>
      <w:r>
        <w:rPr>
          <w:rStyle w:val="14"/>
        </w:rPr>
        <w:t>not inevitable</w:t>
      </w:r>
      <w:r>
        <w:t xml:space="preserve"> but </w:t>
      </w:r>
      <w:r>
        <w:rPr>
          <w:rStyle w:val="14"/>
        </w:rPr>
        <w:t>reversible</w:t>
      </w:r>
      <w:r>
        <w:t>. Societies can renew themselves through reform, crisis, and civic mobilization. The key lies in rediscovering the moral purpose of institutions—the sense of public duty that once animated their creation.</w:t>
      </w:r>
    </w:p>
    <w:p w14:paraId="31C5575D">
      <w:pPr>
        <w:pStyle w:val="13"/>
        <w:spacing w:line="480" w:lineRule="auto"/>
        <w:jc w:val="both"/>
      </w:pPr>
      <w:r>
        <w:t>Drawing from historical precedents, he notes that Europe’s Papal Revolution, England’s Glorious Revolution, and America’s Progressive Era all emerged from crises that forced elites to confront corruption and inefficiency. “Decay,” Fukuyama writes, “creates the conditions for reform when societies retain the capacity for self-criticism.”</w:t>
      </w:r>
    </w:p>
    <w:p w14:paraId="5EC361B7">
      <w:pPr>
        <w:pStyle w:val="13"/>
        <w:spacing w:line="480" w:lineRule="auto"/>
        <w:jc w:val="both"/>
      </w:pPr>
      <w:r>
        <w:t>Douglass North and Charles Tilly both stress that institutional adaptation depends on credible commitments and collective action. When citizens organize to demand transparency and fairness, they restore the balance among state power, legality, and accountability that defines political order.</w:t>
      </w:r>
    </w:p>
    <w:p w14:paraId="08888559">
      <w:pPr>
        <w:pStyle w:val="13"/>
        <w:spacing w:line="480" w:lineRule="auto"/>
        <w:jc w:val="both"/>
        <w:rPr>
          <w:b/>
          <w:bCs/>
        </w:rPr>
      </w:pPr>
      <w:r>
        <w:t xml:space="preserve">In “Political Orders and Political Decay in Modern History,” Fukuyama closes his two-volume exploration of governance with a sober but hopeful message: political order is humanity’s greatest invention—and its most fragile. From ancient empires to modern democracies, the same principles apply: </w:t>
      </w:r>
      <w:r>
        <w:rPr>
          <w:rStyle w:val="14"/>
          <w:b w:val="0"/>
          <w:bCs w:val="0"/>
        </w:rPr>
        <w:t>institutions must evolve or perish</w:t>
      </w:r>
      <w:r>
        <w:rPr>
          <w:b/>
          <w:bCs/>
        </w:rPr>
        <w:t>.</w:t>
      </w:r>
    </w:p>
    <w:p w14:paraId="78704EF7">
      <w:pPr>
        <w:pStyle w:val="13"/>
        <w:spacing w:line="480" w:lineRule="auto"/>
        <w:jc w:val="both"/>
      </w:pPr>
      <w:r>
        <w:t>Decay is not a failure of civilization but its constant companion, a reminder that legitimacy and justice must be renewed by each generation. As Fukuyama concludes, “The true measure of a political system is not how it endures in triumph, but how it reforms in decay.”</w:t>
      </w:r>
    </w:p>
    <w:p w14:paraId="1C967B10">
      <w:pPr>
        <w:pStyle w:val="13"/>
        <w:spacing w:line="480" w:lineRule="auto"/>
        <w:jc w:val="both"/>
        <w:rPr>
          <w:b/>
          <w:bCs/>
        </w:rPr>
      </w:pPr>
      <w:r>
        <w:t xml:space="preserve">This insight binds the ancient and modern worlds into one continuum. The lesson of history, from Confucian China to modern America, is that political vitality depends not on power or wealth, but on the enduring ability of societies to </w:t>
      </w:r>
      <w:r>
        <w:rPr>
          <w:rStyle w:val="14"/>
          <w:b w:val="0"/>
          <w:bCs w:val="0"/>
        </w:rPr>
        <w:t>bind authority to law and law to moral purpose</w:t>
      </w:r>
      <w:r>
        <w:rPr>
          <w:b/>
          <w:bCs/>
        </w:rPr>
        <w:t>.</w:t>
      </w:r>
    </w:p>
    <w:p w14:paraId="525F84E2">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10.0 Can Nigeria Get to Denmark? Applying Fukuyama’s Framework to State-Building in Nigeria</w:t>
      </w:r>
    </w:p>
    <w:p w14:paraId="3579C5CB">
      <w:pPr>
        <w:spacing w:line="480" w:lineRule="auto"/>
        <w:jc w:val="both"/>
        <w:rPr>
          <w:rFonts w:ascii="Times New Roman" w:hAnsi="Times New Roman" w:cs="Times New Roman"/>
        </w:rPr>
      </w:pPr>
      <w:r>
        <w:rPr>
          <w:rFonts w:ascii="Times New Roman" w:hAnsi="Times New Roman" w:cs="Times New Roman"/>
        </w:rPr>
        <w:t xml:space="preserve">Political order does not arise by chance; it is the outcome of deliberate institutional construction and historical experience. In </w:t>
      </w:r>
      <w:r>
        <w:rPr>
          <w:rFonts w:ascii="Times New Roman" w:hAnsi="Times New Roman" w:cs="Times New Roman"/>
          <w:i/>
          <w:iCs/>
        </w:rPr>
        <w:t>The Origins of Political Order</w:t>
      </w:r>
      <w:r>
        <w:rPr>
          <w:rFonts w:ascii="Times New Roman" w:hAnsi="Times New Roman" w:cs="Times New Roman"/>
        </w:rPr>
        <w:t>, Francis Fukuyama argues that every stable society rests on three essential pillars, a capable state, the rule of law, and mechanisms of accountability that bind rulers to the ruled.</w:t>
      </w:r>
      <w:r>
        <w:rPr>
          <w:rStyle w:val="10"/>
          <w:rFonts w:ascii="Times New Roman" w:hAnsi="Times New Roman" w:cs="Times New Roman"/>
        </w:rPr>
        <w:footnoteReference w:id="106"/>
      </w:r>
      <w:r>
        <w:rPr>
          <w:rFonts w:ascii="Times New Roman" w:hAnsi="Times New Roman" w:cs="Times New Roman"/>
        </w:rPr>
        <w:t xml:space="preserve"> These elements must not only exist independently but also function in a complementary sequence. When any of them is weak or missing, a nation experiences corruption, instability, and underdevelopment. The modern challenge, therefore, is not merely to achieve democracy in form but to ensure that it is supported by functioning institutions that sustain justice, efficiency, and trust.</w:t>
      </w:r>
    </w:p>
    <w:p w14:paraId="1BA5C19C">
      <w:pPr>
        <w:spacing w:line="480" w:lineRule="auto"/>
        <w:jc w:val="both"/>
        <w:rPr>
          <w:rFonts w:ascii="Times New Roman" w:hAnsi="Times New Roman" w:cs="Times New Roman"/>
        </w:rPr>
      </w:pPr>
      <w:r>
        <w:rPr>
          <w:rFonts w:ascii="Times New Roman" w:hAnsi="Times New Roman" w:cs="Times New Roman"/>
        </w:rPr>
        <w:t xml:space="preserve">Nigeria, more than six decades after independence, still struggles to achieve this equilibrium. Since the return to civilian rule in 1999, the country has conducted several democratic elections and established anti-corruption and regulatory agencies. Yet the persistence of poverty, insecurity, and public distrust shows that institutional foundations remain fragile. As Achebe noted in </w:t>
      </w:r>
      <w:r>
        <w:rPr>
          <w:rFonts w:ascii="Times New Roman" w:hAnsi="Times New Roman" w:cs="Times New Roman"/>
          <w:i/>
          <w:iCs/>
        </w:rPr>
        <w:t>The Trouble with Nigeria</w:t>
      </w:r>
      <w:r>
        <w:rPr>
          <w:rFonts w:ascii="Times New Roman" w:hAnsi="Times New Roman" w:cs="Times New Roman"/>
        </w:rPr>
        <w:t>, “the trouble with Nigeria is simply and squarely a failure of leadership.</w:t>
      </w:r>
    </w:p>
    <w:p w14:paraId="41012E60">
      <w:pPr>
        <w:spacing w:line="480" w:lineRule="auto"/>
        <w:jc w:val="both"/>
        <w:rPr>
          <w:rFonts w:ascii="Times New Roman" w:hAnsi="Times New Roman" w:cs="Times New Roman"/>
        </w:rPr>
      </w:pPr>
      <w:r>
        <w:rPr>
          <w:rFonts w:ascii="Times New Roman" w:hAnsi="Times New Roman" w:cs="Times New Roman"/>
        </w:rPr>
        <w:t>Fukuyama’s metaphor of “</w:t>
      </w:r>
      <w:r>
        <w:rPr>
          <w:rFonts w:ascii="Times New Roman" w:hAnsi="Times New Roman" w:cs="Times New Roman"/>
          <w:b/>
          <w:bCs/>
          <w:i/>
          <w:iCs/>
        </w:rPr>
        <w:t>getting to Denmark</w:t>
      </w:r>
      <w:r>
        <w:rPr>
          <w:rFonts w:ascii="Times New Roman" w:hAnsi="Times New Roman" w:cs="Times New Roman"/>
        </w:rPr>
        <w:t xml:space="preserve">” captures the aspiration of countries seeking to emulate the stability, prosperity, and rule-based governance of advanced democracies </w:t>
      </w:r>
      <w:r>
        <w:rPr>
          <w:rStyle w:val="10"/>
          <w:rFonts w:ascii="Times New Roman" w:hAnsi="Times New Roman" w:cs="Times New Roman"/>
        </w:rPr>
        <w:footnoteReference w:id="107"/>
      </w:r>
      <w:r>
        <w:rPr>
          <w:rFonts w:ascii="Times New Roman" w:hAnsi="Times New Roman" w:cs="Times New Roman"/>
        </w:rPr>
        <w:t>. “</w:t>
      </w:r>
      <w:r>
        <w:rPr>
          <w:rFonts w:ascii="Times New Roman" w:hAnsi="Times New Roman" w:cs="Times New Roman"/>
          <w:b/>
          <w:bCs/>
          <w:i/>
          <w:iCs/>
        </w:rPr>
        <w:t>Denmark</w:t>
      </w:r>
      <w:r>
        <w:rPr>
          <w:rFonts w:ascii="Times New Roman" w:hAnsi="Times New Roman" w:cs="Times New Roman"/>
        </w:rPr>
        <w:t>” is not a geographic destination but a symbol of political modernity, a state where government is effective, law is supreme, and citizens trust public institutions. Nigeria’s reality, however, is far from this ideal. Its tax-to-GDP ratio stood at roughly 7.9 percent in 2022, among the lowest globally, indicating weak fiscal capacity and dependence on oil rents rather than an efficient tax system</w:t>
      </w:r>
      <w:r>
        <w:rPr>
          <w:rStyle w:val="10"/>
          <w:rFonts w:ascii="Times New Roman" w:hAnsi="Times New Roman" w:cs="Times New Roman"/>
        </w:rPr>
        <w:footnoteReference w:id="108"/>
      </w:r>
      <w:r>
        <w:rPr>
          <w:rFonts w:ascii="Times New Roman" w:hAnsi="Times New Roman" w:cs="Times New Roman"/>
        </w:rPr>
        <w:t>. This rentier structure undermines bureaucratic professionalism and fosters corruption.</w:t>
      </w:r>
    </w:p>
    <w:p w14:paraId="655CF542">
      <w:pPr>
        <w:spacing w:line="480" w:lineRule="auto"/>
        <w:jc w:val="both"/>
        <w:rPr>
          <w:rFonts w:ascii="Times New Roman" w:hAnsi="Times New Roman" w:cs="Times New Roman"/>
        </w:rPr>
      </w:pPr>
      <w:r>
        <w:rPr>
          <w:rFonts w:ascii="Times New Roman" w:hAnsi="Times New Roman" w:cs="Times New Roman"/>
        </w:rPr>
        <w:t>The central task of this chapter is to evaluate whether Nigeria can realistically move toward “Denmark” by applying Fukuyama’s framework of political development. The analysis will focus on how the Nigerian state performs under each of the three pillars, state capacity, rule of law, and accountability, and how their imbalance explains persistent political decay.</w:t>
      </w:r>
    </w:p>
    <w:p w14:paraId="3A39E3C2">
      <w:pPr>
        <w:spacing w:line="480" w:lineRule="auto"/>
        <w:jc w:val="both"/>
        <w:rPr>
          <w:rFonts w:ascii="Times New Roman" w:hAnsi="Times New Roman" w:cs="Times New Roman"/>
        </w:rPr>
      </w:pPr>
      <w:r>
        <w:rPr>
          <w:rFonts w:ascii="Times New Roman" w:hAnsi="Times New Roman" w:cs="Times New Roman"/>
        </w:rPr>
        <w:t xml:space="preserve">Ultimately, the chapter seeks to bridge theory and practice: to interpret Fukuyama’s model in light of Nigeria’s socio-political experience, and to suggest how institutional reform, leadership ethics, and civic trust can transform the Nigerian state from a rent-seeking polity into a rule-based order. This approach not only grounds the theoretical model in African reality but also responds to the philosophical question that guides socio-political thought: </w:t>
      </w:r>
      <w:r>
        <w:rPr>
          <w:rFonts w:ascii="Times New Roman" w:hAnsi="Times New Roman" w:cs="Times New Roman"/>
          <w:i/>
          <w:iCs/>
        </w:rPr>
        <w:t>Can a state become just, if its institutions remain weak?</w:t>
      </w:r>
    </w:p>
    <w:p w14:paraId="59E349D7">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10.1 Evaluating Nigeria Through Fukuyama’s Three Pillars of Political Development</w:t>
      </w:r>
    </w:p>
    <w:p w14:paraId="7F949811">
      <w:pPr>
        <w:spacing w:line="480" w:lineRule="auto"/>
        <w:jc w:val="both"/>
        <w:rPr>
          <w:rFonts w:ascii="Times New Roman" w:hAnsi="Times New Roman" w:cs="Times New Roman"/>
        </w:rPr>
      </w:pPr>
      <w:r>
        <w:rPr>
          <w:rFonts w:ascii="Times New Roman" w:hAnsi="Times New Roman" w:cs="Times New Roman"/>
        </w:rPr>
        <w:t xml:space="preserve">Fukuyama’s theory of political order rests on three interconnected pillars: </w:t>
      </w:r>
      <w:r>
        <w:rPr>
          <w:rFonts w:ascii="Times New Roman" w:hAnsi="Times New Roman" w:cs="Times New Roman"/>
          <w:b/>
          <w:bCs/>
        </w:rPr>
        <w:t>a capable state</w:t>
      </w:r>
      <w:r>
        <w:rPr>
          <w:rFonts w:ascii="Times New Roman" w:hAnsi="Times New Roman" w:cs="Times New Roman"/>
        </w:rPr>
        <w:t xml:space="preserve">, </w:t>
      </w:r>
      <w:r>
        <w:rPr>
          <w:rFonts w:ascii="Times New Roman" w:hAnsi="Times New Roman" w:cs="Times New Roman"/>
          <w:b/>
          <w:bCs/>
        </w:rPr>
        <w:t>the rule of law</w:t>
      </w:r>
      <w:r>
        <w:rPr>
          <w:rFonts w:ascii="Times New Roman" w:hAnsi="Times New Roman" w:cs="Times New Roman"/>
        </w:rPr>
        <w:t xml:space="preserve">, and </w:t>
      </w:r>
      <w:r>
        <w:rPr>
          <w:rFonts w:ascii="Times New Roman" w:hAnsi="Times New Roman" w:cs="Times New Roman"/>
          <w:b/>
          <w:bCs/>
        </w:rPr>
        <w:t>democratic accountability</w:t>
      </w:r>
      <w:r>
        <w:rPr>
          <w:rFonts w:ascii="Times New Roman" w:hAnsi="Times New Roman" w:cs="Times New Roman"/>
        </w:rPr>
        <w:t>. Each represents a distinct institutional function, yet all must develop in balance for a society to achieve sustainable political order. In weak states, one or more of these pillars either emerges too late or remains underdeveloped, creating instability and corruption</w:t>
      </w:r>
      <w:r>
        <w:rPr>
          <w:rStyle w:val="10"/>
          <w:rFonts w:ascii="Times New Roman" w:hAnsi="Times New Roman" w:cs="Times New Roman"/>
        </w:rPr>
        <w:footnoteReference w:id="109"/>
      </w:r>
      <w:r>
        <w:rPr>
          <w:rFonts w:ascii="Times New Roman" w:hAnsi="Times New Roman" w:cs="Times New Roman"/>
        </w:rPr>
        <w:t>. Nigeria illustrates this imbalance vividly. To understand Nigeria’s present crisis, it is necessary to examine how each of these pillar functions in practice.</w:t>
      </w:r>
    </w:p>
    <w:p w14:paraId="029AB1A6">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10.1.1 The State: From Patrimonialism to Meritocracy</w:t>
      </w:r>
    </w:p>
    <w:p w14:paraId="039DEF52">
      <w:pPr>
        <w:spacing w:line="480" w:lineRule="auto"/>
        <w:jc w:val="both"/>
        <w:rPr>
          <w:rFonts w:ascii="Times New Roman" w:hAnsi="Times New Roman" w:cs="Times New Roman"/>
        </w:rPr>
      </w:pPr>
      <w:r>
        <w:rPr>
          <w:rFonts w:ascii="Times New Roman" w:hAnsi="Times New Roman" w:cs="Times New Roman"/>
        </w:rPr>
        <w:t>The state, according to Fukuyama, is the institution that monopolizes legitimate violence, collects revenue, and delivers public goods on an impersonal basis</w:t>
      </w:r>
      <w:r>
        <w:rPr>
          <w:rStyle w:val="10"/>
          <w:rFonts w:ascii="Times New Roman" w:hAnsi="Times New Roman" w:cs="Times New Roman"/>
        </w:rPr>
        <w:footnoteReference w:id="110"/>
      </w:r>
      <w:r>
        <w:rPr>
          <w:rFonts w:ascii="Times New Roman" w:hAnsi="Times New Roman" w:cs="Times New Roman"/>
        </w:rPr>
        <w:t>. A strong state is not simply one with coercive power, but one that can enforce rules fairly and provide services efficiently. Nigeria’s state, however, remains structurally weak. It operates more like a rentier state than a developmental one, sustained by oil revenue rather than a productive or taxable economy.</w:t>
      </w:r>
    </w:p>
    <w:p w14:paraId="5CF2D13D">
      <w:pPr>
        <w:spacing w:line="480" w:lineRule="auto"/>
        <w:jc w:val="both"/>
        <w:rPr>
          <w:rFonts w:ascii="Times New Roman" w:hAnsi="Times New Roman" w:cs="Times New Roman"/>
        </w:rPr>
      </w:pPr>
      <w:r>
        <w:rPr>
          <w:rFonts w:ascii="Times New Roman" w:hAnsi="Times New Roman" w:cs="Times New Roman"/>
        </w:rPr>
        <w:t xml:space="preserve">Nigeria’s </w:t>
      </w:r>
      <w:r>
        <w:rPr>
          <w:rFonts w:ascii="Times New Roman" w:hAnsi="Times New Roman" w:cs="Times New Roman"/>
          <w:b/>
          <w:bCs/>
        </w:rPr>
        <w:t>tax-to-GDP ratio</w:t>
      </w:r>
      <w:r>
        <w:rPr>
          <w:rFonts w:ascii="Times New Roman" w:hAnsi="Times New Roman" w:cs="Times New Roman"/>
        </w:rPr>
        <w:t xml:space="preserve"> was about </w:t>
      </w:r>
      <w:r>
        <w:rPr>
          <w:rFonts w:ascii="Times New Roman" w:hAnsi="Times New Roman" w:cs="Times New Roman"/>
          <w:b/>
          <w:bCs/>
        </w:rPr>
        <w:t>7.9 percent in 2022</w:t>
      </w:r>
      <w:r>
        <w:rPr>
          <w:rFonts w:ascii="Times New Roman" w:hAnsi="Times New Roman" w:cs="Times New Roman"/>
        </w:rPr>
        <w:t>, one of the lowest in the world</w:t>
      </w:r>
      <w:r>
        <w:rPr>
          <w:rStyle w:val="10"/>
          <w:rFonts w:ascii="Times New Roman" w:hAnsi="Times New Roman" w:cs="Times New Roman"/>
        </w:rPr>
        <w:footnoteReference w:id="111"/>
      </w:r>
      <w:r>
        <w:rPr>
          <w:rFonts w:ascii="Times New Roman" w:hAnsi="Times New Roman" w:cs="Times New Roman"/>
        </w:rPr>
        <w:t>. This reflects limited fiscal extraction capacity, the government cannot reliably raise internal revenue and therefore lacks the resources to invest in infrastructure, education, or law enforcement. Because citizens contribute little tax, they also demand little accountability, creating what scholars call a “broken fiscal contract.”</w:t>
      </w:r>
    </w:p>
    <w:p w14:paraId="6A5207AF">
      <w:pPr>
        <w:spacing w:line="480" w:lineRule="auto"/>
        <w:jc w:val="both"/>
        <w:rPr>
          <w:rFonts w:ascii="Times New Roman" w:hAnsi="Times New Roman" w:cs="Times New Roman"/>
        </w:rPr>
      </w:pPr>
      <w:r>
        <w:rPr>
          <w:rFonts w:ascii="Times New Roman" w:hAnsi="Times New Roman" w:cs="Times New Roman"/>
        </w:rPr>
        <w:t>Moreover, the Nigerian civil service, once considered the “engine room” of governance, has been eroded by politicization and patronage. Recruitment and promotion frequently depend on ethnic balancing or political loyalty rather than merit or performance. This undermines what Max Weber called the rational-legal bureaucracy, an impersonal system of administration guided by rules and expertise</w:t>
      </w:r>
      <w:r>
        <w:rPr>
          <w:rStyle w:val="10"/>
          <w:rFonts w:ascii="Times New Roman" w:hAnsi="Times New Roman" w:cs="Times New Roman"/>
        </w:rPr>
        <w:footnoteReference w:id="112"/>
      </w:r>
      <w:r>
        <w:rPr>
          <w:rFonts w:ascii="Times New Roman" w:hAnsi="Times New Roman" w:cs="Times New Roman"/>
        </w:rPr>
        <w:t>.</w:t>
      </w:r>
    </w:p>
    <w:p w14:paraId="67FDC320">
      <w:pPr>
        <w:spacing w:line="480" w:lineRule="auto"/>
        <w:jc w:val="both"/>
        <w:rPr>
          <w:rFonts w:ascii="Times New Roman" w:hAnsi="Times New Roman" w:cs="Times New Roman"/>
        </w:rPr>
      </w:pPr>
      <w:r>
        <w:rPr>
          <w:rFonts w:ascii="Times New Roman" w:hAnsi="Times New Roman" w:cs="Times New Roman"/>
        </w:rPr>
        <w:t xml:space="preserve">Fukuyama would describe this as a </w:t>
      </w:r>
      <w:r>
        <w:rPr>
          <w:rFonts w:ascii="Times New Roman" w:hAnsi="Times New Roman" w:cs="Times New Roman"/>
          <w:b/>
          <w:bCs/>
        </w:rPr>
        <w:t>failure of institutional impersonality</w:t>
      </w:r>
      <w:r>
        <w:rPr>
          <w:rFonts w:ascii="Times New Roman" w:hAnsi="Times New Roman" w:cs="Times New Roman"/>
        </w:rPr>
        <w:t>. The Nigerian state must shift from rent-based distributive politics to a meritocratic system that rewards competence and efficiency. Reforms such as performance evaluation in ministries, automation of tax collection, and depoliticization of the civil service are essential for building state capacity. Without such changes, the state will continue to oscillate between strength in rhetoric and weakness in practice.</w:t>
      </w:r>
    </w:p>
    <w:p w14:paraId="0D339AD0">
      <w:pPr>
        <w:spacing w:line="480" w:lineRule="auto"/>
        <w:jc w:val="both"/>
        <w:rPr>
          <w:rFonts w:ascii="Times New Roman" w:hAnsi="Times New Roman" w:cs="Times New Roman"/>
        </w:rPr>
      </w:pPr>
    </w:p>
    <w:p w14:paraId="0FC6DE87">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10.1.2 The Rule of Law: Building Institutions That Restrain Power</w:t>
      </w:r>
    </w:p>
    <w:p w14:paraId="5B53A706">
      <w:pPr>
        <w:spacing w:line="480" w:lineRule="auto"/>
        <w:jc w:val="both"/>
        <w:rPr>
          <w:rFonts w:ascii="Times New Roman" w:hAnsi="Times New Roman" w:cs="Times New Roman"/>
        </w:rPr>
      </w:pPr>
      <w:r>
        <w:rPr>
          <w:rFonts w:ascii="Times New Roman" w:hAnsi="Times New Roman" w:cs="Times New Roman"/>
        </w:rPr>
        <w:t>In Fukuyama’s schema, the rule of law is the moral and institutional framework that restrains rulers by subjecting them to the same laws that govern citizens</w:t>
      </w:r>
      <w:r>
        <w:rPr>
          <w:rStyle w:val="10"/>
          <w:rFonts w:ascii="Times New Roman" w:hAnsi="Times New Roman" w:cs="Times New Roman"/>
        </w:rPr>
        <w:footnoteReference w:id="113"/>
      </w:r>
      <w:r>
        <w:rPr>
          <w:rFonts w:ascii="Times New Roman" w:hAnsi="Times New Roman" w:cs="Times New Roman"/>
        </w:rPr>
        <w:t>. The presence of courts and legal codes is not enough; the law must be supreme and applied equally. Nigeria’s constitution upholds this principle, but enforcement remains selective and inconsistent.</w:t>
      </w:r>
    </w:p>
    <w:p w14:paraId="333B840C">
      <w:pPr>
        <w:spacing w:line="480" w:lineRule="auto"/>
        <w:jc w:val="both"/>
        <w:rPr>
          <w:rFonts w:ascii="Times New Roman" w:hAnsi="Times New Roman" w:cs="Times New Roman"/>
        </w:rPr>
      </w:pPr>
      <w:r>
        <w:rPr>
          <w:rFonts w:ascii="Times New Roman" w:hAnsi="Times New Roman" w:cs="Times New Roman"/>
        </w:rPr>
        <w:t>Court orders are often ignored by security agencies or government ministries, and corruption cases involving politically connected individuals can languish for years without resolution. The delay in prosecuting several high-profile cases, including subsidy fraud and security contract scandals, illustrates a judiciary that lacks both independence and enforcement strength.</w:t>
      </w:r>
    </w:p>
    <w:p w14:paraId="0D45854C">
      <w:pPr>
        <w:spacing w:line="480" w:lineRule="auto"/>
        <w:jc w:val="both"/>
        <w:rPr>
          <w:rFonts w:ascii="Times New Roman" w:hAnsi="Times New Roman" w:cs="Times New Roman"/>
        </w:rPr>
      </w:pPr>
      <w:r>
        <w:rPr>
          <w:rFonts w:ascii="Times New Roman" w:hAnsi="Times New Roman" w:cs="Times New Roman"/>
        </w:rPr>
        <w:t>The situation is worsened by underfunding and political interference. Judges are frequently appointed through partisan recommendations rather than transparent merit processes, compromising their autonomy. As a result, the Nigerian judiciary risks becoming what Ayo Oluwakayode calls “a lion in chains” symbolically powerful but institutionally constrained</w:t>
      </w:r>
      <w:r>
        <w:rPr>
          <w:rStyle w:val="10"/>
          <w:rFonts w:ascii="Times New Roman" w:hAnsi="Times New Roman" w:cs="Times New Roman"/>
        </w:rPr>
        <w:footnoteReference w:id="114"/>
      </w:r>
      <w:r>
        <w:rPr>
          <w:rFonts w:ascii="Times New Roman" w:hAnsi="Times New Roman" w:cs="Times New Roman"/>
        </w:rPr>
        <w:t>.</w:t>
      </w:r>
    </w:p>
    <w:p w14:paraId="3F176C48">
      <w:pPr>
        <w:spacing w:line="480" w:lineRule="auto"/>
        <w:jc w:val="both"/>
        <w:rPr>
          <w:rFonts w:ascii="Times New Roman" w:hAnsi="Times New Roman" w:cs="Times New Roman"/>
        </w:rPr>
      </w:pPr>
      <w:r>
        <w:rPr>
          <w:rFonts w:ascii="Times New Roman" w:hAnsi="Times New Roman" w:cs="Times New Roman"/>
        </w:rPr>
        <w:t xml:space="preserve">Fukuyama distinguishes between </w:t>
      </w:r>
      <w:r>
        <w:rPr>
          <w:rFonts w:ascii="Times New Roman" w:hAnsi="Times New Roman" w:cs="Times New Roman"/>
          <w:b/>
          <w:bCs/>
        </w:rPr>
        <w:t>rule of law</w:t>
      </w:r>
      <w:r>
        <w:rPr>
          <w:rFonts w:ascii="Times New Roman" w:hAnsi="Times New Roman" w:cs="Times New Roman"/>
        </w:rPr>
        <w:t xml:space="preserve"> and </w:t>
      </w:r>
      <w:r>
        <w:rPr>
          <w:rFonts w:ascii="Times New Roman" w:hAnsi="Times New Roman" w:cs="Times New Roman"/>
          <w:b/>
          <w:bCs/>
        </w:rPr>
        <w:t>rule by law</w:t>
      </w:r>
      <w:r>
        <w:rPr>
          <w:rFonts w:ascii="Times New Roman" w:hAnsi="Times New Roman" w:cs="Times New Roman"/>
        </w:rPr>
        <w:t>; Nigeria still operates closer to the latter. To achieve genuine rule of law, reforms must include guaranteed financial autonomy for the judiciary, digitization of court procedures, and strict penalties for executive disobedience of court orders. The moral authority of the law is central to the nation’s legitimacy; when citizens lose faith in the courts, they seek justice through ethnic, religious, or vigilante alternatives, a dangerous erosion of national cohesion.</w:t>
      </w:r>
    </w:p>
    <w:p w14:paraId="00A1DE6D">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10.1.3 Accountability: From Patronage Politics to Democratic Maturity</w:t>
      </w:r>
    </w:p>
    <w:p w14:paraId="5CDEAE06">
      <w:pPr>
        <w:spacing w:line="480" w:lineRule="auto"/>
        <w:jc w:val="both"/>
        <w:rPr>
          <w:rFonts w:ascii="Times New Roman" w:hAnsi="Times New Roman" w:cs="Times New Roman"/>
        </w:rPr>
      </w:pPr>
      <w:r>
        <w:rPr>
          <w:rFonts w:ascii="Times New Roman" w:hAnsi="Times New Roman" w:cs="Times New Roman"/>
        </w:rPr>
        <w:t xml:space="preserve">Accountability, the third pillar, ensures that government actions reflect the will and welfare of the people. Fukuyama distinguishes </w:t>
      </w:r>
      <w:r>
        <w:rPr>
          <w:rFonts w:ascii="Times New Roman" w:hAnsi="Times New Roman" w:cs="Times New Roman"/>
          <w:b/>
          <w:bCs/>
        </w:rPr>
        <w:t>vertical accountability</w:t>
      </w:r>
      <w:r>
        <w:rPr>
          <w:rFonts w:ascii="Times New Roman" w:hAnsi="Times New Roman" w:cs="Times New Roman"/>
        </w:rPr>
        <w:t xml:space="preserve"> (citizens holding leaders responsible through elections) from </w:t>
      </w:r>
      <w:r>
        <w:rPr>
          <w:rFonts w:ascii="Times New Roman" w:hAnsi="Times New Roman" w:cs="Times New Roman"/>
          <w:b/>
          <w:bCs/>
        </w:rPr>
        <w:t>horizontal accountability</w:t>
      </w:r>
      <w:r>
        <w:rPr>
          <w:rFonts w:ascii="Times New Roman" w:hAnsi="Times New Roman" w:cs="Times New Roman"/>
        </w:rPr>
        <w:t xml:space="preserve"> (institutions checking one another)</w:t>
      </w:r>
      <w:r>
        <w:rPr>
          <w:rStyle w:val="10"/>
          <w:rFonts w:ascii="Times New Roman" w:hAnsi="Times New Roman" w:cs="Times New Roman"/>
        </w:rPr>
        <w:footnoteReference w:id="115"/>
      </w:r>
      <w:r>
        <w:rPr>
          <w:rFonts w:ascii="Times New Roman" w:hAnsi="Times New Roman" w:cs="Times New Roman"/>
        </w:rPr>
        <w:t>. Nigeria’s democracy demonstrates the first more than the second, and even that is weakened by manipulation and low participation.</w:t>
      </w:r>
    </w:p>
    <w:p w14:paraId="65C6FF62">
      <w:pPr>
        <w:spacing w:line="480" w:lineRule="auto"/>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2023 general election</w:t>
      </w:r>
      <w:r>
        <w:rPr>
          <w:rFonts w:ascii="Times New Roman" w:hAnsi="Times New Roman" w:cs="Times New Roman"/>
        </w:rPr>
        <w:t xml:space="preserve"> recorded only </w:t>
      </w:r>
      <w:r>
        <w:rPr>
          <w:rFonts w:ascii="Times New Roman" w:hAnsi="Times New Roman" w:cs="Times New Roman"/>
          <w:b/>
          <w:bCs/>
        </w:rPr>
        <w:t>26.72 percent voter turnout</w:t>
      </w:r>
      <w:r>
        <w:rPr>
          <w:rFonts w:ascii="Times New Roman" w:hAnsi="Times New Roman" w:cs="Times New Roman"/>
        </w:rPr>
        <w:t>, one of the lowest since 1999</w:t>
      </w:r>
      <w:r>
        <w:rPr>
          <w:rStyle w:val="10"/>
          <w:rFonts w:ascii="Times New Roman" w:hAnsi="Times New Roman" w:cs="Times New Roman"/>
        </w:rPr>
        <w:footnoteReference w:id="116"/>
      </w:r>
      <w:r>
        <w:rPr>
          <w:rFonts w:ascii="Times New Roman" w:hAnsi="Times New Roman" w:cs="Times New Roman"/>
        </w:rPr>
        <w:t xml:space="preserve">. The combination of logistical failures, insecurity, and public cynicism toward political elites eroded citizens’ belief that their vote could influence outcomes. Institutions like the </w:t>
      </w:r>
      <w:r>
        <w:rPr>
          <w:rFonts w:ascii="Times New Roman" w:hAnsi="Times New Roman" w:cs="Times New Roman"/>
          <w:b/>
          <w:bCs/>
        </w:rPr>
        <w:t>Independent National Electoral Commission (INEC)</w:t>
      </w:r>
      <w:r>
        <w:rPr>
          <w:rFonts w:ascii="Times New Roman" w:hAnsi="Times New Roman" w:cs="Times New Roman"/>
        </w:rPr>
        <w:t xml:space="preserve"> and </w:t>
      </w:r>
      <w:r>
        <w:rPr>
          <w:rFonts w:ascii="Times New Roman" w:hAnsi="Times New Roman" w:cs="Times New Roman"/>
          <w:b/>
          <w:bCs/>
        </w:rPr>
        <w:t>Economic and Financial Crimes Commission (EFCC)</w:t>
      </w:r>
      <w:r>
        <w:rPr>
          <w:rFonts w:ascii="Times New Roman" w:hAnsi="Times New Roman" w:cs="Times New Roman"/>
        </w:rPr>
        <w:t xml:space="preserve"> exist, but both face structural constraints: inadequate funding, executive interference, and public skepticism.</w:t>
      </w:r>
    </w:p>
    <w:p w14:paraId="1E404ACA">
      <w:pPr>
        <w:spacing w:line="480" w:lineRule="auto"/>
        <w:jc w:val="both"/>
        <w:rPr>
          <w:rFonts w:ascii="Times New Roman" w:hAnsi="Times New Roman" w:cs="Times New Roman"/>
        </w:rPr>
      </w:pPr>
      <w:r>
        <w:rPr>
          <w:rFonts w:ascii="Times New Roman" w:hAnsi="Times New Roman" w:cs="Times New Roman"/>
        </w:rPr>
        <w:t>As Achebe argued, Nigeria’s leadership problem is moral as much as institutional — leaders often pursue personal gain above public interest</w:t>
      </w:r>
      <w:r>
        <w:rPr>
          <w:rStyle w:val="10"/>
          <w:rFonts w:ascii="Times New Roman" w:hAnsi="Times New Roman" w:cs="Times New Roman"/>
        </w:rPr>
        <w:footnoteReference w:id="117"/>
      </w:r>
      <w:r>
        <w:rPr>
          <w:rFonts w:ascii="Times New Roman" w:hAnsi="Times New Roman" w:cs="Times New Roman"/>
        </w:rPr>
        <w:t>. True accountability requires both systemic checks and civic virtue. Civil society groups, investigative journalism, and digital transparency tools (like BudgIT and Dataphyte) have begun to expose misuse of funds, but the state’s response remains weak. For democratic maturity, Nigeria must deepen internal party democracy, institutionalize campaign finance regulation, and strengthen legislative oversight independent of executive dominance.</w:t>
      </w:r>
    </w:p>
    <w:p w14:paraId="2381E859">
      <w:pPr>
        <w:spacing w:line="480" w:lineRule="auto"/>
        <w:jc w:val="both"/>
        <w:rPr>
          <w:rFonts w:ascii="Times New Roman" w:hAnsi="Times New Roman" w:cs="Times New Roman"/>
        </w:rPr>
      </w:pPr>
    </w:p>
    <w:p w14:paraId="49BB6451">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10.1.4 Interdependence of the Three Pillars: The Problem of Sequencing in Nigeria</w:t>
      </w:r>
    </w:p>
    <w:p w14:paraId="350443EE">
      <w:pPr>
        <w:spacing w:line="480" w:lineRule="auto"/>
        <w:jc w:val="both"/>
        <w:rPr>
          <w:rFonts w:ascii="Times New Roman" w:hAnsi="Times New Roman" w:cs="Times New Roman"/>
        </w:rPr>
      </w:pPr>
      <w:r>
        <w:rPr>
          <w:rFonts w:ascii="Times New Roman" w:hAnsi="Times New Roman" w:cs="Times New Roman"/>
        </w:rPr>
        <w:t xml:space="preserve">Fukuyama cautions that institutional development must follow the correct </w:t>
      </w:r>
      <w:r>
        <w:rPr>
          <w:rFonts w:ascii="Times New Roman" w:hAnsi="Times New Roman" w:cs="Times New Roman"/>
          <w:b/>
          <w:bCs/>
        </w:rPr>
        <w:t>sequence</w:t>
      </w:r>
      <w:r>
        <w:rPr>
          <w:rFonts w:ascii="Times New Roman" w:hAnsi="Times New Roman" w:cs="Times New Roman"/>
        </w:rPr>
        <w:t>: first a strong state, then rule of law, and only then broad democratic participation</w:t>
      </w:r>
      <w:r>
        <w:rPr>
          <w:rStyle w:val="10"/>
          <w:rFonts w:ascii="Times New Roman" w:hAnsi="Times New Roman" w:cs="Times New Roman"/>
        </w:rPr>
        <w:footnoteReference w:id="118"/>
      </w:r>
      <w:r>
        <w:rPr>
          <w:rFonts w:ascii="Times New Roman" w:hAnsi="Times New Roman" w:cs="Times New Roman"/>
        </w:rPr>
        <w:t>. When democracy comes before state capacity, governance can collapse into populism and patronage. Nigeria’s transition to democracy in 1999 established electoral competition before consolidating bureaucratic discipline or judicial independence. The result has been a cycle of corruption and weak policy implementation.</w:t>
      </w:r>
    </w:p>
    <w:p w14:paraId="7FAEC664">
      <w:pPr>
        <w:spacing w:line="480" w:lineRule="auto"/>
        <w:jc w:val="both"/>
        <w:rPr>
          <w:rFonts w:ascii="Times New Roman" w:hAnsi="Times New Roman" w:cs="Times New Roman"/>
        </w:rPr>
      </w:pPr>
      <w:r>
        <w:rPr>
          <w:rFonts w:ascii="Times New Roman" w:hAnsi="Times New Roman" w:cs="Times New Roman"/>
        </w:rPr>
        <w:t xml:space="preserve">Nigeria’s sequencing challenge can be summarized as: </w:t>
      </w:r>
      <w:r>
        <w:rPr>
          <w:rFonts w:ascii="Times New Roman" w:hAnsi="Times New Roman" w:cs="Times New Roman"/>
          <w:b/>
          <w:bCs/>
        </w:rPr>
        <w:t>weak state → weak law → weak accountability</w:t>
      </w:r>
      <w:r>
        <w:rPr>
          <w:rFonts w:ascii="Times New Roman" w:hAnsi="Times New Roman" w:cs="Times New Roman"/>
        </w:rPr>
        <w:t>. Because the state lacks enforcement power, laws are selectively applied; because laws are weak, democratic participation degenerates into transactional politics. The lesson from historical cases such as China’s strong bureaucracy before democratization or England’s gradual evolution of law before mass suffrage is that institutions must be layered, not rushed.</w:t>
      </w:r>
    </w:p>
    <w:p w14:paraId="6EFDEEB9">
      <w:pPr>
        <w:spacing w:line="480" w:lineRule="auto"/>
        <w:jc w:val="both"/>
        <w:rPr>
          <w:rFonts w:ascii="Times New Roman" w:hAnsi="Times New Roman" w:cs="Times New Roman"/>
        </w:rPr>
      </w:pPr>
      <w:r>
        <w:rPr>
          <w:rFonts w:ascii="Times New Roman" w:hAnsi="Times New Roman" w:cs="Times New Roman"/>
        </w:rPr>
        <w:t>For Nigeria, the practical solution is to strengthen state and legal institutions before expanding political promises. Building roads, securing communities, and ensuring justice will earn legitimacy faster than electoral slogans. Only when the state delivers can democracy deepen.</w:t>
      </w:r>
    </w:p>
    <w:p w14:paraId="1EBC2DEA">
      <w:pPr>
        <w:spacing w:line="480" w:lineRule="auto"/>
        <w:jc w:val="both"/>
        <w:rPr>
          <w:rFonts w:ascii="Times New Roman" w:hAnsi="Times New Roman" w:cs="Times New Roman"/>
        </w:rPr>
      </w:pPr>
    </w:p>
    <w:p w14:paraId="343A237B">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10.2 Institutional Reforms for Building Political Order in Nigeria</w:t>
      </w:r>
    </w:p>
    <w:p w14:paraId="356FE560">
      <w:pPr>
        <w:spacing w:line="480" w:lineRule="auto"/>
        <w:jc w:val="both"/>
        <w:rPr>
          <w:rFonts w:ascii="Times New Roman" w:hAnsi="Times New Roman" w:cs="Times New Roman"/>
        </w:rPr>
      </w:pPr>
      <w:r>
        <w:rPr>
          <w:rFonts w:ascii="Times New Roman" w:hAnsi="Times New Roman" w:cs="Times New Roman"/>
        </w:rPr>
        <w:t>Reforming Nigeria’s institutions is not merely a matter of administrative efficiency but a prerequisite for political stability and national development. Fukuyama emphasizes that strong institutions emerge from historical learning, reform-driven leadership, and gradual adaptation, not from imported blueprints</w:t>
      </w:r>
      <w:r>
        <w:rPr>
          <w:rStyle w:val="10"/>
          <w:rFonts w:ascii="Times New Roman" w:hAnsi="Times New Roman" w:cs="Times New Roman"/>
        </w:rPr>
        <w:footnoteReference w:id="119"/>
      </w:r>
      <w:r>
        <w:rPr>
          <w:rFonts w:ascii="Times New Roman" w:hAnsi="Times New Roman" w:cs="Times New Roman"/>
        </w:rPr>
        <w:t xml:space="preserve">. The challenge for Nigeria is to build institutions that are both </w:t>
      </w:r>
      <w:r>
        <w:rPr>
          <w:rFonts w:ascii="Times New Roman" w:hAnsi="Times New Roman" w:cs="Times New Roman"/>
          <w:i/>
          <w:iCs/>
        </w:rPr>
        <w:t>effective</w:t>
      </w:r>
      <w:r>
        <w:rPr>
          <w:rFonts w:ascii="Times New Roman" w:hAnsi="Times New Roman" w:cs="Times New Roman"/>
        </w:rPr>
        <w:t xml:space="preserve"> and </w:t>
      </w:r>
      <w:r>
        <w:rPr>
          <w:rFonts w:ascii="Times New Roman" w:hAnsi="Times New Roman" w:cs="Times New Roman"/>
          <w:i/>
          <w:iCs/>
        </w:rPr>
        <w:t>legitimate</w:t>
      </w:r>
      <w:r>
        <w:rPr>
          <w:rFonts w:ascii="Times New Roman" w:hAnsi="Times New Roman" w:cs="Times New Roman"/>
        </w:rPr>
        <w:t>, effective in enforcing rules and delivering services, and legitimate in the eyes of citizens who must trust and obey them. This section explores three major reform areas essential to achieving political order: strengthening state capacity, reinforcing judicial and anti-corruption frameworks, and reforming electoral and constitutional processes.</w:t>
      </w:r>
    </w:p>
    <w:p w14:paraId="20BF567D">
      <w:pPr>
        <w:spacing w:line="480" w:lineRule="auto"/>
        <w:jc w:val="both"/>
        <w:rPr>
          <w:rFonts w:ascii="Times New Roman" w:hAnsi="Times New Roman" w:cs="Times New Roman"/>
        </w:rPr>
      </w:pPr>
    </w:p>
    <w:p w14:paraId="6765BF3E">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10.2.1 Strengthening State Capacity</w:t>
      </w:r>
    </w:p>
    <w:p w14:paraId="45669274">
      <w:pPr>
        <w:spacing w:line="480" w:lineRule="auto"/>
        <w:jc w:val="both"/>
        <w:rPr>
          <w:rFonts w:ascii="Times New Roman" w:hAnsi="Times New Roman" w:cs="Times New Roman"/>
        </w:rPr>
      </w:pPr>
      <w:r>
        <w:rPr>
          <w:rFonts w:ascii="Times New Roman" w:hAnsi="Times New Roman" w:cs="Times New Roman"/>
        </w:rPr>
        <w:t xml:space="preserve">The first and most urgent reform priority is to rebuild </w:t>
      </w:r>
      <w:r>
        <w:rPr>
          <w:rFonts w:ascii="Times New Roman" w:hAnsi="Times New Roman" w:cs="Times New Roman"/>
          <w:b/>
          <w:bCs/>
        </w:rPr>
        <w:t>state capacity</w:t>
      </w:r>
      <w:r>
        <w:rPr>
          <w:rFonts w:ascii="Times New Roman" w:hAnsi="Times New Roman" w:cs="Times New Roman"/>
        </w:rPr>
        <w:t xml:space="preserve">, the ability of government institutions to implement decisions, collect taxes, and provide essential services. Nigeria’s state apparatus has become overstretched and underfunded, especially in the face of security challenges, economic shocks, and population growth. Despite being Africa’s largest economy, Nigeria’s revenue base remains shallow. The </w:t>
      </w:r>
      <w:r>
        <w:rPr>
          <w:rFonts w:ascii="Times New Roman" w:hAnsi="Times New Roman" w:cs="Times New Roman"/>
          <w:b/>
          <w:bCs/>
        </w:rPr>
        <w:t>tax-to-GDP ratio</w:t>
      </w:r>
      <w:r>
        <w:rPr>
          <w:rFonts w:ascii="Times New Roman" w:hAnsi="Times New Roman" w:cs="Times New Roman"/>
        </w:rPr>
        <w:t xml:space="preserve"> averaged only </w:t>
      </w:r>
      <w:r>
        <w:rPr>
          <w:rFonts w:ascii="Times New Roman" w:hAnsi="Times New Roman" w:cs="Times New Roman"/>
          <w:b/>
          <w:bCs/>
        </w:rPr>
        <w:t>7.9% in 2022</w:t>
      </w:r>
      <w:r>
        <w:rPr>
          <w:rFonts w:ascii="Times New Roman" w:hAnsi="Times New Roman" w:cs="Times New Roman"/>
        </w:rPr>
        <w:t>, compared to South Africa’s 25% and Ghana’s 14%</w:t>
      </w:r>
      <w:r>
        <w:rPr>
          <w:rStyle w:val="10"/>
          <w:rFonts w:ascii="Times New Roman" w:hAnsi="Times New Roman" w:cs="Times New Roman"/>
        </w:rPr>
        <w:footnoteReference w:id="120"/>
      </w:r>
      <w:r>
        <w:rPr>
          <w:rFonts w:ascii="Times New Roman" w:hAnsi="Times New Roman" w:cs="Times New Roman"/>
        </w:rPr>
        <w:t>. Such limited fiscal capacity means that the state cannot fulfill its responsibilities effectively.</w:t>
      </w:r>
    </w:p>
    <w:p w14:paraId="0B0D3952">
      <w:pPr>
        <w:spacing w:line="480" w:lineRule="auto"/>
        <w:jc w:val="both"/>
        <w:rPr>
          <w:rFonts w:ascii="Times New Roman" w:hAnsi="Times New Roman" w:cs="Times New Roman"/>
        </w:rPr>
      </w:pPr>
      <w:r>
        <w:rPr>
          <w:rFonts w:ascii="Times New Roman" w:hAnsi="Times New Roman" w:cs="Times New Roman"/>
        </w:rPr>
        <w:t xml:space="preserve">Fukuyama argues that modern states are built on the foundation of an </w:t>
      </w:r>
      <w:r>
        <w:rPr>
          <w:rFonts w:ascii="Times New Roman" w:hAnsi="Times New Roman" w:cs="Times New Roman"/>
          <w:b/>
          <w:bCs/>
        </w:rPr>
        <w:t>impersonal bureaucracy</w:t>
      </w:r>
      <w:r>
        <w:rPr>
          <w:rFonts w:ascii="Times New Roman" w:hAnsi="Times New Roman" w:cs="Times New Roman"/>
        </w:rPr>
        <w:t>, one that operates based on merit, professionalism, and neutrality</w:t>
      </w:r>
      <w:r>
        <w:rPr>
          <w:rStyle w:val="10"/>
          <w:rFonts w:ascii="Times New Roman" w:hAnsi="Times New Roman" w:cs="Times New Roman"/>
        </w:rPr>
        <w:footnoteReference w:id="121"/>
      </w:r>
      <w:r>
        <w:rPr>
          <w:rFonts w:ascii="Times New Roman" w:hAnsi="Times New Roman" w:cs="Times New Roman"/>
        </w:rPr>
        <w:t>. Nigeria’s bureaucracy, however, is weighed down by patronage and corruption. Many ministries and agencies duplicate functions, public employment is bloated, and efficiency is low. The World Bank notes that civil service productivity remains one of the lowest in Sub-Saharan Africa</w:t>
      </w:r>
      <w:r>
        <w:rPr>
          <w:rStyle w:val="10"/>
          <w:rFonts w:ascii="Times New Roman" w:hAnsi="Times New Roman" w:cs="Times New Roman"/>
        </w:rPr>
        <w:footnoteReference w:id="122"/>
      </w:r>
      <w:r>
        <w:rPr>
          <w:rFonts w:ascii="Times New Roman" w:hAnsi="Times New Roman" w:cs="Times New Roman"/>
        </w:rPr>
        <w:t>.</w:t>
      </w:r>
    </w:p>
    <w:p w14:paraId="155CB5B7">
      <w:pPr>
        <w:spacing w:line="480" w:lineRule="auto"/>
        <w:jc w:val="both"/>
        <w:rPr>
          <w:rFonts w:ascii="Times New Roman" w:hAnsi="Times New Roman" w:cs="Times New Roman"/>
        </w:rPr>
      </w:pPr>
      <w:r>
        <w:rPr>
          <w:rFonts w:ascii="Times New Roman" w:hAnsi="Times New Roman" w:cs="Times New Roman"/>
        </w:rPr>
        <w:t>To reverse this trend, reforms should focus on:</w:t>
      </w:r>
    </w:p>
    <w:p w14:paraId="20B3E66E">
      <w:pPr>
        <w:numPr>
          <w:ilvl w:val="0"/>
          <w:numId w:val="6"/>
        </w:numPr>
        <w:spacing w:line="480" w:lineRule="auto"/>
        <w:jc w:val="both"/>
        <w:rPr>
          <w:rFonts w:ascii="Times New Roman" w:hAnsi="Times New Roman" w:cs="Times New Roman"/>
        </w:rPr>
      </w:pPr>
      <w:r>
        <w:rPr>
          <w:rFonts w:ascii="Times New Roman" w:hAnsi="Times New Roman" w:cs="Times New Roman"/>
          <w:b/>
          <w:bCs/>
        </w:rPr>
        <w:t>Civil Service Professionalization:</w:t>
      </w:r>
      <w:r>
        <w:rPr>
          <w:rFonts w:ascii="Times New Roman" w:hAnsi="Times New Roman" w:cs="Times New Roman"/>
        </w:rPr>
        <w:t xml:space="preserve"> Recruit and promote strictly on merit using competitive examinations and performance evaluation.</w:t>
      </w:r>
    </w:p>
    <w:p w14:paraId="309BBF3C">
      <w:pPr>
        <w:numPr>
          <w:ilvl w:val="0"/>
          <w:numId w:val="6"/>
        </w:numPr>
        <w:spacing w:line="480" w:lineRule="auto"/>
        <w:jc w:val="both"/>
        <w:rPr>
          <w:rFonts w:ascii="Times New Roman" w:hAnsi="Times New Roman" w:cs="Times New Roman"/>
        </w:rPr>
      </w:pPr>
      <w:r>
        <w:rPr>
          <w:rFonts w:ascii="Times New Roman" w:hAnsi="Times New Roman" w:cs="Times New Roman"/>
          <w:b/>
          <w:bCs/>
        </w:rPr>
        <w:t>Fiscal Autonomy and Accountability:</w:t>
      </w:r>
      <w:r>
        <w:rPr>
          <w:rFonts w:ascii="Times New Roman" w:hAnsi="Times New Roman" w:cs="Times New Roman"/>
        </w:rPr>
        <w:t xml:space="preserve"> Link government spending to measurable outcomes, and publish transparent budgets at both federal and state levels.</w:t>
      </w:r>
    </w:p>
    <w:p w14:paraId="62044041">
      <w:pPr>
        <w:numPr>
          <w:ilvl w:val="0"/>
          <w:numId w:val="6"/>
        </w:numPr>
        <w:spacing w:line="480" w:lineRule="auto"/>
        <w:jc w:val="both"/>
        <w:rPr>
          <w:rFonts w:ascii="Times New Roman" w:hAnsi="Times New Roman" w:cs="Times New Roman"/>
        </w:rPr>
      </w:pPr>
      <w:r>
        <w:rPr>
          <w:rFonts w:ascii="Times New Roman" w:hAnsi="Times New Roman" w:cs="Times New Roman"/>
          <w:b/>
          <w:bCs/>
        </w:rPr>
        <w:t>Decentralized Governance:</w:t>
      </w:r>
      <w:r>
        <w:rPr>
          <w:rFonts w:ascii="Times New Roman" w:hAnsi="Times New Roman" w:cs="Times New Roman"/>
        </w:rPr>
        <w:t xml:space="preserve"> Strengthen local governments to deliver services closer to the people, thereby reducing over-centralization and administrative bottlenecks in Abuja.</w:t>
      </w:r>
    </w:p>
    <w:p w14:paraId="5821E730">
      <w:pPr>
        <w:spacing w:line="480" w:lineRule="auto"/>
        <w:jc w:val="both"/>
        <w:rPr>
          <w:rFonts w:ascii="Times New Roman" w:hAnsi="Times New Roman" w:cs="Times New Roman"/>
        </w:rPr>
      </w:pPr>
      <w:r>
        <w:rPr>
          <w:rFonts w:ascii="Times New Roman" w:hAnsi="Times New Roman" w:cs="Times New Roman"/>
        </w:rPr>
        <w:t>An effective Nigerian state must move beyond dependence on oil revenue toward internally generated taxes tied to citizen participation. As Claude Ake observed, “the state in Africa will remain alien to its people until it derives legitimacy from their needs and contributions</w:t>
      </w:r>
    </w:p>
    <w:p w14:paraId="27AEF3A8">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10.2.2 Judicial and Anti-Corruption Reforms</w:t>
      </w:r>
    </w:p>
    <w:p w14:paraId="7DC637FD">
      <w:pPr>
        <w:spacing w:line="480" w:lineRule="auto"/>
        <w:jc w:val="both"/>
        <w:rPr>
          <w:rFonts w:ascii="Times New Roman" w:hAnsi="Times New Roman" w:cs="Times New Roman"/>
        </w:rPr>
      </w:pPr>
      <w:r>
        <w:rPr>
          <w:rFonts w:ascii="Times New Roman" w:hAnsi="Times New Roman" w:cs="Times New Roman"/>
        </w:rPr>
        <w:t xml:space="preserve">The second pillar of reform is the establishment of an autonomous, credible, and efficient </w:t>
      </w:r>
      <w:r>
        <w:rPr>
          <w:rFonts w:ascii="Times New Roman" w:hAnsi="Times New Roman" w:cs="Times New Roman"/>
          <w:b/>
          <w:bCs/>
        </w:rPr>
        <w:t>judicial and anti-corruption system</w:t>
      </w:r>
      <w:r>
        <w:rPr>
          <w:rFonts w:ascii="Times New Roman" w:hAnsi="Times New Roman" w:cs="Times New Roman"/>
        </w:rPr>
        <w:t xml:space="preserve">. Fukuyama notes that when laws do not constrain rulers, states risk degenerating into what he calls </w:t>
      </w:r>
      <w:r>
        <w:rPr>
          <w:rFonts w:ascii="Times New Roman" w:hAnsi="Times New Roman" w:cs="Times New Roman"/>
          <w:b/>
          <w:bCs/>
        </w:rPr>
        <w:t>neopatrimonialism</w:t>
      </w:r>
      <w:r>
        <w:rPr>
          <w:rFonts w:ascii="Times New Roman" w:hAnsi="Times New Roman" w:cs="Times New Roman"/>
        </w:rPr>
        <w:t>, a system where public offices become private property</w:t>
      </w:r>
      <w:r>
        <w:rPr>
          <w:rStyle w:val="10"/>
          <w:rFonts w:ascii="Times New Roman" w:hAnsi="Times New Roman" w:cs="Times New Roman"/>
        </w:rPr>
        <w:footnoteReference w:id="123"/>
      </w:r>
      <w:r>
        <w:rPr>
          <w:rFonts w:ascii="Times New Roman" w:hAnsi="Times New Roman" w:cs="Times New Roman"/>
        </w:rPr>
        <w:t>. Nigeria’s judiciary and anti-corruption agencies exemplify this danger.</w:t>
      </w:r>
    </w:p>
    <w:p w14:paraId="385EDB73">
      <w:pPr>
        <w:spacing w:line="480" w:lineRule="auto"/>
        <w:jc w:val="both"/>
        <w:rPr>
          <w:rFonts w:ascii="Times New Roman" w:hAnsi="Times New Roman" w:cs="Times New Roman"/>
        </w:rPr>
      </w:pPr>
      <w:r>
        <w:rPr>
          <w:rFonts w:ascii="Times New Roman" w:hAnsi="Times New Roman" w:cs="Times New Roman"/>
        </w:rPr>
        <w:t xml:space="preserve">Institutions such as the </w:t>
      </w:r>
      <w:r>
        <w:rPr>
          <w:rFonts w:ascii="Times New Roman" w:hAnsi="Times New Roman" w:cs="Times New Roman"/>
          <w:b/>
          <w:bCs/>
        </w:rPr>
        <w:t>Economic and Financial Crimes Commission (EFCC)</w:t>
      </w:r>
      <w:r>
        <w:rPr>
          <w:rFonts w:ascii="Times New Roman" w:hAnsi="Times New Roman" w:cs="Times New Roman"/>
        </w:rPr>
        <w:t xml:space="preserve"> and </w:t>
      </w:r>
      <w:r>
        <w:rPr>
          <w:rFonts w:ascii="Times New Roman" w:hAnsi="Times New Roman" w:cs="Times New Roman"/>
          <w:b/>
          <w:bCs/>
        </w:rPr>
        <w:t>Independent Corrupt Practices Commission (ICPC)</w:t>
      </w:r>
      <w:r>
        <w:rPr>
          <w:rFonts w:ascii="Times New Roman" w:hAnsi="Times New Roman" w:cs="Times New Roman"/>
        </w:rPr>
        <w:t xml:space="preserve"> have achieved some successes, recovered stolen assets and prosecuted a few public officers, but they remain vulnerable to political manipulation. Prosecutions often target political opponents rather than systemic offenders. High-profile cases like those involving ex-governors or oil subsidy fraud frequently end in plea bargains or remain unresolved for years. This selective justice erodes public trust and emboldens corruption.</w:t>
      </w:r>
    </w:p>
    <w:p w14:paraId="2A158C0B">
      <w:pPr>
        <w:spacing w:line="480" w:lineRule="auto"/>
        <w:jc w:val="both"/>
        <w:rPr>
          <w:rFonts w:ascii="Times New Roman" w:hAnsi="Times New Roman" w:cs="Times New Roman"/>
        </w:rPr>
      </w:pPr>
      <w:r>
        <w:rPr>
          <w:rFonts w:ascii="Times New Roman" w:hAnsi="Times New Roman" w:cs="Times New Roman"/>
        </w:rPr>
        <w:t xml:space="preserve">The judiciary faces similar credibility issues. Political interference in judicial appointments, delayed trials, and inadequate funding have weakened its independence. A 2023 report by the </w:t>
      </w:r>
      <w:r>
        <w:rPr>
          <w:rFonts w:ascii="Times New Roman" w:hAnsi="Times New Roman" w:cs="Times New Roman"/>
          <w:b/>
          <w:bCs/>
        </w:rPr>
        <w:t>Centre for Democracy and Development (CDD)</w:t>
      </w:r>
      <w:r>
        <w:rPr>
          <w:rFonts w:ascii="Times New Roman" w:hAnsi="Times New Roman" w:cs="Times New Roman"/>
        </w:rPr>
        <w:t xml:space="preserve"> revealed that over 70% of Nigerians believe the courts favor the rich and powerful</w:t>
      </w:r>
      <w:r>
        <w:rPr>
          <w:rStyle w:val="10"/>
          <w:rFonts w:ascii="Times New Roman" w:hAnsi="Times New Roman" w:cs="Times New Roman"/>
        </w:rPr>
        <w:footnoteReference w:id="124"/>
      </w:r>
      <w:r>
        <w:rPr>
          <w:rFonts w:ascii="Times New Roman" w:hAnsi="Times New Roman" w:cs="Times New Roman"/>
        </w:rPr>
        <w:t>.</w:t>
      </w:r>
    </w:p>
    <w:p w14:paraId="17AA3D7E">
      <w:pPr>
        <w:spacing w:line="480" w:lineRule="auto"/>
        <w:jc w:val="both"/>
        <w:rPr>
          <w:rFonts w:ascii="Times New Roman" w:hAnsi="Times New Roman" w:cs="Times New Roman"/>
        </w:rPr>
      </w:pPr>
      <w:r>
        <w:rPr>
          <w:rFonts w:ascii="Times New Roman" w:hAnsi="Times New Roman" w:cs="Times New Roman"/>
        </w:rPr>
        <w:t>Judicial reform should include:</w:t>
      </w:r>
    </w:p>
    <w:p w14:paraId="7905C6CA">
      <w:pPr>
        <w:numPr>
          <w:ilvl w:val="0"/>
          <w:numId w:val="7"/>
        </w:numPr>
        <w:spacing w:line="480" w:lineRule="auto"/>
        <w:jc w:val="both"/>
        <w:rPr>
          <w:rFonts w:ascii="Times New Roman" w:hAnsi="Times New Roman" w:cs="Times New Roman"/>
        </w:rPr>
      </w:pPr>
      <w:r>
        <w:rPr>
          <w:rFonts w:ascii="Times New Roman" w:hAnsi="Times New Roman" w:cs="Times New Roman"/>
          <w:b/>
          <w:bCs/>
        </w:rPr>
        <w:t>Guaranteed Financial Autonomy</w:t>
      </w:r>
      <w:r>
        <w:rPr>
          <w:rFonts w:ascii="Times New Roman" w:hAnsi="Times New Roman" w:cs="Times New Roman"/>
        </w:rPr>
        <w:t xml:space="preserve"> for the judiciary at federal and state levels.</w:t>
      </w:r>
    </w:p>
    <w:p w14:paraId="6DA8202D">
      <w:pPr>
        <w:numPr>
          <w:ilvl w:val="0"/>
          <w:numId w:val="7"/>
        </w:numPr>
        <w:spacing w:line="480" w:lineRule="auto"/>
        <w:jc w:val="both"/>
        <w:rPr>
          <w:rFonts w:ascii="Times New Roman" w:hAnsi="Times New Roman" w:cs="Times New Roman"/>
        </w:rPr>
      </w:pPr>
      <w:r>
        <w:rPr>
          <w:rFonts w:ascii="Times New Roman" w:hAnsi="Times New Roman" w:cs="Times New Roman"/>
          <w:b/>
          <w:bCs/>
        </w:rPr>
        <w:t>Digitization of Court Processes</w:t>
      </w:r>
      <w:r>
        <w:rPr>
          <w:rFonts w:ascii="Times New Roman" w:hAnsi="Times New Roman" w:cs="Times New Roman"/>
        </w:rPr>
        <w:t xml:space="preserve"> to reduce case delays and eliminate bribery associated with manual systems.</w:t>
      </w:r>
    </w:p>
    <w:p w14:paraId="65E754A8">
      <w:pPr>
        <w:numPr>
          <w:ilvl w:val="0"/>
          <w:numId w:val="7"/>
        </w:numPr>
        <w:spacing w:line="480" w:lineRule="auto"/>
        <w:jc w:val="both"/>
        <w:rPr>
          <w:rFonts w:ascii="Times New Roman" w:hAnsi="Times New Roman" w:cs="Times New Roman"/>
        </w:rPr>
      </w:pPr>
      <w:r>
        <w:rPr>
          <w:rFonts w:ascii="Times New Roman" w:hAnsi="Times New Roman" w:cs="Times New Roman"/>
          <w:b/>
          <w:bCs/>
        </w:rPr>
        <w:t>Ethical Oversight Mechanisms</w:t>
      </w:r>
      <w:r>
        <w:rPr>
          <w:rFonts w:ascii="Times New Roman" w:hAnsi="Times New Roman" w:cs="Times New Roman"/>
        </w:rPr>
        <w:t xml:space="preserve"> to discipline judges found guilty of misconduct or political bias.</w:t>
      </w:r>
    </w:p>
    <w:p w14:paraId="76A7AA0A">
      <w:pPr>
        <w:spacing w:line="480" w:lineRule="auto"/>
        <w:jc w:val="both"/>
        <w:rPr>
          <w:rFonts w:ascii="Times New Roman" w:hAnsi="Times New Roman" w:cs="Times New Roman"/>
        </w:rPr>
      </w:pPr>
      <w:r>
        <w:rPr>
          <w:rFonts w:ascii="Times New Roman" w:hAnsi="Times New Roman" w:cs="Times New Roman"/>
        </w:rPr>
        <w:t xml:space="preserve">Similarly, anti-corruption agencies should be insulated from executive control, with fixed tenure for leadership and independent funding from the Consolidated Revenue Fund. Transparency portals should allow citizens to track government projects and expenditures in real time. Only when laws are applied impartially can Nigeria begin to embody what Aristotle described as “a government of laws, and not of men” </w:t>
      </w:r>
      <w:r>
        <w:rPr>
          <w:rStyle w:val="10"/>
          <w:rFonts w:ascii="Times New Roman" w:hAnsi="Times New Roman" w:cs="Times New Roman"/>
        </w:rPr>
        <w:footnoteReference w:id="125"/>
      </w:r>
      <w:r>
        <w:rPr>
          <w:rFonts w:ascii="Times New Roman" w:hAnsi="Times New Roman" w:cs="Times New Roman"/>
        </w:rPr>
        <w:t>.</w:t>
      </w:r>
    </w:p>
    <w:p w14:paraId="193328E3">
      <w:pPr>
        <w:spacing w:line="480" w:lineRule="auto"/>
        <w:jc w:val="both"/>
        <w:rPr>
          <w:rFonts w:ascii="Times New Roman" w:hAnsi="Times New Roman" w:cs="Times New Roman"/>
          <w:sz w:val="24"/>
          <w:szCs w:val="24"/>
        </w:rPr>
      </w:pPr>
    </w:p>
    <w:p w14:paraId="5AB44BA1">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10.2.3 Electoral and Constitutional Reforms</w:t>
      </w:r>
    </w:p>
    <w:p w14:paraId="51C63E0C">
      <w:pPr>
        <w:spacing w:line="480" w:lineRule="auto"/>
        <w:jc w:val="both"/>
        <w:rPr>
          <w:rFonts w:ascii="Times New Roman" w:hAnsi="Times New Roman" w:cs="Times New Roman"/>
        </w:rPr>
      </w:pPr>
      <w:r>
        <w:rPr>
          <w:rFonts w:ascii="Times New Roman" w:hAnsi="Times New Roman" w:cs="Times New Roman"/>
        </w:rPr>
        <w:t xml:space="preserve">The third essential reform area concerns the </w:t>
      </w:r>
      <w:r>
        <w:rPr>
          <w:rFonts w:ascii="Times New Roman" w:hAnsi="Times New Roman" w:cs="Times New Roman"/>
          <w:b/>
          <w:bCs/>
        </w:rPr>
        <w:t>electoral and constitutional framework</w:t>
      </w:r>
      <w:r>
        <w:rPr>
          <w:rFonts w:ascii="Times New Roman" w:hAnsi="Times New Roman" w:cs="Times New Roman"/>
        </w:rPr>
        <w:t xml:space="preserve">. Political accountability cannot thrive where elections are rigged, voter confidence is low, and institutions lack independence. Nigeria’s </w:t>
      </w:r>
      <w:r>
        <w:rPr>
          <w:rFonts w:ascii="Times New Roman" w:hAnsi="Times New Roman" w:cs="Times New Roman"/>
          <w:b/>
          <w:bCs/>
        </w:rPr>
        <w:t>2023 elections</w:t>
      </w:r>
      <w:r>
        <w:rPr>
          <w:rFonts w:ascii="Times New Roman" w:hAnsi="Times New Roman" w:cs="Times New Roman"/>
        </w:rPr>
        <w:t>, while marking a democratic milestone, exposed persistent flaws including poor logistics, delayed results transmission, and voter intimidation</w:t>
      </w:r>
      <w:r>
        <w:rPr>
          <w:rStyle w:val="10"/>
          <w:rFonts w:ascii="Times New Roman" w:hAnsi="Times New Roman" w:cs="Times New Roman"/>
        </w:rPr>
        <w:footnoteReference w:id="126"/>
      </w:r>
      <w:r>
        <w:rPr>
          <w:rFonts w:ascii="Times New Roman" w:hAnsi="Times New Roman" w:cs="Times New Roman"/>
        </w:rPr>
        <w:t>. These problems reduce public faith in democracy and contribute to political apathy.</w:t>
      </w:r>
    </w:p>
    <w:p w14:paraId="3D47350A">
      <w:pPr>
        <w:spacing w:line="480" w:lineRule="auto"/>
        <w:jc w:val="both"/>
        <w:rPr>
          <w:rFonts w:ascii="Times New Roman" w:hAnsi="Times New Roman" w:cs="Times New Roman"/>
        </w:rPr>
      </w:pPr>
      <w:r>
        <w:rPr>
          <w:rFonts w:ascii="Times New Roman" w:hAnsi="Times New Roman" w:cs="Times New Roman"/>
        </w:rPr>
        <w:t>Constitutional ambiguities also weaken governance. The Nigerian Constitution centralizes power excessively at the federal level, leaving states and local governments fiscally dependent. This structure discourages innovation and deepens regional inequality.</w:t>
      </w:r>
    </w:p>
    <w:p w14:paraId="6FCAA2F0">
      <w:pPr>
        <w:spacing w:line="480" w:lineRule="auto"/>
        <w:jc w:val="both"/>
        <w:rPr>
          <w:rFonts w:ascii="Times New Roman" w:hAnsi="Times New Roman" w:cs="Times New Roman"/>
        </w:rPr>
      </w:pPr>
      <w:r>
        <w:rPr>
          <w:rFonts w:ascii="Times New Roman" w:hAnsi="Times New Roman" w:cs="Times New Roman"/>
        </w:rPr>
        <w:t>To strengthen accountability and representation, reforms should aim to:</w:t>
      </w:r>
    </w:p>
    <w:p w14:paraId="4BD9B704">
      <w:pPr>
        <w:numPr>
          <w:ilvl w:val="0"/>
          <w:numId w:val="8"/>
        </w:numPr>
        <w:spacing w:line="480" w:lineRule="auto"/>
        <w:jc w:val="both"/>
        <w:rPr>
          <w:rFonts w:ascii="Times New Roman" w:hAnsi="Times New Roman" w:cs="Times New Roman"/>
        </w:rPr>
      </w:pPr>
      <w:r>
        <w:rPr>
          <w:rFonts w:ascii="Times New Roman" w:hAnsi="Times New Roman" w:cs="Times New Roman"/>
          <w:b/>
          <w:bCs/>
        </w:rPr>
        <w:t>Modernize Electoral Administration:</w:t>
      </w:r>
      <w:r>
        <w:rPr>
          <w:rFonts w:ascii="Times New Roman" w:hAnsi="Times New Roman" w:cs="Times New Roman"/>
        </w:rPr>
        <w:t xml:space="preserve"> Fully implement electronic transmission of results and biometric verification nationwide.</w:t>
      </w:r>
    </w:p>
    <w:p w14:paraId="7A4EE898">
      <w:pPr>
        <w:numPr>
          <w:ilvl w:val="0"/>
          <w:numId w:val="8"/>
        </w:numPr>
        <w:spacing w:line="480" w:lineRule="auto"/>
        <w:jc w:val="both"/>
        <w:rPr>
          <w:rFonts w:ascii="Times New Roman" w:hAnsi="Times New Roman" w:cs="Times New Roman"/>
        </w:rPr>
      </w:pPr>
      <w:r>
        <w:rPr>
          <w:rFonts w:ascii="Times New Roman" w:hAnsi="Times New Roman" w:cs="Times New Roman"/>
          <w:b/>
          <w:bCs/>
        </w:rPr>
        <w:t>Enforce Campaign Finance Regulations:</w:t>
      </w:r>
      <w:r>
        <w:rPr>
          <w:rFonts w:ascii="Times New Roman" w:hAnsi="Times New Roman" w:cs="Times New Roman"/>
        </w:rPr>
        <w:t xml:space="preserve"> Cap donations and spending, and publish funding sources for transparency.</w:t>
      </w:r>
    </w:p>
    <w:p w14:paraId="403E0EBF">
      <w:pPr>
        <w:numPr>
          <w:ilvl w:val="0"/>
          <w:numId w:val="8"/>
        </w:numPr>
        <w:spacing w:line="480" w:lineRule="auto"/>
        <w:jc w:val="both"/>
        <w:rPr>
          <w:rFonts w:ascii="Times New Roman" w:hAnsi="Times New Roman" w:cs="Times New Roman"/>
        </w:rPr>
      </w:pPr>
      <w:r>
        <w:rPr>
          <w:rFonts w:ascii="Times New Roman" w:hAnsi="Times New Roman" w:cs="Times New Roman"/>
          <w:b/>
          <w:bCs/>
        </w:rPr>
        <w:t>Review Federalism:</w:t>
      </w:r>
      <w:r>
        <w:rPr>
          <w:rFonts w:ascii="Times New Roman" w:hAnsi="Times New Roman" w:cs="Times New Roman"/>
        </w:rPr>
        <w:t xml:space="preserve"> Redefine the fiscal relationship between federal, state, and local governments to promote efficiency and accountability.</w:t>
      </w:r>
    </w:p>
    <w:p w14:paraId="27C89539">
      <w:pPr>
        <w:spacing w:line="480" w:lineRule="auto"/>
        <w:jc w:val="both"/>
        <w:rPr>
          <w:rFonts w:ascii="Times New Roman" w:hAnsi="Times New Roman" w:cs="Times New Roman"/>
        </w:rPr>
      </w:pPr>
      <w:r>
        <w:rPr>
          <w:rFonts w:ascii="Times New Roman" w:hAnsi="Times New Roman" w:cs="Times New Roman"/>
        </w:rPr>
        <w:t>As Kwasi Wiredu suggests, democratic systems in Africa must align with indigenous ideas of consensus and participation rather than mere replication of Western models</w:t>
      </w:r>
      <w:r>
        <w:rPr>
          <w:rStyle w:val="10"/>
          <w:rFonts w:ascii="Times New Roman" w:hAnsi="Times New Roman" w:cs="Times New Roman"/>
        </w:rPr>
        <w:footnoteReference w:id="127"/>
      </w:r>
      <w:r>
        <w:rPr>
          <w:rFonts w:ascii="Times New Roman" w:hAnsi="Times New Roman" w:cs="Times New Roman"/>
        </w:rPr>
        <w:t>. Nigeria’s political evolution will only become sustainable when its constitutional order reflects its social realities and plural identities.</w:t>
      </w:r>
    </w:p>
    <w:p w14:paraId="55116B65">
      <w:pPr>
        <w:spacing w:line="480" w:lineRule="auto"/>
        <w:jc w:val="both"/>
        <w:rPr>
          <w:rFonts w:ascii="Times New Roman" w:hAnsi="Times New Roman" w:cs="Times New Roman"/>
        </w:rPr>
      </w:pPr>
    </w:p>
    <w:p w14:paraId="1851EAAB">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10.3 Possible Pathways and Pitfalls: Comparative Lessons from Other Developing States</w:t>
      </w:r>
    </w:p>
    <w:p w14:paraId="19A467F5">
      <w:pPr>
        <w:spacing w:line="480" w:lineRule="auto"/>
        <w:jc w:val="both"/>
        <w:rPr>
          <w:rFonts w:ascii="Times New Roman" w:hAnsi="Times New Roman" w:cs="Times New Roman"/>
        </w:rPr>
      </w:pPr>
      <w:r>
        <w:rPr>
          <w:rFonts w:ascii="Times New Roman" w:hAnsi="Times New Roman" w:cs="Times New Roman"/>
        </w:rPr>
        <w:t xml:space="preserve">Fukuyama insists that no nation “gets to Denmark” by imitation alone. Instead, societies must </w:t>
      </w:r>
      <w:r>
        <w:rPr>
          <w:rFonts w:ascii="Times New Roman" w:hAnsi="Times New Roman" w:cs="Times New Roman"/>
          <w:b/>
          <w:bCs/>
        </w:rPr>
        <w:t>adapt institutional principles to their own historical and cultural contexts</w:t>
      </w:r>
      <w:r>
        <w:rPr>
          <w:rStyle w:val="10"/>
          <w:rFonts w:ascii="Times New Roman" w:hAnsi="Times New Roman" w:cs="Times New Roman"/>
          <w:b/>
          <w:bCs/>
        </w:rPr>
        <w:footnoteReference w:id="128"/>
      </w:r>
      <w:r>
        <w:rPr>
          <w:rFonts w:ascii="Times New Roman" w:hAnsi="Times New Roman" w:cs="Times New Roman"/>
        </w:rPr>
        <w:t>. This means that Nigeria cannot simply copy Western models of governance or economic policy; it must build on what already exists, its federal structure, its vibrant civil society, and its cultural pluralism, while learning from countries that have managed similar transitions. Comparative study offers valuable insights into how states with different histories overcame institutional weakness, corruption, and social fragmentation to achieve relative political order and stability.</w:t>
      </w:r>
    </w:p>
    <w:p w14:paraId="5334E091">
      <w:pPr>
        <w:spacing w:line="480" w:lineRule="auto"/>
        <w:jc w:val="both"/>
        <w:rPr>
          <w:rFonts w:ascii="Times New Roman" w:hAnsi="Times New Roman" w:cs="Times New Roman"/>
        </w:rPr>
      </w:pPr>
    </w:p>
    <w:p w14:paraId="2E980E37">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10.3.1 The East Asian Experience: Building States Before Democracy</w:t>
      </w:r>
    </w:p>
    <w:p w14:paraId="1A663145">
      <w:pPr>
        <w:spacing w:line="480" w:lineRule="auto"/>
        <w:jc w:val="both"/>
        <w:rPr>
          <w:rFonts w:ascii="Times New Roman" w:hAnsi="Times New Roman" w:cs="Times New Roman"/>
        </w:rPr>
      </w:pPr>
      <w:r>
        <w:rPr>
          <w:rFonts w:ascii="Times New Roman" w:hAnsi="Times New Roman" w:cs="Times New Roman"/>
        </w:rPr>
        <w:t xml:space="preserve">East Asia provides perhaps the clearest illustration of Fukuyama’s argument about sequencing, that </w:t>
      </w:r>
      <w:r>
        <w:rPr>
          <w:rFonts w:ascii="Times New Roman" w:hAnsi="Times New Roman" w:cs="Times New Roman"/>
          <w:b/>
          <w:bCs/>
        </w:rPr>
        <w:t>state-building often precedes democracy</w:t>
      </w:r>
      <w:r>
        <w:rPr>
          <w:rFonts w:ascii="Times New Roman" w:hAnsi="Times New Roman" w:cs="Times New Roman"/>
        </w:rPr>
        <w:t xml:space="preserve">. Countries like </w:t>
      </w:r>
      <w:r>
        <w:rPr>
          <w:rFonts w:ascii="Times New Roman" w:hAnsi="Times New Roman" w:cs="Times New Roman"/>
          <w:b/>
          <w:bCs/>
        </w:rPr>
        <w:t>South Korea, Taiwan, and Singapore</w:t>
      </w:r>
      <w:r>
        <w:rPr>
          <w:rFonts w:ascii="Times New Roman" w:hAnsi="Times New Roman" w:cs="Times New Roman"/>
        </w:rPr>
        <w:t xml:space="preserve"> achieved strong, developmental states before expanding democratic participation.</w:t>
      </w:r>
    </w:p>
    <w:p w14:paraId="5D7CDD03">
      <w:pPr>
        <w:spacing w:line="480" w:lineRule="auto"/>
        <w:jc w:val="both"/>
        <w:rPr>
          <w:rFonts w:ascii="Times New Roman" w:hAnsi="Times New Roman" w:cs="Times New Roman"/>
        </w:rPr>
      </w:pPr>
      <w:r>
        <w:rPr>
          <w:rFonts w:ascii="Times New Roman" w:hAnsi="Times New Roman" w:cs="Times New Roman"/>
        </w:rPr>
        <w:t>In South Korea, the state-led industrialization strategy of the 1960s and 1970s under Park Chung-hee prioritized national discipline, meritocratic bureaucracy, and export-led growth. Though initially authoritarian, this model created a productive middle class and institutional efficiency that later sustained democracy</w:t>
      </w:r>
      <w:r>
        <w:rPr>
          <w:rStyle w:val="10"/>
          <w:rFonts w:ascii="Times New Roman" w:hAnsi="Times New Roman" w:cs="Times New Roman"/>
        </w:rPr>
        <w:footnoteReference w:id="129"/>
      </w:r>
      <w:r>
        <w:rPr>
          <w:rFonts w:ascii="Times New Roman" w:hAnsi="Times New Roman" w:cs="Times New Roman"/>
        </w:rPr>
        <w:t>.  Similarly, Singapore under Lee Kuan Yew built a corruption-free civil service, predictable laws, and a performance-driven bureaucracy long before it became politically liberal</w:t>
      </w:r>
      <w:r>
        <w:rPr>
          <w:rStyle w:val="10"/>
          <w:rFonts w:ascii="Times New Roman" w:hAnsi="Times New Roman" w:cs="Times New Roman"/>
        </w:rPr>
        <w:footnoteReference w:id="130"/>
      </w:r>
      <w:r>
        <w:rPr>
          <w:rFonts w:ascii="Times New Roman" w:hAnsi="Times New Roman" w:cs="Times New Roman"/>
        </w:rPr>
        <w:t>.</w:t>
      </w:r>
    </w:p>
    <w:p w14:paraId="1A3797BB">
      <w:pPr>
        <w:spacing w:line="480" w:lineRule="auto"/>
        <w:jc w:val="both"/>
        <w:rPr>
          <w:rFonts w:ascii="Times New Roman" w:hAnsi="Times New Roman" w:cs="Times New Roman"/>
        </w:rPr>
      </w:pPr>
      <w:r>
        <w:rPr>
          <w:rFonts w:ascii="Times New Roman" w:hAnsi="Times New Roman" w:cs="Times New Roman"/>
        </w:rPr>
        <w:t xml:space="preserve">These examples show that </w:t>
      </w:r>
      <w:r>
        <w:rPr>
          <w:rFonts w:ascii="Times New Roman" w:hAnsi="Times New Roman" w:cs="Times New Roman"/>
          <w:b/>
          <w:bCs/>
        </w:rPr>
        <w:t>political order is sometimes achieved through disciplined governance rather than immediate electoral competition</w:t>
      </w:r>
      <w:r>
        <w:rPr>
          <w:rFonts w:ascii="Times New Roman" w:hAnsi="Times New Roman" w:cs="Times New Roman"/>
        </w:rPr>
        <w:t>. Fukuyama argues that societies which democratize before establishing a capable state often fall into clientelism and disorder</w:t>
      </w:r>
      <w:r>
        <w:rPr>
          <w:rStyle w:val="10"/>
          <w:rFonts w:ascii="Times New Roman" w:hAnsi="Times New Roman" w:cs="Times New Roman"/>
        </w:rPr>
        <w:footnoteReference w:id="131"/>
      </w:r>
      <w:r>
        <w:rPr>
          <w:rFonts w:ascii="Times New Roman" w:hAnsi="Times New Roman" w:cs="Times New Roman"/>
        </w:rPr>
        <w:t xml:space="preserve">. Nigeria reflects this problem: democracy arrived without a strong bureaucracy or a stable rule of law, creating a system where elections reward patronage rather than policy performance. The East Asian experience teaches that </w:t>
      </w:r>
      <w:r>
        <w:rPr>
          <w:rFonts w:ascii="Times New Roman" w:hAnsi="Times New Roman" w:cs="Times New Roman"/>
          <w:b/>
          <w:bCs/>
        </w:rPr>
        <w:t>effective governance, economic transformation, and social trust</w:t>
      </w:r>
      <w:r>
        <w:rPr>
          <w:rFonts w:ascii="Times New Roman" w:hAnsi="Times New Roman" w:cs="Times New Roman"/>
        </w:rPr>
        <w:t xml:space="preserve"> are prerequisites for sustainable democracy.</w:t>
      </w:r>
    </w:p>
    <w:p w14:paraId="61C49A07">
      <w:pPr>
        <w:spacing w:line="480" w:lineRule="auto"/>
        <w:jc w:val="both"/>
        <w:rPr>
          <w:rFonts w:ascii="Times New Roman" w:hAnsi="Times New Roman" w:cs="Times New Roman"/>
        </w:rPr>
      </w:pPr>
    </w:p>
    <w:p w14:paraId="4E55E81E">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10.3.2 Rwanda: African Model of Post-Conflict State-Building</w:t>
      </w:r>
    </w:p>
    <w:p w14:paraId="50B69E1D">
      <w:pPr>
        <w:spacing w:line="480" w:lineRule="auto"/>
        <w:jc w:val="both"/>
        <w:rPr>
          <w:rFonts w:ascii="Times New Roman" w:hAnsi="Times New Roman" w:cs="Times New Roman"/>
        </w:rPr>
      </w:pPr>
      <w:r>
        <w:rPr>
          <w:rFonts w:ascii="Times New Roman" w:hAnsi="Times New Roman" w:cs="Times New Roman"/>
        </w:rPr>
        <w:t xml:space="preserve">Among African nations, </w:t>
      </w:r>
      <w:r>
        <w:rPr>
          <w:rFonts w:ascii="Times New Roman" w:hAnsi="Times New Roman" w:cs="Times New Roman"/>
          <w:b/>
          <w:bCs/>
        </w:rPr>
        <w:t>Rwanda</w:t>
      </w:r>
      <w:r>
        <w:rPr>
          <w:rFonts w:ascii="Times New Roman" w:hAnsi="Times New Roman" w:cs="Times New Roman"/>
        </w:rPr>
        <w:t xml:space="preserve"> offers a striking, though controversial, example of state reconstruction after collapse. Following the 1994 genocide, Rwanda under Paul Kagame built an efficient and centralized bureaucracy, prioritized national reconciliation, and adopted a zero-tolerance stance toward corruption</w:t>
      </w:r>
      <w:r>
        <w:rPr>
          <w:rStyle w:val="10"/>
          <w:rFonts w:ascii="Times New Roman" w:hAnsi="Times New Roman" w:cs="Times New Roman"/>
        </w:rPr>
        <w:footnoteReference w:id="132"/>
      </w:r>
      <w:r>
        <w:rPr>
          <w:rFonts w:ascii="Times New Roman" w:hAnsi="Times New Roman" w:cs="Times New Roman"/>
        </w:rPr>
        <w:t>.</w:t>
      </w:r>
    </w:p>
    <w:p w14:paraId="08DCA8DD">
      <w:pPr>
        <w:spacing w:line="480" w:lineRule="auto"/>
        <w:jc w:val="both"/>
        <w:rPr>
          <w:rFonts w:ascii="Times New Roman" w:hAnsi="Times New Roman" w:cs="Times New Roman"/>
        </w:rPr>
      </w:pPr>
      <w:r>
        <w:rPr>
          <w:rFonts w:ascii="Times New Roman" w:hAnsi="Times New Roman" w:cs="Times New Roman"/>
        </w:rPr>
        <w:t xml:space="preserve">Though criticized for limited political freedoms, Rwanda’s model demonstrates the importance of </w:t>
      </w:r>
      <w:r>
        <w:rPr>
          <w:rFonts w:ascii="Times New Roman" w:hAnsi="Times New Roman" w:cs="Times New Roman"/>
          <w:b/>
          <w:bCs/>
        </w:rPr>
        <w:t>bureaucratic discipline, fiscal responsibility, and performance monitoring</w:t>
      </w:r>
      <w:r>
        <w:rPr>
          <w:rFonts w:ascii="Times New Roman" w:hAnsi="Times New Roman" w:cs="Times New Roman"/>
        </w:rPr>
        <w:t>. Its tax-to-GDP ratio is now among the highest in sub-Saharan Africa, exceeding 15%, more than twice Nigeria’s figure</w:t>
      </w:r>
      <w:r>
        <w:rPr>
          <w:rStyle w:val="10"/>
          <w:rFonts w:ascii="Times New Roman" w:hAnsi="Times New Roman" w:cs="Times New Roman"/>
        </w:rPr>
        <w:footnoteReference w:id="133"/>
      </w:r>
      <w:r>
        <w:rPr>
          <w:rFonts w:ascii="Times New Roman" w:hAnsi="Times New Roman" w:cs="Times New Roman"/>
        </w:rPr>
        <w:t>. By tying revenue generation to service delivery, Rwanda created a feedback loop of accountability that reinforces state legitimacy.</w:t>
      </w:r>
    </w:p>
    <w:p w14:paraId="1446D019">
      <w:pPr>
        <w:spacing w:line="480" w:lineRule="auto"/>
        <w:jc w:val="both"/>
        <w:rPr>
          <w:rFonts w:ascii="Times New Roman" w:hAnsi="Times New Roman" w:cs="Times New Roman"/>
        </w:rPr>
      </w:pPr>
      <w:r>
        <w:rPr>
          <w:rFonts w:ascii="Times New Roman" w:hAnsi="Times New Roman" w:cs="Times New Roman"/>
        </w:rPr>
        <w:t xml:space="preserve">For Nigeria, Rwanda’s experience highlights the power of </w:t>
      </w:r>
      <w:r>
        <w:rPr>
          <w:rFonts w:ascii="Times New Roman" w:hAnsi="Times New Roman" w:cs="Times New Roman"/>
          <w:b/>
          <w:bCs/>
        </w:rPr>
        <w:t>results-based governance</w:t>
      </w:r>
      <w:r>
        <w:rPr>
          <w:rFonts w:ascii="Times New Roman" w:hAnsi="Times New Roman" w:cs="Times New Roman"/>
        </w:rPr>
        <w:t xml:space="preserve">. While Nigeria’s democratic context differs, the underlying lesson is that </w:t>
      </w:r>
      <w:r>
        <w:rPr>
          <w:rFonts w:ascii="Times New Roman" w:hAnsi="Times New Roman" w:cs="Times New Roman"/>
          <w:b/>
          <w:bCs/>
        </w:rPr>
        <w:t>political order requires capable institutions before competitive politics can work effectively</w:t>
      </w:r>
      <w:r>
        <w:rPr>
          <w:rFonts w:ascii="Times New Roman" w:hAnsi="Times New Roman" w:cs="Times New Roman"/>
        </w:rPr>
        <w:t>. A state that cannot enforce rules or deliver services will inevitably lose legitimacy, no matter how frequent its elections.</w:t>
      </w:r>
    </w:p>
    <w:p w14:paraId="7BAA1031">
      <w:pPr>
        <w:spacing w:line="480" w:lineRule="auto"/>
        <w:jc w:val="both"/>
        <w:rPr>
          <w:rFonts w:ascii="Times New Roman" w:hAnsi="Times New Roman" w:cs="Times New Roman"/>
        </w:rPr>
      </w:pPr>
    </w:p>
    <w:p w14:paraId="463C2215">
      <w:pPr>
        <w:spacing w:line="480" w:lineRule="auto"/>
        <w:jc w:val="both"/>
        <w:rPr>
          <w:rFonts w:ascii="Times New Roman" w:hAnsi="Times New Roman" w:cs="Times New Roman"/>
          <w:b/>
          <w:bCs/>
        </w:rPr>
      </w:pPr>
      <w:r>
        <w:rPr>
          <w:rFonts w:ascii="Times New Roman" w:hAnsi="Times New Roman" w:cs="Times New Roman"/>
          <w:b/>
          <w:bCs/>
        </w:rPr>
        <w:t>10.3.3 Botswana: Managing Natural Resources with Integrity</w:t>
      </w:r>
    </w:p>
    <w:p w14:paraId="0BF46A41">
      <w:pPr>
        <w:spacing w:line="480" w:lineRule="auto"/>
        <w:jc w:val="both"/>
        <w:rPr>
          <w:rFonts w:ascii="Times New Roman" w:hAnsi="Times New Roman" w:cs="Times New Roman"/>
        </w:rPr>
      </w:pPr>
      <w:r>
        <w:rPr>
          <w:rFonts w:ascii="Times New Roman" w:hAnsi="Times New Roman" w:cs="Times New Roman"/>
        </w:rPr>
        <w:t xml:space="preserve">Botswana presents another African example of how </w:t>
      </w:r>
      <w:r>
        <w:rPr>
          <w:rFonts w:ascii="Times New Roman" w:hAnsi="Times New Roman" w:cs="Times New Roman"/>
          <w:b/>
          <w:bCs/>
        </w:rPr>
        <w:t>institutional culture and leadership ethics</w:t>
      </w:r>
      <w:r>
        <w:rPr>
          <w:rFonts w:ascii="Times New Roman" w:hAnsi="Times New Roman" w:cs="Times New Roman"/>
        </w:rPr>
        <w:t xml:space="preserve"> can turn resource wealth into national prosperity. Like Nigeria, Botswana discovered diamonds shortly after independence. Yet instead of descending into corruption, it invested its resource rents in education, health, and infrastructure.</w:t>
      </w:r>
    </w:p>
    <w:p w14:paraId="3A9D054C">
      <w:pPr>
        <w:spacing w:line="480" w:lineRule="auto"/>
        <w:jc w:val="both"/>
        <w:rPr>
          <w:rFonts w:ascii="Times New Roman" w:hAnsi="Times New Roman" w:cs="Times New Roman"/>
        </w:rPr>
      </w:pPr>
      <w:r>
        <w:rPr>
          <w:rFonts w:ascii="Times New Roman" w:hAnsi="Times New Roman" w:cs="Times New Roman"/>
        </w:rPr>
        <w:t>The difference lies in leadership norms and bureaucratic integrity. Botswana’s post-independence leaders, particularly Seretse Khama, established transparent fiscal policies and empowered technocrats to manage the mining sector</w:t>
      </w:r>
      <w:r>
        <w:rPr>
          <w:rStyle w:val="10"/>
          <w:rFonts w:ascii="Times New Roman" w:hAnsi="Times New Roman" w:cs="Times New Roman"/>
        </w:rPr>
        <w:footnoteReference w:id="134"/>
      </w:r>
      <w:r>
        <w:rPr>
          <w:rFonts w:ascii="Times New Roman" w:hAnsi="Times New Roman" w:cs="Times New Roman"/>
        </w:rPr>
        <w:t xml:space="preserve">. This created a tradition of </w:t>
      </w:r>
      <w:r>
        <w:rPr>
          <w:rFonts w:ascii="Times New Roman" w:hAnsi="Times New Roman" w:cs="Times New Roman"/>
          <w:b/>
          <w:bCs/>
        </w:rPr>
        <w:t>rule-bound governance</w:t>
      </w:r>
      <w:r>
        <w:rPr>
          <w:rFonts w:ascii="Times New Roman" w:hAnsi="Times New Roman" w:cs="Times New Roman"/>
        </w:rPr>
        <w:t xml:space="preserve"> where institutions, not individuals, dominate. The country’s steady growth and political stability show that Africa’s institutional trajectory is not predetermined by geography or colonialism but by </w:t>
      </w:r>
      <w:r>
        <w:rPr>
          <w:rFonts w:ascii="Times New Roman" w:hAnsi="Times New Roman" w:cs="Times New Roman"/>
          <w:b/>
          <w:bCs/>
        </w:rPr>
        <w:t>policy choices and moral leadership</w:t>
      </w:r>
      <w:r>
        <w:rPr>
          <w:rFonts w:ascii="Times New Roman" w:hAnsi="Times New Roman" w:cs="Times New Roman"/>
        </w:rPr>
        <w:t>.</w:t>
      </w:r>
    </w:p>
    <w:p w14:paraId="34E10B9A">
      <w:pPr>
        <w:spacing w:line="480" w:lineRule="auto"/>
        <w:jc w:val="both"/>
        <w:rPr>
          <w:rFonts w:ascii="Times New Roman" w:hAnsi="Times New Roman" w:cs="Times New Roman"/>
        </w:rPr>
      </w:pPr>
      <w:r>
        <w:rPr>
          <w:rFonts w:ascii="Times New Roman" w:hAnsi="Times New Roman" w:cs="Times New Roman"/>
        </w:rPr>
        <w:t xml:space="preserve">Fukuyama would interpret Botswana’s success as evidence that </w:t>
      </w:r>
      <w:r>
        <w:rPr>
          <w:rFonts w:ascii="Times New Roman" w:hAnsi="Times New Roman" w:cs="Times New Roman"/>
          <w:b/>
          <w:bCs/>
        </w:rPr>
        <w:t>strong, impersonal institutions and moral authority</w:t>
      </w:r>
      <w:r>
        <w:rPr>
          <w:rFonts w:ascii="Times New Roman" w:hAnsi="Times New Roman" w:cs="Times New Roman"/>
        </w:rPr>
        <w:t xml:space="preserve"> can coexist, a model that Nigeria can emulate by curbing personalism and restoring bureaucratic ethics.</w:t>
      </w:r>
    </w:p>
    <w:p w14:paraId="3886E85D">
      <w:pPr>
        <w:spacing w:line="480" w:lineRule="auto"/>
        <w:jc w:val="both"/>
        <w:rPr>
          <w:rFonts w:ascii="Times New Roman" w:hAnsi="Times New Roman" w:cs="Times New Roman"/>
        </w:rPr>
      </w:pPr>
    </w:p>
    <w:p w14:paraId="2A8D1453">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10.3.4 Singapore and Malaysia: Meritocracy, Discipline, and the Middle Class</w:t>
      </w:r>
    </w:p>
    <w:p w14:paraId="01517425">
      <w:pPr>
        <w:spacing w:line="480" w:lineRule="auto"/>
        <w:jc w:val="both"/>
        <w:rPr>
          <w:rFonts w:ascii="Times New Roman" w:hAnsi="Times New Roman" w:cs="Times New Roman"/>
        </w:rPr>
      </w:pPr>
      <w:r>
        <w:rPr>
          <w:rFonts w:ascii="Times New Roman" w:hAnsi="Times New Roman" w:cs="Times New Roman"/>
        </w:rPr>
        <w:t>Both Singapore and Malaysia transitioned from colonial dependency to modern prosperity by investing in bureaucratic professionalism and public trust. Singapore’s Civil Service Commission recruits on merit, ensures competitive salaries, and enforces strict penalties for corruption. As a result, the country consistently ranks among the least corrupt globally</w:t>
      </w:r>
      <w:r>
        <w:rPr>
          <w:rStyle w:val="10"/>
          <w:rFonts w:ascii="Times New Roman" w:hAnsi="Times New Roman" w:cs="Times New Roman"/>
        </w:rPr>
        <w:footnoteReference w:id="135"/>
      </w:r>
      <w:r>
        <w:rPr>
          <w:rFonts w:ascii="Times New Roman" w:hAnsi="Times New Roman" w:cs="Times New Roman"/>
        </w:rPr>
        <w:t xml:space="preserve">. Malaysia, though more politically pluralistic, built similar administrative strength through long-term industrial policies and social integration programs like the </w:t>
      </w:r>
      <w:r>
        <w:rPr>
          <w:rFonts w:ascii="Times New Roman" w:hAnsi="Times New Roman" w:cs="Times New Roman"/>
          <w:i/>
          <w:iCs/>
        </w:rPr>
        <w:t>New Economic Policy</w:t>
      </w:r>
      <w:r>
        <w:rPr>
          <w:rFonts w:ascii="Times New Roman" w:hAnsi="Times New Roman" w:cs="Times New Roman"/>
        </w:rPr>
        <w:t xml:space="preserve"> (NEP).</w:t>
      </w:r>
    </w:p>
    <w:p w14:paraId="2CE16790">
      <w:pPr>
        <w:spacing w:line="480" w:lineRule="auto"/>
        <w:jc w:val="both"/>
        <w:rPr>
          <w:rFonts w:ascii="Times New Roman" w:hAnsi="Times New Roman" w:cs="Times New Roman"/>
        </w:rPr>
      </w:pPr>
      <w:r>
        <w:rPr>
          <w:rFonts w:ascii="Times New Roman" w:hAnsi="Times New Roman" w:cs="Times New Roman"/>
        </w:rPr>
        <w:t xml:space="preserve">The takeaway for Nigeria is not to replicate these states’ centralized models, but to </w:t>
      </w:r>
      <w:r>
        <w:rPr>
          <w:rFonts w:ascii="Times New Roman" w:hAnsi="Times New Roman" w:cs="Times New Roman"/>
          <w:b/>
          <w:bCs/>
        </w:rPr>
        <w:t>cultivate meritocracy</w:t>
      </w:r>
      <w:r>
        <w:rPr>
          <w:rFonts w:ascii="Times New Roman" w:hAnsi="Times New Roman" w:cs="Times New Roman"/>
        </w:rPr>
        <w:t xml:space="preserve"> and </w:t>
      </w:r>
      <w:r>
        <w:rPr>
          <w:rFonts w:ascii="Times New Roman" w:hAnsi="Times New Roman" w:cs="Times New Roman"/>
          <w:b/>
          <w:bCs/>
        </w:rPr>
        <w:t>link competence with public service motivation</w:t>
      </w:r>
      <w:r>
        <w:rPr>
          <w:rStyle w:val="10"/>
          <w:rFonts w:ascii="Times New Roman" w:hAnsi="Times New Roman" w:cs="Times New Roman"/>
        </w:rPr>
        <w:footnoteReference w:id="136"/>
      </w:r>
      <w:r>
        <w:rPr>
          <w:rFonts w:ascii="Times New Roman" w:hAnsi="Times New Roman" w:cs="Times New Roman"/>
          <w:b/>
          <w:bCs/>
        </w:rPr>
        <w:t>.</w:t>
      </w:r>
      <w:r>
        <w:rPr>
          <w:rFonts w:ascii="Times New Roman" w:hAnsi="Times New Roman" w:cs="Times New Roman"/>
        </w:rPr>
        <w:t xml:space="preserve">  notes that a state’s quality depends less on its size than on its </w:t>
      </w:r>
      <w:r>
        <w:rPr>
          <w:rFonts w:ascii="Times New Roman" w:hAnsi="Times New Roman" w:cs="Times New Roman"/>
          <w:b/>
          <w:bCs/>
        </w:rPr>
        <w:t>capacity and professionalism</w:t>
      </w:r>
      <w:r>
        <w:rPr>
          <w:rFonts w:ascii="Times New Roman" w:hAnsi="Times New Roman" w:cs="Times New Roman"/>
        </w:rPr>
        <w:t>. A large but incompetent bureaucracy breeds corruption; a small but effective one inspires confidence.</w:t>
      </w:r>
    </w:p>
    <w:p w14:paraId="5E4EDB06">
      <w:pPr>
        <w:spacing w:line="480" w:lineRule="auto"/>
        <w:jc w:val="both"/>
        <w:rPr>
          <w:rFonts w:ascii="Times New Roman" w:hAnsi="Times New Roman" w:cs="Times New Roman"/>
          <w:sz w:val="28"/>
          <w:szCs w:val="28"/>
        </w:rPr>
      </w:pPr>
    </w:p>
    <w:p w14:paraId="1235671C">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10.3.5 Adapting Lessons to Nigeria’s Context</w:t>
      </w:r>
    </w:p>
    <w:p w14:paraId="25C16AF3">
      <w:pPr>
        <w:spacing w:line="480" w:lineRule="auto"/>
        <w:jc w:val="both"/>
        <w:rPr>
          <w:rFonts w:ascii="Times New Roman" w:hAnsi="Times New Roman" w:cs="Times New Roman"/>
        </w:rPr>
      </w:pPr>
      <w:r>
        <w:rPr>
          <w:rFonts w:ascii="Times New Roman" w:hAnsi="Times New Roman" w:cs="Times New Roman"/>
        </w:rPr>
        <w:t>While these cases provide inspiration, Nigeria’s size, diversity, and federal structure mean that its solutions must be uniquely contextualized. What unites all successful examples, from East Asia to Africa, are three shared features:</w:t>
      </w:r>
    </w:p>
    <w:p w14:paraId="0830B496">
      <w:pPr>
        <w:numPr>
          <w:ilvl w:val="0"/>
          <w:numId w:val="9"/>
        </w:numPr>
        <w:spacing w:line="480" w:lineRule="auto"/>
        <w:jc w:val="both"/>
        <w:rPr>
          <w:rFonts w:ascii="Times New Roman" w:hAnsi="Times New Roman" w:cs="Times New Roman"/>
        </w:rPr>
      </w:pPr>
      <w:r>
        <w:rPr>
          <w:rFonts w:ascii="Times New Roman" w:hAnsi="Times New Roman" w:cs="Times New Roman"/>
          <w:b/>
          <w:bCs/>
        </w:rPr>
        <w:t>Institutional Continuity:</w:t>
      </w:r>
      <w:r>
        <w:rPr>
          <w:rFonts w:ascii="Times New Roman" w:hAnsi="Times New Roman" w:cs="Times New Roman"/>
        </w:rPr>
        <w:t xml:space="preserve"> Long-term planning insulated from short-term political changes.</w:t>
      </w:r>
    </w:p>
    <w:p w14:paraId="4F8C9CD5">
      <w:pPr>
        <w:numPr>
          <w:ilvl w:val="0"/>
          <w:numId w:val="9"/>
        </w:numPr>
        <w:spacing w:line="480" w:lineRule="auto"/>
        <w:jc w:val="both"/>
        <w:rPr>
          <w:rFonts w:ascii="Times New Roman" w:hAnsi="Times New Roman" w:cs="Times New Roman"/>
        </w:rPr>
      </w:pPr>
      <w:r>
        <w:rPr>
          <w:rFonts w:ascii="Times New Roman" w:hAnsi="Times New Roman" w:cs="Times New Roman"/>
          <w:b/>
          <w:bCs/>
        </w:rPr>
        <w:t>Meritocratic Bureaucracy:</w:t>
      </w:r>
      <w:r>
        <w:rPr>
          <w:rFonts w:ascii="Times New Roman" w:hAnsi="Times New Roman" w:cs="Times New Roman"/>
        </w:rPr>
        <w:t xml:space="preserve"> Recruitment based on skill rather than ethnicity, religion, or patronage.</w:t>
      </w:r>
    </w:p>
    <w:p w14:paraId="60697603">
      <w:pPr>
        <w:numPr>
          <w:ilvl w:val="0"/>
          <w:numId w:val="9"/>
        </w:numPr>
        <w:spacing w:line="480" w:lineRule="auto"/>
        <w:jc w:val="both"/>
        <w:rPr>
          <w:rFonts w:ascii="Times New Roman" w:hAnsi="Times New Roman" w:cs="Times New Roman"/>
        </w:rPr>
      </w:pPr>
      <w:r>
        <w:rPr>
          <w:rFonts w:ascii="Times New Roman" w:hAnsi="Times New Roman" w:cs="Times New Roman"/>
          <w:b/>
          <w:bCs/>
        </w:rPr>
        <w:t>Public Trust and Accountability:</w:t>
      </w:r>
      <w:r>
        <w:rPr>
          <w:rFonts w:ascii="Times New Roman" w:hAnsi="Times New Roman" w:cs="Times New Roman"/>
        </w:rPr>
        <w:t xml:space="preserve"> A social contract built on performance, not rhetoric.</w:t>
      </w:r>
    </w:p>
    <w:p w14:paraId="48E13ABD">
      <w:pPr>
        <w:spacing w:line="480" w:lineRule="auto"/>
        <w:jc w:val="both"/>
        <w:rPr>
          <w:rFonts w:ascii="Times New Roman" w:hAnsi="Times New Roman" w:cs="Times New Roman"/>
        </w:rPr>
      </w:pPr>
      <w:r>
        <w:rPr>
          <w:rFonts w:ascii="Times New Roman" w:hAnsi="Times New Roman" w:cs="Times New Roman"/>
        </w:rPr>
        <w:t xml:space="preserve">To apply these lessons, Nigeria must cultivate reform coalitions within its political and bureaucratic class, foster civic education to strengthen citizenship, and establish mechanisms for policy continuity. For instance, the </w:t>
      </w:r>
      <w:r>
        <w:rPr>
          <w:rFonts w:ascii="Times New Roman" w:hAnsi="Times New Roman" w:cs="Times New Roman"/>
          <w:i/>
          <w:iCs/>
        </w:rPr>
        <w:t>National Planning Commission</w:t>
      </w:r>
      <w:r>
        <w:rPr>
          <w:rFonts w:ascii="Times New Roman" w:hAnsi="Times New Roman" w:cs="Times New Roman"/>
        </w:rPr>
        <w:t xml:space="preserve"> could be transformed into an autonomous body with cross-party oversight to ensure that major infrastructure or education projects survive electoral turnover.</w:t>
      </w:r>
    </w:p>
    <w:p w14:paraId="039742D9">
      <w:pPr>
        <w:spacing w:line="480" w:lineRule="auto"/>
        <w:jc w:val="both"/>
        <w:rPr>
          <w:rFonts w:ascii="Times New Roman" w:hAnsi="Times New Roman" w:cs="Times New Roman"/>
        </w:rPr>
      </w:pPr>
      <w:r>
        <w:rPr>
          <w:rFonts w:ascii="Times New Roman" w:hAnsi="Times New Roman" w:cs="Times New Roman"/>
        </w:rPr>
        <w:t xml:space="preserve">These comparative cases reveal that the </w:t>
      </w:r>
      <w:r>
        <w:rPr>
          <w:rFonts w:ascii="Times New Roman" w:hAnsi="Times New Roman" w:cs="Times New Roman"/>
          <w:b/>
          <w:bCs/>
        </w:rPr>
        <w:t>path to “Denmark” is not Westernization but institutional learning</w:t>
      </w:r>
      <w:r>
        <w:rPr>
          <w:rFonts w:ascii="Times New Roman" w:hAnsi="Times New Roman" w:cs="Times New Roman"/>
        </w:rPr>
        <w:t>. Political order emerges not from copying others’ systems but from internalizing the universal principles of trust, merit, and accountability within Nigeria’s own sociocultural fabric.</w:t>
      </w:r>
    </w:p>
    <w:p w14:paraId="5CEC3EAB">
      <w:pPr>
        <w:spacing w:line="480" w:lineRule="auto"/>
        <w:jc w:val="both"/>
        <w:rPr>
          <w:rFonts w:ascii="Times New Roman" w:hAnsi="Times New Roman" w:cs="Times New Roman"/>
        </w:rPr>
      </w:pPr>
    </w:p>
    <w:p w14:paraId="6E2D1D08">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11.0 Rethinking “Denmark”: Is It the Right Model for Nigeria?</w:t>
      </w:r>
    </w:p>
    <w:p w14:paraId="53BF9FDC">
      <w:pPr>
        <w:spacing w:line="480" w:lineRule="auto"/>
        <w:jc w:val="both"/>
        <w:rPr>
          <w:rFonts w:ascii="Times New Roman" w:hAnsi="Times New Roman" w:cs="Times New Roman"/>
        </w:rPr>
      </w:pPr>
      <w:r>
        <w:rPr>
          <w:rFonts w:ascii="Times New Roman" w:hAnsi="Times New Roman" w:cs="Times New Roman"/>
        </w:rPr>
        <w:t>Fukuyama’s notion of “getting to Denmark” is often read as a universal prescription for political modernity, a metaphor for achieving a state that is efficient, law-governed, and accountable. Yet, when applied to postcolonial states like Nigeria, this metaphor raises deeper philosophical and practical questions. Can a country with Nigeria’s unique history, culture, and socio-economic diversity truly replicate the institutional pathways of small, ethnically homogeneous Northern European nations? Or should Nigeria aspire instead to its own model of political order rooted in its historical experience and moral traditions?</w:t>
      </w:r>
    </w:p>
    <w:p w14:paraId="7964A0BF">
      <w:pPr>
        <w:spacing w:line="480" w:lineRule="auto"/>
        <w:jc w:val="both"/>
        <w:rPr>
          <w:rFonts w:ascii="Times New Roman" w:hAnsi="Times New Roman" w:cs="Times New Roman"/>
        </w:rPr>
      </w:pPr>
      <w:r>
        <w:rPr>
          <w:rFonts w:ascii="Times New Roman" w:hAnsi="Times New Roman" w:cs="Times New Roman"/>
        </w:rPr>
        <w:t>The danger of uncritically adopting “Denmark” as an ideal is that it assumes a single, linear path to development, one that moves from patrimonialism to bureaucratic rationality and from authoritarianism to liberal democracy</w:t>
      </w:r>
      <w:r>
        <w:rPr>
          <w:rStyle w:val="10"/>
          <w:rFonts w:ascii="Times New Roman" w:hAnsi="Times New Roman" w:cs="Times New Roman"/>
        </w:rPr>
        <w:footnoteReference w:id="137"/>
      </w:r>
      <w:r>
        <w:rPr>
          <w:rFonts w:ascii="Times New Roman" w:hAnsi="Times New Roman" w:cs="Times New Roman"/>
        </w:rPr>
        <w:t xml:space="preserve">. Yet, as African philosophers like </w:t>
      </w:r>
      <w:r>
        <w:rPr>
          <w:rFonts w:ascii="Times New Roman" w:hAnsi="Times New Roman" w:cs="Times New Roman"/>
          <w:b/>
          <w:bCs/>
        </w:rPr>
        <w:t>Kwasi Wiredu</w:t>
      </w:r>
      <w:r>
        <w:rPr>
          <w:rFonts w:ascii="Times New Roman" w:hAnsi="Times New Roman" w:cs="Times New Roman"/>
        </w:rPr>
        <w:t xml:space="preserve"> have argued, modern African societies must pursue political modernity </w:t>
      </w:r>
      <w:r>
        <w:rPr>
          <w:rFonts w:ascii="Times New Roman" w:hAnsi="Times New Roman" w:cs="Times New Roman"/>
          <w:b/>
          <w:bCs/>
        </w:rPr>
        <w:t>without cultural alienation</w:t>
      </w:r>
      <w:r>
        <w:rPr>
          <w:rStyle w:val="10"/>
          <w:rFonts w:ascii="Times New Roman" w:hAnsi="Times New Roman" w:cs="Times New Roman"/>
          <w:b/>
          <w:bCs/>
        </w:rPr>
        <w:footnoteReference w:id="138"/>
      </w:r>
      <w:r>
        <w:rPr>
          <w:rFonts w:ascii="Times New Roman" w:hAnsi="Times New Roman" w:cs="Times New Roman"/>
        </w:rPr>
        <w:t>. To “get to Denmark,” therefore, should not mean to become Denmark, but to achieve the same moral and institutional outcomes: order, justice, and trust, through indigenous means.</w:t>
      </w:r>
    </w:p>
    <w:p w14:paraId="2477B9D2">
      <w:pPr>
        <w:spacing w:line="480" w:lineRule="auto"/>
        <w:jc w:val="both"/>
        <w:rPr>
          <w:rFonts w:ascii="Times New Roman" w:hAnsi="Times New Roman" w:cs="Times New Roman"/>
        </w:rPr>
      </w:pPr>
    </w:p>
    <w:p w14:paraId="20207FA3">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11.1 The Limits of the Western Model</w:t>
      </w:r>
    </w:p>
    <w:p w14:paraId="19CD5B98">
      <w:pPr>
        <w:spacing w:line="480" w:lineRule="auto"/>
        <w:jc w:val="both"/>
        <w:rPr>
          <w:rFonts w:ascii="Times New Roman" w:hAnsi="Times New Roman" w:cs="Times New Roman"/>
        </w:rPr>
      </w:pPr>
      <w:r>
        <w:rPr>
          <w:rFonts w:ascii="Times New Roman" w:hAnsi="Times New Roman" w:cs="Times New Roman"/>
        </w:rPr>
        <w:t>Denmark’s success emerged from specific historical and sociological conditions: the Protestant Reformation, small population size, early bureaucratic reforms, and a deeply internalized culture of trust</w:t>
      </w:r>
      <w:r>
        <w:rPr>
          <w:rStyle w:val="10"/>
          <w:rFonts w:ascii="Times New Roman" w:hAnsi="Times New Roman" w:cs="Times New Roman"/>
        </w:rPr>
        <w:footnoteReference w:id="139"/>
      </w:r>
      <w:r>
        <w:rPr>
          <w:rFonts w:ascii="Times New Roman" w:hAnsi="Times New Roman" w:cs="Times New Roman"/>
        </w:rPr>
        <w:t>. Nigeria, on the other hand, inherited a colonial administrative system that prioritized extraction over legitimacy. The state was never designed to serve citizens but to serve the colonial center. Even after independence, this extractive logic persisted, producing a rentier elite and a dependent economy</w:t>
      </w:r>
      <w:r>
        <w:rPr>
          <w:rStyle w:val="10"/>
          <w:rFonts w:ascii="Times New Roman" w:hAnsi="Times New Roman" w:cs="Times New Roman"/>
        </w:rPr>
        <w:footnoteReference w:id="140"/>
      </w:r>
      <w:r>
        <w:rPr>
          <w:rFonts w:ascii="Times New Roman" w:hAnsi="Times New Roman" w:cs="Times New Roman"/>
        </w:rPr>
        <w:t>.</w:t>
      </w:r>
    </w:p>
    <w:p w14:paraId="763FA5B7">
      <w:pPr>
        <w:spacing w:line="480" w:lineRule="auto"/>
        <w:jc w:val="both"/>
        <w:rPr>
          <w:rFonts w:ascii="Times New Roman" w:hAnsi="Times New Roman" w:cs="Times New Roman"/>
        </w:rPr>
      </w:pPr>
      <w:r>
        <w:rPr>
          <w:rFonts w:ascii="Times New Roman" w:hAnsi="Times New Roman" w:cs="Times New Roman"/>
        </w:rPr>
        <w:t xml:space="preserve">This historical reality makes it unrealistic to expect Nigeria to reproduce Denmark’s institutions wholesale. Instead, Nigeria’s task is to </w:t>
      </w:r>
      <w:r>
        <w:rPr>
          <w:rFonts w:ascii="Times New Roman" w:hAnsi="Times New Roman" w:cs="Times New Roman"/>
          <w:b/>
          <w:bCs/>
        </w:rPr>
        <w:t>decolonize governance</w:t>
      </w:r>
      <w:r>
        <w:rPr>
          <w:rFonts w:ascii="Times New Roman" w:hAnsi="Times New Roman" w:cs="Times New Roman"/>
        </w:rPr>
        <w:t xml:space="preserve">, to transform an externally imposed administrative structure into one that reflects its plural society and participatory values. For instance, while Denmark relies on universal bureaucratic norms, Nigeria might strengthen its </w:t>
      </w:r>
      <w:r>
        <w:rPr>
          <w:rFonts w:ascii="Times New Roman" w:hAnsi="Times New Roman" w:cs="Times New Roman"/>
          <w:b/>
          <w:bCs/>
        </w:rPr>
        <w:t>traditional and community-based mechanisms</w:t>
      </w:r>
      <w:r>
        <w:rPr>
          <w:rFonts w:ascii="Times New Roman" w:hAnsi="Times New Roman" w:cs="Times New Roman"/>
        </w:rPr>
        <w:t xml:space="preserve"> for accountability, such as local councils, traditional institutions, and town unions, to complement formal state structures. This hybridization could ground governance in social legitimacy rather than imported formalism.</w:t>
      </w:r>
    </w:p>
    <w:p w14:paraId="02C552F9">
      <w:pPr>
        <w:spacing w:line="480" w:lineRule="auto"/>
        <w:jc w:val="both"/>
        <w:rPr>
          <w:rFonts w:ascii="Times New Roman" w:hAnsi="Times New Roman" w:cs="Times New Roman"/>
        </w:rPr>
      </w:pPr>
    </w:p>
    <w:p w14:paraId="670CC6BD">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11.2 Africanizing the Idea of “Political Order”</w:t>
      </w:r>
    </w:p>
    <w:p w14:paraId="703127E9">
      <w:pPr>
        <w:spacing w:line="480" w:lineRule="auto"/>
        <w:jc w:val="both"/>
        <w:rPr>
          <w:rFonts w:ascii="Times New Roman" w:hAnsi="Times New Roman" w:cs="Times New Roman"/>
        </w:rPr>
      </w:pPr>
      <w:r>
        <w:rPr>
          <w:rFonts w:ascii="Times New Roman" w:hAnsi="Times New Roman" w:cs="Times New Roman"/>
        </w:rPr>
        <w:t xml:space="preserve">To rethink “Denmark” in Nigerian terms means to interpret Fukuyama’s framework through African moral and communal philosophies. Thinkers such as </w:t>
      </w:r>
      <w:r>
        <w:rPr>
          <w:rFonts w:ascii="Times New Roman" w:hAnsi="Times New Roman" w:cs="Times New Roman"/>
          <w:b/>
          <w:bCs/>
        </w:rPr>
        <w:t>Claude Ake</w:t>
      </w:r>
      <w:r>
        <w:rPr>
          <w:rFonts w:ascii="Times New Roman" w:hAnsi="Times New Roman" w:cs="Times New Roman"/>
        </w:rPr>
        <w:t xml:space="preserve"> and </w:t>
      </w:r>
      <w:r>
        <w:rPr>
          <w:rFonts w:ascii="Times New Roman" w:hAnsi="Times New Roman" w:cs="Times New Roman"/>
          <w:b/>
          <w:bCs/>
        </w:rPr>
        <w:t>Kwasi Wiredu</w:t>
      </w:r>
      <w:r>
        <w:rPr>
          <w:rFonts w:ascii="Times New Roman" w:hAnsi="Times New Roman" w:cs="Times New Roman"/>
        </w:rPr>
        <w:t xml:space="preserve"> emphasize that development must be people-centered, that “modernization without social transformation” only reproduces alienation and inequality</w:t>
      </w:r>
      <w:r>
        <w:rPr>
          <w:rStyle w:val="10"/>
          <w:rFonts w:ascii="Times New Roman" w:hAnsi="Times New Roman" w:cs="Times New Roman"/>
        </w:rPr>
        <w:footnoteReference w:id="141"/>
      </w:r>
      <w:r>
        <w:rPr>
          <w:rFonts w:ascii="Times New Roman" w:hAnsi="Times New Roman" w:cs="Times New Roman"/>
        </w:rPr>
        <w:t xml:space="preserve">. Similarly, Wiredu’s idea of </w:t>
      </w:r>
      <w:r>
        <w:rPr>
          <w:rFonts w:ascii="Times New Roman" w:hAnsi="Times New Roman" w:cs="Times New Roman"/>
          <w:b/>
          <w:bCs/>
        </w:rPr>
        <w:t>consensual democracy</w:t>
      </w:r>
      <w:r>
        <w:rPr>
          <w:rFonts w:ascii="Times New Roman" w:hAnsi="Times New Roman" w:cs="Times New Roman"/>
        </w:rPr>
        <w:t xml:space="preserve">, inspired by traditional African decision-making processes, shows that accountability and lawfulness can be achieved through </w:t>
      </w:r>
      <w:r>
        <w:rPr>
          <w:rFonts w:ascii="Times New Roman" w:hAnsi="Times New Roman" w:cs="Times New Roman"/>
          <w:b/>
          <w:bCs/>
        </w:rPr>
        <w:t>dialogical governance</w:t>
      </w:r>
      <w:r>
        <w:rPr>
          <w:rFonts w:ascii="Times New Roman" w:hAnsi="Times New Roman" w:cs="Times New Roman"/>
        </w:rPr>
        <w:t xml:space="preserve"> rather than adversarial politics.</w:t>
      </w:r>
    </w:p>
    <w:p w14:paraId="28D51207">
      <w:pPr>
        <w:spacing w:line="480" w:lineRule="auto"/>
        <w:jc w:val="both"/>
        <w:rPr>
          <w:rFonts w:ascii="Times New Roman" w:hAnsi="Times New Roman" w:cs="Times New Roman"/>
        </w:rPr>
      </w:pPr>
      <w:r>
        <w:rPr>
          <w:rFonts w:ascii="Times New Roman" w:hAnsi="Times New Roman" w:cs="Times New Roman"/>
        </w:rPr>
        <w:t xml:space="preserve">In the Nigerian context, this could mean empowering </w:t>
      </w:r>
      <w:r>
        <w:rPr>
          <w:rFonts w:ascii="Times New Roman" w:hAnsi="Times New Roman" w:cs="Times New Roman"/>
          <w:b/>
          <w:bCs/>
        </w:rPr>
        <w:t>local governance institutions</w:t>
      </w:r>
      <w:r>
        <w:rPr>
          <w:rFonts w:ascii="Times New Roman" w:hAnsi="Times New Roman" w:cs="Times New Roman"/>
        </w:rPr>
        <w:t xml:space="preserve"> to play a greater role in decision-making, ensuring that democratic participation is not limited to elections but extends to community oversight. Nigeria’s “Denmark,” therefore, may not look like Copenhagen, it may instead be a multi-ethnic federation where </w:t>
      </w:r>
      <w:r>
        <w:rPr>
          <w:rFonts w:ascii="Times New Roman" w:hAnsi="Times New Roman" w:cs="Times New Roman"/>
          <w:b/>
          <w:bCs/>
        </w:rPr>
        <w:t>state authority and social legitimacy</w:t>
      </w:r>
      <w:r>
        <w:rPr>
          <w:rFonts w:ascii="Times New Roman" w:hAnsi="Times New Roman" w:cs="Times New Roman"/>
        </w:rPr>
        <w:t xml:space="preserve"> co-exist through moral leadership and civic engagement.</w:t>
      </w:r>
    </w:p>
    <w:p w14:paraId="11215E1A">
      <w:pPr>
        <w:spacing w:line="480" w:lineRule="auto"/>
        <w:jc w:val="both"/>
        <w:rPr>
          <w:rFonts w:ascii="Times New Roman" w:hAnsi="Times New Roman" w:cs="Times New Roman"/>
        </w:rPr>
      </w:pPr>
    </w:p>
    <w:p w14:paraId="4823D0D4">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11.3 The Philosophical Core: Justice and Trust, Not Imitation</w:t>
      </w:r>
    </w:p>
    <w:p w14:paraId="210F3680">
      <w:pPr>
        <w:spacing w:line="480" w:lineRule="auto"/>
        <w:jc w:val="both"/>
        <w:rPr>
          <w:rFonts w:ascii="Times New Roman" w:hAnsi="Times New Roman" w:cs="Times New Roman"/>
        </w:rPr>
      </w:pPr>
      <w:r>
        <w:rPr>
          <w:rFonts w:ascii="Times New Roman" w:hAnsi="Times New Roman" w:cs="Times New Roman"/>
        </w:rPr>
        <w:t xml:space="preserve">What makes Denmark desirable is not its culture or geography, but its </w:t>
      </w:r>
      <w:r>
        <w:rPr>
          <w:rFonts w:ascii="Times New Roman" w:hAnsi="Times New Roman" w:cs="Times New Roman"/>
          <w:b/>
          <w:bCs/>
        </w:rPr>
        <w:t>justice system, bureaucratic competence, and high levels of trust</w:t>
      </w:r>
      <w:r>
        <w:rPr>
          <w:rFonts w:ascii="Times New Roman" w:hAnsi="Times New Roman" w:cs="Times New Roman"/>
        </w:rPr>
        <w:t xml:space="preserve"> among citizens. These are moral and institutional qualities, not Western attributes. As </w:t>
      </w:r>
      <w:r>
        <w:rPr>
          <w:rFonts w:ascii="Times New Roman" w:hAnsi="Times New Roman" w:cs="Times New Roman"/>
          <w:b/>
          <w:bCs/>
        </w:rPr>
        <w:t>Chinua Achebe</w:t>
      </w:r>
      <w:r>
        <w:rPr>
          <w:rFonts w:ascii="Times New Roman" w:hAnsi="Times New Roman" w:cs="Times New Roman"/>
        </w:rPr>
        <w:t xml:space="preserve"> warned, no imported system can work unless it is animated by integrity and a sense of responsibility</w:t>
      </w:r>
      <w:r>
        <w:rPr>
          <w:rStyle w:val="10"/>
          <w:rFonts w:ascii="Times New Roman" w:hAnsi="Times New Roman" w:cs="Times New Roman"/>
        </w:rPr>
        <w:footnoteReference w:id="142"/>
      </w:r>
      <w:r>
        <w:rPr>
          <w:rFonts w:ascii="Times New Roman" w:hAnsi="Times New Roman" w:cs="Times New Roman"/>
        </w:rPr>
        <w:t>. Therefore, the Nigerian “Denmark” must be built first on the renewal of public ethics, on leaders who see public office as a trust, and citizens who see governance as a shared moral duty.</w:t>
      </w:r>
    </w:p>
    <w:p w14:paraId="5FAA8C0A">
      <w:pPr>
        <w:spacing w:line="480" w:lineRule="auto"/>
        <w:jc w:val="both"/>
        <w:rPr>
          <w:rFonts w:ascii="Times New Roman" w:hAnsi="Times New Roman" w:cs="Times New Roman"/>
        </w:rPr>
      </w:pPr>
      <w:r>
        <w:rPr>
          <w:rFonts w:ascii="Times New Roman" w:hAnsi="Times New Roman" w:cs="Times New Roman"/>
        </w:rPr>
        <w:t xml:space="preserve">From a philosophical standpoint, the goal is not Westernization but </w:t>
      </w:r>
      <w:r>
        <w:rPr>
          <w:rFonts w:ascii="Times New Roman" w:hAnsi="Times New Roman" w:cs="Times New Roman"/>
          <w:b/>
          <w:bCs/>
        </w:rPr>
        <w:t xml:space="preserve">moral modernization, </w:t>
      </w:r>
      <w:r>
        <w:rPr>
          <w:rFonts w:ascii="Times New Roman" w:hAnsi="Times New Roman" w:cs="Times New Roman"/>
        </w:rPr>
        <w:t>the evolution of Nigeria’s political culture toward justice, accountability, and trustworthiness. Once these virtues become institutional habits, the state will begin to reflect the moral order envisioned by both African humanism and Fukuyama’s framework of modern political order.</w:t>
      </w:r>
    </w:p>
    <w:p w14:paraId="2CCB36AC">
      <w:pPr>
        <w:spacing w:line="480" w:lineRule="auto"/>
        <w:jc w:val="both"/>
        <w:rPr>
          <w:rFonts w:ascii="Times New Roman" w:hAnsi="Times New Roman" w:cs="Times New Roman"/>
        </w:rPr>
      </w:pPr>
    </w:p>
    <w:p w14:paraId="0AFD3290">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11.4 Toward a Contextual Vision of Political Order</w:t>
      </w:r>
    </w:p>
    <w:p w14:paraId="2E897C21">
      <w:pPr>
        <w:spacing w:line="480" w:lineRule="auto"/>
        <w:jc w:val="both"/>
        <w:rPr>
          <w:rFonts w:ascii="Times New Roman" w:hAnsi="Times New Roman" w:cs="Times New Roman"/>
        </w:rPr>
      </w:pPr>
      <w:r>
        <w:rPr>
          <w:rFonts w:ascii="Times New Roman" w:hAnsi="Times New Roman" w:cs="Times New Roman"/>
        </w:rPr>
        <w:t xml:space="preserve">Ultimately, the question is not whether Nigeria can “get to Denmark,” but whether it can achieve its own version of political order that is </w:t>
      </w:r>
      <w:r>
        <w:rPr>
          <w:rFonts w:ascii="Times New Roman" w:hAnsi="Times New Roman" w:cs="Times New Roman"/>
          <w:b/>
          <w:bCs/>
        </w:rPr>
        <w:t>effective, legitimate, and morally coherent</w:t>
      </w:r>
      <w:r>
        <w:rPr>
          <w:rFonts w:ascii="Times New Roman" w:hAnsi="Times New Roman" w:cs="Times New Roman"/>
        </w:rPr>
        <w:t xml:space="preserve">. That path will not be identical to Europe’s, but the principles are universal: </w:t>
      </w:r>
      <w:r>
        <w:rPr>
          <w:rFonts w:ascii="Times New Roman" w:hAnsi="Times New Roman" w:cs="Times New Roman"/>
          <w:b/>
          <w:bCs/>
        </w:rPr>
        <w:t>strong institutions, rule-based governance, and public trust.</w:t>
      </w:r>
      <w:r>
        <w:rPr>
          <w:rFonts w:ascii="Times New Roman" w:hAnsi="Times New Roman" w:cs="Times New Roman"/>
        </w:rPr>
        <w:t xml:space="preserve"> Nigeria’s success will depend on how it blends these universal principles with its own cultural resources, community, spirituality, and resilience, to create a uniquely Nigerian model of modern governance.</w:t>
      </w:r>
    </w:p>
    <w:p w14:paraId="56212A7D">
      <w:pPr>
        <w:spacing w:line="480" w:lineRule="auto"/>
        <w:jc w:val="both"/>
        <w:rPr>
          <w:rFonts w:ascii="Times New Roman" w:hAnsi="Times New Roman" w:cs="Times New Roman"/>
        </w:rPr>
      </w:pPr>
      <w:r>
        <w:rPr>
          <w:rFonts w:ascii="Times New Roman" w:hAnsi="Times New Roman" w:cs="Times New Roman"/>
        </w:rPr>
        <w:t>This is the philosophical essence of Fukuyama’s insight: while the institutional form of political order varies, its moral foundation is constant. A just society is one where power serves the common good, where law restrains the powerful, and where citizens believe in the moral purpose of the state. Nigeria’s journey to political maturity must therefore begin not with imitation but with moral introspection, a rediscovery of the values that can sustain order, freedom, and justice.</w:t>
      </w:r>
    </w:p>
    <w:p w14:paraId="5167E7BC">
      <w:pPr>
        <w:spacing w:after="0"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12.0 Conclusion and Evaluation </w:t>
      </w:r>
    </w:p>
    <w:p w14:paraId="1A31E779">
      <w:pPr>
        <w:spacing w:after="0" w:line="480" w:lineRule="auto"/>
        <w:jc w:val="both"/>
        <w:rPr>
          <w:rFonts w:ascii="Times New Roman" w:hAnsi="Times New Roman" w:cs="Times New Roman"/>
        </w:rPr>
      </w:pPr>
      <w:r>
        <w:rPr>
          <w:rFonts w:ascii="Times New Roman" w:hAnsi="Times New Roman" w:cs="Times New Roman"/>
        </w:rPr>
        <w:t>The question “Can Nigeria get to Denmark?” is not merely a rhetorical provocation but a philosophical challenge about the nature of political order in postcolonial societies. Fukuyama’s framework teaches that stable governance depends on three interlocking pillars: a capable state, a rule of law that limits arbitrary power, and accountability that ensures rulers act in the public interest. Nigeria’s struggle is not the absence of these elements in principle, but their imbalance in practice. The state exists but is weak; laws exist but are selectively enforced; and accountability mechanisms exist but often serve political patronage rather than the people.</w:t>
      </w:r>
    </w:p>
    <w:p w14:paraId="0789CE13">
      <w:pPr>
        <w:spacing w:after="0" w:line="480" w:lineRule="auto"/>
        <w:jc w:val="both"/>
        <w:rPr>
          <w:rFonts w:ascii="Times New Roman" w:hAnsi="Times New Roman" w:cs="Times New Roman"/>
        </w:rPr>
      </w:pPr>
      <w:r>
        <w:rPr>
          <w:rFonts w:ascii="Times New Roman" w:hAnsi="Times New Roman" w:cs="Times New Roman"/>
        </w:rPr>
        <w:t xml:space="preserve">This imbalance has deep historical roots. Nigeria’s colonial experience produced an extractive state that prioritized control over legitimacy. The post-independence elite inherited this apparatus but retooled it for personal gain, creating what scholars describe as </w:t>
      </w:r>
      <w:r>
        <w:rPr>
          <w:rFonts w:ascii="Times New Roman" w:hAnsi="Times New Roman" w:cs="Times New Roman"/>
          <w:b/>
          <w:bCs/>
        </w:rPr>
        <w:t>a prebendal system</w:t>
      </w:r>
      <w:r>
        <w:rPr>
          <w:rFonts w:ascii="Times New Roman" w:hAnsi="Times New Roman" w:cs="Times New Roman"/>
        </w:rPr>
        <w:t>, a state where public office becomes a source of private wealth</w:t>
      </w:r>
      <w:r>
        <w:rPr>
          <w:rStyle w:val="10"/>
          <w:rFonts w:ascii="Times New Roman" w:hAnsi="Times New Roman" w:cs="Times New Roman"/>
        </w:rPr>
        <w:footnoteReference w:id="143"/>
      </w:r>
      <w:r>
        <w:rPr>
          <w:rFonts w:ascii="Times New Roman" w:hAnsi="Times New Roman" w:cs="Times New Roman"/>
        </w:rPr>
        <w:t>. This system undermines both bureaucratic meritocracy and moral legitimacy, replacing citizenship with clientelism and public duty with self-interest. Hence, even when democratic institutions appear to function, their moral foundation remains fragile.</w:t>
      </w:r>
    </w:p>
    <w:p w14:paraId="4CB35C75">
      <w:pPr>
        <w:spacing w:after="0" w:line="480" w:lineRule="auto"/>
        <w:jc w:val="both"/>
        <w:rPr>
          <w:rFonts w:ascii="Times New Roman" w:hAnsi="Times New Roman" w:cs="Times New Roman"/>
        </w:rPr>
      </w:pPr>
      <w:r>
        <w:rPr>
          <w:rFonts w:ascii="Times New Roman" w:hAnsi="Times New Roman" w:cs="Times New Roman"/>
        </w:rPr>
        <w:t xml:space="preserve">Fukuyama’s insight is that </w:t>
      </w:r>
      <w:r>
        <w:rPr>
          <w:rFonts w:ascii="Times New Roman" w:hAnsi="Times New Roman" w:cs="Times New Roman"/>
          <w:b/>
          <w:bCs/>
        </w:rPr>
        <w:t>political order precedes democracy</w:t>
      </w:r>
      <w:r>
        <w:rPr>
          <w:rFonts w:ascii="Times New Roman" w:hAnsi="Times New Roman" w:cs="Times New Roman"/>
        </w:rPr>
        <w:t>, that nations must first build institutions capable of enforcing rules before expanding political participation. Nigeria’s experience confirms this sequencing problem. Elections occur regularly, but without a strong state or rule of law, they only reproduce elite competition for access to state resources. The result is what Claude Ake called “democratization without democracy” the shell of electoral politics without the substance of accountable governance.</w:t>
      </w:r>
    </w:p>
    <w:p w14:paraId="17EEDF21">
      <w:pPr>
        <w:spacing w:after="0" w:line="480" w:lineRule="auto"/>
        <w:jc w:val="both"/>
        <w:rPr>
          <w:rFonts w:ascii="Times New Roman" w:hAnsi="Times New Roman" w:cs="Times New Roman"/>
        </w:rPr>
      </w:pPr>
      <w:r>
        <w:rPr>
          <w:rFonts w:ascii="Times New Roman" w:hAnsi="Times New Roman" w:cs="Times New Roman"/>
        </w:rPr>
        <w:t xml:space="preserve">However, this analysis should not lead to despair. Nigeria possesses enduring resources for renewal: a young and dynamic population, a resilient civil society, and rich traditions of community solidarity. The challenge is to transform these moral and social assets into institutional strength. Reform must focus not only on policy but on </w:t>
      </w:r>
      <w:r>
        <w:rPr>
          <w:rFonts w:ascii="Times New Roman" w:hAnsi="Times New Roman" w:cs="Times New Roman"/>
          <w:b/>
          <w:bCs/>
        </w:rPr>
        <w:t>ethos</w:t>
      </w:r>
      <w:r>
        <w:rPr>
          <w:rFonts w:ascii="Times New Roman" w:hAnsi="Times New Roman" w:cs="Times New Roman"/>
        </w:rPr>
        <w:t>, cultivating public integrity, professional bureaucracy, and civic responsibility. As Chinua Achebe, observed, Nigeria’s problem is not the absence of knowledge but the failure of will. Leadership, in this sense, is both moral and institutional, the ability to embody principles that make institutions trustworthy.</w:t>
      </w:r>
    </w:p>
    <w:p w14:paraId="41F2BAAC">
      <w:pPr>
        <w:spacing w:after="0" w:line="480" w:lineRule="auto"/>
        <w:jc w:val="both"/>
        <w:rPr>
          <w:rFonts w:ascii="Times New Roman" w:hAnsi="Times New Roman" w:cs="Times New Roman"/>
        </w:rPr>
      </w:pPr>
      <w:r>
        <w:rPr>
          <w:rFonts w:ascii="Times New Roman" w:hAnsi="Times New Roman" w:cs="Times New Roman"/>
        </w:rPr>
        <w:t xml:space="preserve">In philosophical terms, Nigeria’s journey to political order is less about reaching “Denmark” and more about rediscovering the </w:t>
      </w:r>
      <w:r>
        <w:rPr>
          <w:rFonts w:ascii="Times New Roman" w:hAnsi="Times New Roman" w:cs="Times New Roman"/>
          <w:b/>
          <w:bCs/>
        </w:rPr>
        <w:t>moral logic of governance</w:t>
      </w:r>
      <w:r>
        <w:rPr>
          <w:rFonts w:ascii="Times New Roman" w:hAnsi="Times New Roman" w:cs="Times New Roman"/>
        </w:rPr>
        <w:t>: that power must serve justice, and justice must serve the people. African thinkers such as Kwasi Wiredu remind us that democracy need not mimic Western forms to be legitimate; it must resonate with the communal and ethical traditions of the people it governs</w:t>
      </w:r>
      <w:r>
        <w:rPr>
          <w:rStyle w:val="10"/>
          <w:rFonts w:ascii="Times New Roman" w:hAnsi="Times New Roman" w:cs="Times New Roman"/>
        </w:rPr>
        <w:footnoteReference w:id="144"/>
      </w:r>
      <w:r>
        <w:rPr>
          <w:rFonts w:ascii="Times New Roman" w:hAnsi="Times New Roman" w:cs="Times New Roman"/>
        </w:rPr>
        <w:t xml:space="preserve">. Nigeria’s future therefore lies in building institutions that are </w:t>
      </w:r>
      <w:r>
        <w:rPr>
          <w:rFonts w:ascii="Times New Roman" w:hAnsi="Times New Roman" w:cs="Times New Roman"/>
          <w:b/>
          <w:bCs/>
        </w:rPr>
        <w:t>modern in function but African in spirit</w:t>
      </w:r>
      <w:r>
        <w:rPr>
          <w:rFonts w:ascii="Times New Roman" w:hAnsi="Times New Roman" w:cs="Times New Roman"/>
        </w:rPr>
        <w:t xml:space="preserve"> rational, efficient, yet deeply rooted in moral responsibility and social trust.</w:t>
      </w:r>
    </w:p>
    <w:p w14:paraId="078D954C">
      <w:pPr>
        <w:spacing w:after="0" w:line="480" w:lineRule="auto"/>
        <w:jc w:val="both"/>
        <w:rPr>
          <w:rFonts w:ascii="Times New Roman" w:hAnsi="Times New Roman" w:cs="Times New Roman"/>
        </w:rPr>
      </w:pPr>
      <w:r>
        <w:rPr>
          <w:rFonts w:ascii="Times New Roman" w:hAnsi="Times New Roman" w:cs="Times New Roman"/>
        </w:rPr>
        <w:t xml:space="preserve">If “Denmark” stands for political maturity, then Nigeria’s “Denmark” will not be found abroad but within, in the moral reawakening of its leadership, the empowerment of its citizens, and the steady cultivation of institutions that make justice, honesty, and service the norms of governance. Political order is never a finished product; it is a continuous moral project. For Nigeria, that project begins when the state ceases to be an arena of competition for wealth and becomes once again </w:t>
      </w:r>
      <w:r>
        <w:rPr>
          <w:rFonts w:ascii="Times New Roman" w:hAnsi="Times New Roman" w:cs="Times New Roman"/>
          <w:b/>
          <w:bCs/>
        </w:rPr>
        <w:t>a community of shared responsibility</w:t>
      </w:r>
      <w:r>
        <w:rPr>
          <w:rFonts w:ascii="Times New Roman" w:hAnsi="Times New Roman" w:cs="Times New Roman"/>
        </w:rPr>
        <w:t>.</w:t>
      </w:r>
    </w:p>
    <w:p w14:paraId="0CB5531E">
      <w:pPr>
        <w:spacing w:after="0" w:line="480" w:lineRule="auto"/>
        <w:jc w:val="both"/>
        <w:rPr>
          <w:rFonts w:ascii="Times New Roman" w:hAnsi="Times New Roman" w:cs="Times New Roman"/>
        </w:rPr>
      </w:pPr>
    </w:p>
    <w:p w14:paraId="3CCAB6F8">
      <w:pPr>
        <w:spacing w:after="0" w:line="480" w:lineRule="auto"/>
        <w:jc w:val="both"/>
        <w:rPr>
          <w:rFonts w:ascii="Times New Roman" w:hAnsi="Times New Roman" w:cs="Times New Roman"/>
        </w:rPr>
      </w:pPr>
    </w:p>
    <w:p w14:paraId="7DF56AEE">
      <w:pPr>
        <w:jc w:val="both"/>
      </w:pPr>
    </w:p>
    <w:p w14:paraId="5EB7B64D">
      <w:pPr>
        <w:pStyle w:val="2"/>
        <w:jc w:val="both"/>
        <w:rPr>
          <w:rFonts w:ascii="Times New Roman" w:hAnsi="Times New Roman" w:cs="Times New Roman"/>
          <w:color w:val="auto"/>
          <w:sz w:val="28"/>
          <w:szCs w:val="28"/>
        </w:rPr>
      </w:pPr>
      <w:r>
        <w:rPr>
          <w:rStyle w:val="14"/>
          <w:b w:val="0"/>
          <w:bCs w:val="0"/>
        </w:rPr>
        <w:t xml:space="preserve">          </w:t>
      </w:r>
      <w:r>
        <w:rPr>
          <w:rStyle w:val="14"/>
          <w:rFonts w:ascii="Times New Roman" w:hAnsi="Times New Roman" w:cs="Times New Roman"/>
          <w:b w:val="0"/>
          <w:bCs w:val="0"/>
          <w:color w:val="auto"/>
          <w:sz w:val="28"/>
          <w:szCs w:val="28"/>
        </w:rPr>
        <w:t xml:space="preserve">BIBLIOGRAPHY </w:t>
      </w:r>
    </w:p>
    <w:p w14:paraId="48D98EED">
      <w:pPr>
        <w:pStyle w:val="13"/>
        <w:numPr>
          <w:ilvl w:val="0"/>
          <w:numId w:val="10"/>
        </w:numPr>
        <w:spacing w:line="480" w:lineRule="auto"/>
        <w:jc w:val="both"/>
      </w:pPr>
      <w:r>
        <w:rPr>
          <w:rStyle w:val="14"/>
        </w:rPr>
        <w:t>Acemoglu, Daron, Simon Johnson, and James A. Robinson.</w:t>
      </w:r>
      <w:r>
        <w:t xml:space="preserve"> </w:t>
      </w:r>
      <w:r>
        <w:rPr>
          <w:rStyle w:val="8"/>
        </w:rPr>
        <w:t>In Search of Prosperity: Analytic Narratives on Economic Growth.</w:t>
      </w:r>
      <w:r>
        <w:t xml:space="preserve"> Princeton: Princeton University Press, 2003.</w:t>
      </w:r>
    </w:p>
    <w:p w14:paraId="5D4CE39A">
      <w:pPr>
        <w:pStyle w:val="13"/>
        <w:numPr>
          <w:ilvl w:val="0"/>
          <w:numId w:val="10"/>
        </w:numPr>
        <w:spacing w:line="480" w:lineRule="auto"/>
        <w:jc w:val="both"/>
      </w:pPr>
      <w:r>
        <w:rPr>
          <w:rStyle w:val="14"/>
        </w:rPr>
        <w:t>Achebe, Chinua.</w:t>
      </w:r>
      <w:r>
        <w:t xml:space="preserve"> </w:t>
      </w:r>
      <w:r>
        <w:rPr>
          <w:rStyle w:val="8"/>
        </w:rPr>
        <w:t>The Trouble with Nigeria.</w:t>
      </w:r>
      <w:r>
        <w:t xml:space="preserve"> London: Heinemann, 1983.</w:t>
      </w:r>
    </w:p>
    <w:p w14:paraId="69C46C0D">
      <w:pPr>
        <w:pStyle w:val="13"/>
        <w:numPr>
          <w:ilvl w:val="0"/>
          <w:numId w:val="10"/>
        </w:numPr>
        <w:spacing w:line="480" w:lineRule="auto"/>
        <w:jc w:val="both"/>
      </w:pPr>
      <w:r>
        <w:rPr>
          <w:rStyle w:val="14"/>
        </w:rPr>
        <w:t>Afrobarometer.</w:t>
      </w:r>
      <w:r>
        <w:t xml:space="preserve"> </w:t>
      </w:r>
      <w:r>
        <w:rPr>
          <w:rStyle w:val="8"/>
        </w:rPr>
        <w:t>Nigeria Round 9 Survey Summary.</w:t>
      </w:r>
      <w:r>
        <w:t xml:space="preserve"> Accra, Ghana: Afrobarometer, 2023.</w:t>
      </w:r>
    </w:p>
    <w:p w14:paraId="2F721826">
      <w:pPr>
        <w:pStyle w:val="13"/>
        <w:numPr>
          <w:ilvl w:val="0"/>
          <w:numId w:val="10"/>
        </w:numPr>
        <w:spacing w:line="480" w:lineRule="auto"/>
        <w:jc w:val="both"/>
      </w:pPr>
      <w:r>
        <w:rPr>
          <w:rStyle w:val="14"/>
        </w:rPr>
        <w:t>Ake, Claude.</w:t>
      </w:r>
      <w:r>
        <w:t xml:space="preserve"> </w:t>
      </w:r>
      <w:r>
        <w:rPr>
          <w:rStyle w:val="8"/>
        </w:rPr>
        <w:t>Democracy and Development in Africa.</w:t>
      </w:r>
      <w:r>
        <w:t xml:space="preserve"> Washington, DC: Brookings Institution Press, 1996.</w:t>
      </w:r>
    </w:p>
    <w:p w14:paraId="47153316">
      <w:pPr>
        <w:pStyle w:val="13"/>
        <w:numPr>
          <w:ilvl w:val="0"/>
          <w:numId w:val="10"/>
        </w:numPr>
        <w:spacing w:line="480" w:lineRule="auto"/>
        <w:jc w:val="both"/>
      </w:pPr>
      <w:r>
        <w:rPr>
          <w:rStyle w:val="14"/>
        </w:rPr>
        <w:t>Almond, Gabriel, and Sidney Verba.</w:t>
      </w:r>
      <w:r>
        <w:t xml:space="preserve"> </w:t>
      </w:r>
      <w:r>
        <w:rPr>
          <w:rStyle w:val="8"/>
        </w:rPr>
        <w:t>The Civic Culture.</w:t>
      </w:r>
      <w:r>
        <w:t xml:space="preserve"> Princeton: Princeton University Press, 1963.</w:t>
      </w:r>
    </w:p>
    <w:p w14:paraId="13559F33">
      <w:pPr>
        <w:pStyle w:val="13"/>
        <w:numPr>
          <w:ilvl w:val="0"/>
          <w:numId w:val="10"/>
        </w:numPr>
        <w:spacing w:line="480" w:lineRule="auto"/>
        <w:jc w:val="both"/>
      </w:pPr>
      <w:r>
        <w:rPr>
          <w:rStyle w:val="14"/>
        </w:rPr>
        <w:t>Aristotle.</w:t>
      </w:r>
      <w:r>
        <w:t xml:space="preserve"> </w:t>
      </w:r>
      <w:r>
        <w:rPr>
          <w:rStyle w:val="8"/>
        </w:rPr>
        <w:t>Politics.</w:t>
      </w:r>
      <w:r>
        <w:t xml:space="preserve"> Translated by Benjamin Jowett. Oxford: Oxford University Press.</w:t>
      </w:r>
    </w:p>
    <w:p w14:paraId="56C91096">
      <w:pPr>
        <w:pStyle w:val="13"/>
        <w:numPr>
          <w:ilvl w:val="0"/>
          <w:numId w:val="10"/>
        </w:numPr>
        <w:spacing w:line="480" w:lineRule="auto"/>
        <w:jc w:val="both"/>
      </w:pPr>
      <w:r>
        <w:rPr>
          <w:rStyle w:val="14"/>
        </w:rPr>
        <w:t>Centre for Democracy and Development (CDD).</w:t>
      </w:r>
      <w:r>
        <w:t xml:space="preserve"> </w:t>
      </w:r>
      <w:r>
        <w:rPr>
          <w:rStyle w:val="8"/>
        </w:rPr>
        <w:t>Public Perception of the Judiciary in Nigeria.</w:t>
      </w:r>
      <w:r>
        <w:t xml:space="preserve"> Abuja: CDD, 2023.</w:t>
      </w:r>
    </w:p>
    <w:p w14:paraId="7A8E3902">
      <w:pPr>
        <w:pStyle w:val="13"/>
        <w:numPr>
          <w:ilvl w:val="0"/>
          <w:numId w:val="10"/>
        </w:numPr>
        <w:spacing w:line="480" w:lineRule="auto"/>
        <w:jc w:val="both"/>
      </w:pPr>
      <w:r>
        <w:rPr>
          <w:rStyle w:val="14"/>
        </w:rPr>
        <w:t>Chatham House.</w:t>
      </w:r>
      <w:r>
        <w:t xml:space="preserve"> “</w:t>
      </w:r>
      <w:r>
        <w:rPr>
          <w:rStyle w:val="8"/>
        </w:rPr>
        <w:t>Nigeria: Trust and Turnout Define 2023 Elections.</w:t>
      </w:r>
      <w:r>
        <w:t>” London: Chatham House, 2023.</w:t>
      </w:r>
    </w:p>
    <w:p w14:paraId="3D2DFEDB">
      <w:pPr>
        <w:pStyle w:val="13"/>
        <w:numPr>
          <w:ilvl w:val="0"/>
          <w:numId w:val="10"/>
        </w:numPr>
        <w:spacing w:line="480" w:lineRule="auto"/>
        <w:jc w:val="both"/>
      </w:pPr>
      <w:r>
        <w:rPr>
          <w:rStyle w:val="14"/>
        </w:rPr>
        <w:t>Chua, Beng Huat.</w:t>
      </w:r>
      <w:r>
        <w:t xml:space="preserve"> </w:t>
      </w:r>
      <w:r>
        <w:rPr>
          <w:rStyle w:val="8"/>
        </w:rPr>
        <w:t>Singapore as Model: Planning Innovations, Knowledge Experts.</w:t>
      </w:r>
      <w:r>
        <w:t xml:space="preserve"> Singapore: NUS Press, 2011.</w:t>
      </w:r>
    </w:p>
    <w:p w14:paraId="2896FE96">
      <w:pPr>
        <w:pStyle w:val="13"/>
        <w:numPr>
          <w:ilvl w:val="0"/>
          <w:numId w:val="10"/>
        </w:numPr>
        <w:spacing w:line="480" w:lineRule="auto"/>
        <w:jc w:val="both"/>
      </w:pPr>
      <w:r>
        <w:rPr>
          <w:rStyle w:val="14"/>
        </w:rPr>
        <w:t>Dataphyte.</w:t>
      </w:r>
      <w:r>
        <w:t xml:space="preserve"> “</w:t>
      </w:r>
      <w:r>
        <w:rPr>
          <w:rStyle w:val="8"/>
        </w:rPr>
        <w:t>Nigeria Records Only 26.72% Voter Turnout in 2023 Election.</w:t>
      </w:r>
      <w:r>
        <w:t>” Lagos: Dataphyte, 2023.</w:t>
      </w:r>
    </w:p>
    <w:p w14:paraId="43B190F7">
      <w:pPr>
        <w:pStyle w:val="13"/>
        <w:numPr>
          <w:ilvl w:val="0"/>
          <w:numId w:val="10"/>
        </w:numPr>
        <w:spacing w:line="480" w:lineRule="auto"/>
        <w:jc w:val="both"/>
      </w:pPr>
      <w:r>
        <w:rPr>
          <w:rStyle w:val="14"/>
        </w:rPr>
        <w:t>Dong Zhongshu.</w:t>
      </w:r>
      <w:r>
        <w:t xml:space="preserve"> </w:t>
      </w:r>
      <w:r>
        <w:rPr>
          <w:rStyle w:val="8"/>
        </w:rPr>
        <w:t>Chunqiu Fanlu (Luxuriant Dew of the Spring and Autumn Annals).</w:t>
      </w:r>
      <w:r>
        <w:t xml:space="preserve"> In </w:t>
      </w:r>
      <w:r>
        <w:rPr>
          <w:rStyle w:val="8"/>
        </w:rPr>
        <w:t>Sources of Chinese Tradition</w:t>
      </w:r>
      <w:r>
        <w:t>, edited by Wm. Theodore de Bary. New York: Columbia University Press, 1960.</w:t>
      </w:r>
    </w:p>
    <w:p w14:paraId="0E1330B8">
      <w:pPr>
        <w:pStyle w:val="13"/>
        <w:numPr>
          <w:ilvl w:val="0"/>
          <w:numId w:val="10"/>
        </w:numPr>
        <w:spacing w:line="480" w:lineRule="auto"/>
        <w:jc w:val="both"/>
      </w:pPr>
      <w:r>
        <w:rPr>
          <w:rStyle w:val="14"/>
        </w:rPr>
        <w:t>Fukuyama, Francis.</w:t>
      </w:r>
      <w:r>
        <w:t xml:space="preserve"> </w:t>
      </w:r>
      <w:r>
        <w:rPr>
          <w:rStyle w:val="8"/>
        </w:rPr>
        <w:t>The Origins of Political Order: From Prehuman Times to the French Revolution.</w:t>
      </w:r>
      <w:r>
        <w:t xml:space="preserve"> New York: Farrar, Straus and Giroux, 2011.</w:t>
      </w:r>
    </w:p>
    <w:p w14:paraId="1140C648">
      <w:pPr>
        <w:pStyle w:val="13"/>
        <w:numPr>
          <w:ilvl w:val="0"/>
          <w:numId w:val="10"/>
        </w:numPr>
        <w:spacing w:line="480" w:lineRule="auto"/>
        <w:jc w:val="both"/>
      </w:pPr>
      <w:r>
        <w:rPr>
          <w:rStyle w:val="14"/>
        </w:rPr>
        <w:t>Fukuyama, Francis.</w:t>
      </w:r>
      <w:r>
        <w:t xml:space="preserve"> </w:t>
      </w:r>
      <w:r>
        <w:rPr>
          <w:rStyle w:val="8"/>
        </w:rPr>
        <w:t>Political Order and Political Decay: From the Industrial Revolution to the Globalization of Democracy.</w:t>
      </w:r>
      <w:r>
        <w:t xml:space="preserve"> New York: Farrar, Straus and Giroux, 2014.</w:t>
      </w:r>
    </w:p>
    <w:p w14:paraId="7D037DE9">
      <w:pPr>
        <w:pStyle w:val="13"/>
        <w:numPr>
          <w:ilvl w:val="0"/>
          <w:numId w:val="10"/>
        </w:numPr>
        <w:spacing w:line="480" w:lineRule="auto"/>
        <w:jc w:val="both"/>
      </w:pPr>
      <w:r>
        <w:rPr>
          <w:rStyle w:val="14"/>
        </w:rPr>
        <w:t>Han Feizi.</w:t>
      </w:r>
      <w:r>
        <w:t xml:space="preserve"> </w:t>
      </w:r>
      <w:r>
        <w:rPr>
          <w:rStyle w:val="8"/>
        </w:rPr>
        <w:t>The Han Feizi.</w:t>
      </w:r>
      <w:r>
        <w:t xml:space="preserve"> Translated by Burton Watson. New York: Columbia University Press, 2003.</w:t>
      </w:r>
    </w:p>
    <w:p w14:paraId="0A0257F9">
      <w:pPr>
        <w:pStyle w:val="13"/>
        <w:numPr>
          <w:ilvl w:val="0"/>
          <w:numId w:val="10"/>
        </w:numPr>
        <w:spacing w:line="480" w:lineRule="auto"/>
        <w:jc w:val="both"/>
      </w:pPr>
      <w:r>
        <w:rPr>
          <w:rStyle w:val="14"/>
        </w:rPr>
        <w:t>Hegel, G. W. F.</w:t>
      </w:r>
      <w:r>
        <w:t xml:space="preserve"> </w:t>
      </w:r>
      <w:r>
        <w:rPr>
          <w:rStyle w:val="8"/>
        </w:rPr>
        <w:t>Elements of the Philosophy of Right.</w:t>
      </w:r>
      <w:r>
        <w:t xml:space="preserve"> (Standard translated edition.)</w:t>
      </w:r>
    </w:p>
    <w:p w14:paraId="16F5968B">
      <w:pPr>
        <w:pStyle w:val="13"/>
        <w:numPr>
          <w:ilvl w:val="0"/>
          <w:numId w:val="10"/>
        </w:numPr>
        <w:spacing w:line="480" w:lineRule="auto"/>
        <w:jc w:val="both"/>
      </w:pPr>
      <w:r>
        <w:rPr>
          <w:rStyle w:val="14"/>
        </w:rPr>
        <w:t>Hobbes, Thomas.</w:t>
      </w:r>
      <w:r>
        <w:t xml:space="preserve"> </w:t>
      </w:r>
      <w:r>
        <w:rPr>
          <w:rStyle w:val="8"/>
        </w:rPr>
        <w:t>Leviathan.</w:t>
      </w:r>
      <w:r>
        <w:t xml:space="preserve"> Edited by Richard Tuck. Cambridge: Cambridge University Press, 1996 [1651].</w:t>
      </w:r>
    </w:p>
    <w:p w14:paraId="669D16FB">
      <w:pPr>
        <w:pStyle w:val="13"/>
        <w:numPr>
          <w:ilvl w:val="0"/>
          <w:numId w:val="10"/>
        </w:numPr>
        <w:spacing w:line="480" w:lineRule="auto"/>
        <w:jc w:val="both"/>
      </w:pPr>
      <w:r>
        <w:rPr>
          <w:rStyle w:val="14"/>
        </w:rPr>
        <w:t>Huntington, Samuel P.</w:t>
      </w:r>
      <w:r>
        <w:t xml:space="preserve"> </w:t>
      </w:r>
      <w:r>
        <w:rPr>
          <w:rStyle w:val="8"/>
        </w:rPr>
        <w:t>Political Order in Changing Societies.</w:t>
      </w:r>
      <w:r>
        <w:t xml:space="preserve"> New Haven: Yale University Press, 1968.</w:t>
      </w:r>
    </w:p>
    <w:p w14:paraId="338775C6">
      <w:pPr>
        <w:pStyle w:val="13"/>
        <w:numPr>
          <w:ilvl w:val="0"/>
          <w:numId w:val="10"/>
        </w:numPr>
        <w:spacing w:line="480" w:lineRule="auto"/>
        <w:jc w:val="both"/>
      </w:pPr>
      <w:r>
        <w:rPr>
          <w:rStyle w:val="14"/>
        </w:rPr>
        <w:t>IMF (International Monetary Fund).</w:t>
      </w:r>
      <w:r>
        <w:t xml:space="preserve"> </w:t>
      </w:r>
      <w:r>
        <w:rPr>
          <w:rStyle w:val="8"/>
        </w:rPr>
        <w:t>Rwanda Country Report 2023.</w:t>
      </w:r>
      <w:r>
        <w:t xml:space="preserve"> Washington, DC: IMF, 2023.</w:t>
      </w:r>
    </w:p>
    <w:p w14:paraId="6EBDF78E">
      <w:pPr>
        <w:pStyle w:val="13"/>
        <w:numPr>
          <w:ilvl w:val="0"/>
          <w:numId w:val="10"/>
        </w:numPr>
        <w:spacing w:line="480" w:lineRule="auto"/>
        <w:jc w:val="both"/>
      </w:pPr>
      <w:r>
        <w:rPr>
          <w:rStyle w:val="14"/>
        </w:rPr>
        <w:t>Joseph, Richard.</w:t>
      </w:r>
      <w:r>
        <w:t xml:space="preserve"> </w:t>
      </w:r>
      <w:r>
        <w:rPr>
          <w:rStyle w:val="8"/>
        </w:rPr>
        <w:t>Democracy and Prebendal Politics in Nigeria.</w:t>
      </w:r>
      <w:r>
        <w:t xml:space="preserve"> Cambridge: Cambridge University Press, 1987.</w:t>
      </w:r>
    </w:p>
    <w:p w14:paraId="08CEFF7F">
      <w:pPr>
        <w:pStyle w:val="13"/>
        <w:numPr>
          <w:ilvl w:val="0"/>
          <w:numId w:val="10"/>
        </w:numPr>
        <w:spacing w:line="480" w:lineRule="auto"/>
        <w:jc w:val="both"/>
      </w:pPr>
      <w:r>
        <w:rPr>
          <w:rStyle w:val="14"/>
        </w:rPr>
        <w:t>Kautilya.</w:t>
      </w:r>
      <w:r>
        <w:t xml:space="preserve"> </w:t>
      </w:r>
      <w:r>
        <w:rPr>
          <w:rStyle w:val="8"/>
        </w:rPr>
        <w:t>The Arthashastra.</w:t>
      </w:r>
      <w:r>
        <w:t xml:space="preserve"> Translated by L. N. Rangarajan. New Delhi: Penguin Classics, 1992.</w:t>
      </w:r>
    </w:p>
    <w:p w14:paraId="082C56D3">
      <w:pPr>
        <w:pStyle w:val="13"/>
        <w:numPr>
          <w:ilvl w:val="0"/>
          <w:numId w:val="10"/>
        </w:numPr>
        <w:spacing w:line="480" w:lineRule="auto"/>
        <w:jc w:val="both"/>
      </w:pPr>
      <w:r>
        <w:rPr>
          <w:rStyle w:val="14"/>
        </w:rPr>
        <w:t>Locke, John.</w:t>
      </w:r>
      <w:r>
        <w:t xml:space="preserve"> </w:t>
      </w:r>
      <w:r>
        <w:rPr>
          <w:rStyle w:val="8"/>
        </w:rPr>
        <w:t>Second Treatise of Government.</w:t>
      </w:r>
      <w:r>
        <w:t xml:space="preserve"> Edited by C. B. Macpherson. Indianapolis: Hackett Publishing, 1980 [1689].</w:t>
      </w:r>
    </w:p>
    <w:p w14:paraId="280B8C29">
      <w:pPr>
        <w:pStyle w:val="13"/>
        <w:numPr>
          <w:ilvl w:val="0"/>
          <w:numId w:val="10"/>
        </w:numPr>
        <w:spacing w:line="480" w:lineRule="auto"/>
        <w:jc w:val="both"/>
      </w:pPr>
      <w:r>
        <w:rPr>
          <w:rStyle w:val="14"/>
        </w:rPr>
        <w:t>National Bureau of Statistics (NBS), Nigeria.</w:t>
      </w:r>
      <w:r>
        <w:t xml:space="preserve"> </w:t>
      </w:r>
      <w:r>
        <w:rPr>
          <w:rStyle w:val="8"/>
        </w:rPr>
        <w:t>Labour Force Statistics Q1 2023.</w:t>
      </w:r>
      <w:r>
        <w:t xml:space="preserve"> Abuja: NBS, 2023.</w:t>
      </w:r>
    </w:p>
    <w:p w14:paraId="5E0CBA83">
      <w:pPr>
        <w:pStyle w:val="13"/>
        <w:numPr>
          <w:ilvl w:val="0"/>
          <w:numId w:val="10"/>
        </w:numPr>
        <w:spacing w:line="480" w:lineRule="auto"/>
        <w:jc w:val="both"/>
      </w:pPr>
      <w:r>
        <w:rPr>
          <w:rStyle w:val="14"/>
        </w:rPr>
        <w:t>OECD (Organisation for Economic Co-operation and Development).</w:t>
      </w:r>
      <w:r>
        <w:t xml:space="preserve"> </w:t>
      </w:r>
      <w:r>
        <w:rPr>
          <w:rStyle w:val="8"/>
        </w:rPr>
        <w:t>Revenue Statistics in Africa 2024: Nigeria.</w:t>
      </w:r>
      <w:r>
        <w:t xml:space="preserve"> Paris: OECD, 2024.</w:t>
      </w:r>
    </w:p>
    <w:p w14:paraId="295C2795">
      <w:pPr>
        <w:pStyle w:val="13"/>
        <w:numPr>
          <w:ilvl w:val="0"/>
          <w:numId w:val="10"/>
        </w:numPr>
        <w:spacing w:line="480" w:lineRule="auto"/>
        <w:jc w:val="both"/>
      </w:pPr>
      <w:r>
        <w:rPr>
          <w:rStyle w:val="14"/>
        </w:rPr>
        <w:t>Oluwakayode, Ayo.</w:t>
      </w:r>
      <w:r>
        <w:t xml:space="preserve"> </w:t>
      </w:r>
      <w:r>
        <w:rPr>
          <w:rStyle w:val="8"/>
        </w:rPr>
        <w:t>The Judiciary and the Nigerian State.</w:t>
      </w:r>
      <w:r>
        <w:t xml:space="preserve"> Lagos: Lagos University Press, 2021.</w:t>
      </w:r>
    </w:p>
    <w:p w14:paraId="4F67397F">
      <w:pPr>
        <w:pStyle w:val="13"/>
        <w:numPr>
          <w:ilvl w:val="0"/>
          <w:numId w:val="10"/>
        </w:numPr>
        <w:spacing w:line="480" w:lineRule="auto"/>
        <w:jc w:val="both"/>
      </w:pPr>
      <w:r>
        <w:rPr>
          <w:rStyle w:val="14"/>
        </w:rPr>
        <w:t>Rotberg, Robert I.</w:t>
      </w:r>
      <w:r>
        <w:t xml:space="preserve"> </w:t>
      </w:r>
      <w:r>
        <w:rPr>
          <w:rStyle w:val="8"/>
        </w:rPr>
        <w:t>Good Governance in the 21st Century.</w:t>
      </w:r>
      <w:r>
        <w:t xml:space="preserve"> London: Routledge, 2014.</w:t>
      </w:r>
    </w:p>
    <w:p w14:paraId="4615AA15">
      <w:pPr>
        <w:pStyle w:val="13"/>
        <w:numPr>
          <w:ilvl w:val="0"/>
          <w:numId w:val="10"/>
        </w:numPr>
        <w:spacing w:line="480" w:lineRule="auto"/>
        <w:jc w:val="both"/>
      </w:pPr>
      <w:r>
        <w:rPr>
          <w:rStyle w:val="14"/>
        </w:rPr>
        <w:t>Rothstein, Bo.</w:t>
      </w:r>
      <w:r>
        <w:t xml:space="preserve"> </w:t>
      </w:r>
      <w:r>
        <w:rPr>
          <w:rStyle w:val="8"/>
        </w:rPr>
        <w:t>The Quality of Government.</w:t>
      </w:r>
      <w:r>
        <w:t xml:space="preserve"> Chicago: University of Chicago Press, 2011.</w:t>
      </w:r>
    </w:p>
    <w:p w14:paraId="482AC584">
      <w:pPr>
        <w:pStyle w:val="13"/>
        <w:numPr>
          <w:ilvl w:val="0"/>
          <w:numId w:val="10"/>
        </w:numPr>
        <w:spacing w:line="480" w:lineRule="auto"/>
        <w:jc w:val="both"/>
      </w:pPr>
      <w:r>
        <w:rPr>
          <w:rStyle w:val="14"/>
        </w:rPr>
        <w:t>Rousseau, Jean-Jacques.</w:t>
      </w:r>
      <w:r>
        <w:t xml:space="preserve"> </w:t>
      </w:r>
      <w:r>
        <w:rPr>
          <w:rStyle w:val="8"/>
        </w:rPr>
        <w:t>Discourse on the Origin and Foundations of Inequality Among Men.</w:t>
      </w:r>
      <w:r>
        <w:t xml:space="preserve"> Translated by Donald A. Cress. Oxford: Oxford University Press, 1994 [1755].</w:t>
      </w:r>
    </w:p>
    <w:p w14:paraId="2BE82349">
      <w:pPr>
        <w:pStyle w:val="13"/>
        <w:numPr>
          <w:ilvl w:val="0"/>
          <w:numId w:val="10"/>
        </w:numPr>
        <w:spacing w:line="480" w:lineRule="auto"/>
        <w:jc w:val="both"/>
      </w:pPr>
      <w:r>
        <w:rPr>
          <w:rStyle w:val="14"/>
        </w:rPr>
        <w:t>Tilly, Charles.</w:t>
      </w:r>
      <w:r>
        <w:t xml:space="preserve"> </w:t>
      </w:r>
      <w:r>
        <w:rPr>
          <w:rStyle w:val="8"/>
        </w:rPr>
        <w:t>Coercion, Capital, and European States, AD 990–1990.</w:t>
      </w:r>
      <w:r>
        <w:t xml:space="preserve"> Cambridge, MA: Basil Blackwell, 1990.</w:t>
      </w:r>
    </w:p>
    <w:p w14:paraId="039E6231">
      <w:pPr>
        <w:pStyle w:val="13"/>
        <w:numPr>
          <w:ilvl w:val="0"/>
          <w:numId w:val="10"/>
        </w:numPr>
        <w:spacing w:line="480" w:lineRule="auto"/>
        <w:jc w:val="both"/>
      </w:pPr>
      <w:r>
        <w:rPr>
          <w:rStyle w:val="14"/>
        </w:rPr>
        <w:t>Transparency International.</w:t>
      </w:r>
      <w:r>
        <w:t xml:space="preserve"> </w:t>
      </w:r>
      <w:r>
        <w:rPr>
          <w:rStyle w:val="8"/>
        </w:rPr>
        <w:t>Corruption Perceptions Index 2023.</w:t>
      </w:r>
      <w:r>
        <w:t xml:space="preserve"> Berlin: Transparency International, 2023.</w:t>
      </w:r>
    </w:p>
    <w:p w14:paraId="6E29ADE4">
      <w:pPr>
        <w:pStyle w:val="13"/>
        <w:numPr>
          <w:ilvl w:val="0"/>
          <w:numId w:val="10"/>
        </w:numPr>
        <w:spacing w:line="480" w:lineRule="auto"/>
        <w:jc w:val="both"/>
      </w:pPr>
      <w:r>
        <w:rPr>
          <w:rStyle w:val="14"/>
        </w:rPr>
        <w:t>Weber, Max.</w:t>
      </w:r>
      <w:r>
        <w:t xml:space="preserve"> </w:t>
      </w:r>
      <w:r>
        <w:rPr>
          <w:rStyle w:val="8"/>
        </w:rPr>
        <w:t>Economy and Society: An Outline of Interpretive Sociology.</w:t>
      </w:r>
      <w:r>
        <w:t xml:space="preserve"> Berkeley: University of California Press, 1978.</w:t>
      </w:r>
    </w:p>
    <w:p w14:paraId="5000F797">
      <w:pPr>
        <w:pStyle w:val="13"/>
        <w:numPr>
          <w:ilvl w:val="0"/>
          <w:numId w:val="10"/>
        </w:numPr>
        <w:spacing w:line="480" w:lineRule="auto"/>
        <w:jc w:val="both"/>
      </w:pPr>
      <w:r>
        <w:rPr>
          <w:rStyle w:val="14"/>
        </w:rPr>
        <w:t>Weber, Max.</w:t>
      </w:r>
      <w:r>
        <w:t xml:space="preserve"> </w:t>
      </w:r>
      <w:r>
        <w:rPr>
          <w:rStyle w:val="8"/>
        </w:rPr>
        <w:t>The Protestant Ethic and the Spirit of Capitalism.</w:t>
      </w:r>
      <w:r>
        <w:t xml:space="preserve"> New York: Charles Scribner’s Sons, 1958.</w:t>
      </w:r>
    </w:p>
    <w:p w14:paraId="50274E1F">
      <w:pPr>
        <w:pStyle w:val="13"/>
        <w:numPr>
          <w:ilvl w:val="0"/>
          <w:numId w:val="10"/>
        </w:numPr>
        <w:spacing w:line="480" w:lineRule="auto"/>
        <w:jc w:val="both"/>
      </w:pPr>
      <w:r>
        <w:rPr>
          <w:rStyle w:val="14"/>
        </w:rPr>
        <w:t>Weber, Max.</w:t>
      </w:r>
      <w:r>
        <w:t xml:space="preserve"> </w:t>
      </w:r>
      <w:r>
        <w:rPr>
          <w:rStyle w:val="8"/>
        </w:rPr>
        <w:t>The Religion of India: The Sociology of Hinduism and Buddhism.</w:t>
      </w:r>
      <w:r>
        <w:t xml:space="preserve"> Glencoe, IL: Free Press, 1958.</w:t>
      </w:r>
    </w:p>
    <w:p w14:paraId="0EECD52E">
      <w:pPr>
        <w:pStyle w:val="13"/>
        <w:numPr>
          <w:ilvl w:val="0"/>
          <w:numId w:val="10"/>
        </w:numPr>
        <w:spacing w:line="480" w:lineRule="auto"/>
        <w:jc w:val="both"/>
      </w:pPr>
      <w:r>
        <w:rPr>
          <w:rStyle w:val="14"/>
        </w:rPr>
        <w:t>Woo-Cumings, Meredith.</w:t>
      </w:r>
      <w:r>
        <w:t xml:space="preserve"> </w:t>
      </w:r>
      <w:r>
        <w:rPr>
          <w:rStyle w:val="8"/>
        </w:rPr>
        <w:t>The Developmental State.</w:t>
      </w:r>
      <w:r>
        <w:t xml:space="preserve"> Ithaca: Cornell University Press, 1999.</w:t>
      </w:r>
    </w:p>
    <w:p w14:paraId="2EBAF7FD">
      <w:pPr>
        <w:pStyle w:val="13"/>
        <w:numPr>
          <w:ilvl w:val="0"/>
          <w:numId w:val="10"/>
        </w:numPr>
        <w:spacing w:line="480" w:lineRule="auto"/>
        <w:jc w:val="both"/>
      </w:pPr>
      <w:r>
        <w:rPr>
          <w:rStyle w:val="14"/>
        </w:rPr>
        <w:t>World Bank.</w:t>
      </w:r>
      <w:r>
        <w:t xml:space="preserve"> </w:t>
      </w:r>
      <w:r>
        <w:rPr>
          <w:rStyle w:val="8"/>
        </w:rPr>
        <w:t>Nigeria Development Update 2023: Turning the Corner.</w:t>
      </w:r>
      <w:r>
        <w:t xml:space="preserve"> Washington, DC: World Bank, 2023.</w:t>
      </w:r>
    </w:p>
    <w:p w14:paraId="55C87A2D">
      <w:pPr>
        <w:pStyle w:val="13"/>
        <w:numPr>
          <w:ilvl w:val="0"/>
          <w:numId w:val="10"/>
        </w:numPr>
        <w:spacing w:line="480" w:lineRule="auto"/>
        <w:jc w:val="both"/>
      </w:pPr>
      <w:r>
        <w:rPr>
          <w:rStyle w:val="14"/>
        </w:rPr>
        <w:t>World Inequality Database (WID).</w:t>
      </w:r>
      <w:r>
        <w:t xml:space="preserve"> </w:t>
      </w:r>
      <w:r>
        <w:rPr>
          <w:rStyle w:val="8"/>
        </w:rPr>
        <w:t>Nigeria Country Report 2023.</w:t>
      </w:r>
      <w:r>
        <w:t xml:space="preserve"> Paris: WID, 2023.</w:t>
      </w:r>
    </w:p>
    <w:p w14:paraId="67B818A6">
      <w:pPr>
        <w:spacing w:line="480" w:lineRule="auto"/>
        <w:jc w:val="both"/>
        <w:rPr>
          <w:rFonts w:ascii="Times New Roman" w:hAnsi="Times New Roman" w:cs="Times New Roman"/>
          <w:sz w:val="24"/>
          <w:szCs w:val="24"/>
        </w:rPr>
      </w:pP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90">
    <w:p>
      <w:pPr>
        <w:spacing w:before="0" w:after="0" w:line="259" w:lineRule="auto"/>
      </w:pPr>
      <w:r>
        <w:separator/>
      </w:r>
    </w:p>
  </w:footnote>
  <w:footnote w:type="continuationSeparator" w:id="291">
    <w:p>
      <w:pPr>
        <w:spacing w:before="0" w:after="0" w:line="259" w:lineRule="auto"/>
      </w:pPr>
      <w:r>
        <w:continuationSeparator/>
      </w:r>
    </w:p>
  </w:footnote>
  <w:footnote w:id="0">
    <w:p w14:paraId="5FE33958">
      <w:pPr>
        <w:pStyle w:val="11"/>
        <w:ind w:firstLine="720" w:firstLineChars="0"/>
      </w:pPr>
      <w:r>
        <w:rPr>
          <w:rStyle w:val="10"/>
        </w:rPr>
        <w:footnoteRef/>
      </w:r>
      <w:r>
        <w:t xml:space="preserve"> </w:t>
      </w:r>
      <w:r>
        <w:rPr>
          <w:rFonts w:ascii="Times New Roman" w:hAnsi="Times New Roman" w:eastAsia="Times New Roman" w:cs="Times New Roman"/>
          <w:sz w:val="18"/>
          <w:szCs w:val="18"/>
        </w:rPr>
        <w:t xml:space="preserve">Francis Fukuyama, </w:t>
      </w:r>
      <w:r>
        <w:rPr>
          <w:rFonts w:ascii="Times New Roman" w:hAnsi="Times New Roman" w:eastAsia="Times New Roman" w:cs="Times New Roman"/>
          <w:i/>
          <w:iCs/>
          <w:sz w:val="18"/>
          <w:szCs w:val="18"/>
        </w:rPr>
        <w:t>The Origins of Political Order</w:t>
      </w:r>
      <w:r>
        <w:rPr>
          <w:rFonts w:ascii="Times New Roman" w:hAnsi="Times New Roman" w:eastAsia="Times New Roman" w:cs="Times New Roman"/>
          <w:sz w:val="18"/>
          <w:szCs w:val="18"/>
        </w:rPr>
        <w:t xml:space="preserve"> (New York: Farrar, Straus and Giroux, 2011), p. 7.</w:t>
      </w:r>
    </w:p>
  </w:footnote>
  <w:footnote w:id="1">
    <w:p w14:paraId="1A76D7D7">
      <w:pPr>
        <w:pStyle w:val="11"/>
        <w:ind w:firstLine="720" w:firstLineChars="0"/>
      </w:pPr>
      <w:r>
        <w:rPr>
          <w:rStyle w:val="10"/>
        </w:rPr>
        <w:footnoteRef/>
      </w:r>
      <w:r>
        <w:t xml:space="preserve"> </w:t>
      </w:r>
      <w:r>
        <w:rPr>
          <w:rFonts w:ascii="Times New Roman" w:hAnsi="Times New Roman" w:eastAsia="Times New Roman" w:cs="Times New Roman"/>
          <w:sz w:val="18"/>
          <w:szCs w:val="18"/>
        </w:rPr>
        <w:t>Ibid., p. 11.</w:t>
      </w:r>
    </w:p>
  </w:footnote>
  <w:footnote w:id="2">
    <w:p w14:paraId="1BA86107">
      <w:pPr>
        <w:pStyle w:val="11"/>
        <w:ind w:firstLine="720" w:firstLineChars="0"/>
      </w:pPr>
      <w:r>
        <w:rPr>
          <w:rStyle w:val="10"/>
        </w:rPr>
        <w:footnoteRef/>
      </w:r>
      <w:r>
        <w:t xml:space="preserve"> </w:t>
      </w:r>
      <w:r>
        <w:rPr>
          <w:rFonts w:ascii="Times New Roman" w:hAnsi="Times New Roman" w:eastAsia="Times New Roman" w:cs="Times New Roman"/>
          <w:sz w:val="18"/>
          <w:szCs w:val="18"/>
        </w:rPr>
        <w:t xml:space="preserve">Samuel P. Huntington, </w:t>
      </w:r>
      <w:r>
        <w:rPr>
          <w:rFonts w:ascii="Times New Roman" w:hAnsi="Times New Roman" w:eastAsia="Times New Roman" w:cs="Times New Roman"/>
          <w:i/>
          <w:iCs/>
          <w:sz w:val="18"/>
          <w:szCs w:val="18"/>
        </w:rPr>
        <w:t>Political Order in Changing Societies</w:t>
      </w:r>
      <w:r>
        <w:rPr>
          <w:rFonts w:ascii="Times New Roman" w:hAnsi="Times New Roman" w:eastAsia="Times New Roman" w:cs="Times New Roman"/>
          <w:sz w:val="18"/>
          <w:szCs w:val="18"/>
        </w:rPr>
        <w:t xml:space="preserve"> (New Haven: Yale University Press, 1968), p. 3.</w:t>
      </w:r>
    </w:p>
  </w:footnote>
  <w:footnote w:id="3">
    <w:p w14:paraId="008F2FEB">
      <w:pPr>
        <w:pStyle w:val="11"/>
        <w:ind w:firstLine="720" w:firstLineChars="0"/>
      </w:pPr>
      <w:r>
        <w:rPr>
          <w:rStyle w:val="10"/>
        </w:rPr>
        <w:footnoteRef/>
      </w:r>
      <w:r>
        <w:t xml:space="preserve"> </w:t>
      </w:r>
      <w:r>
        <w:rPr>
          <w:rFonts w:ascii="Times New Roman" w:hAnsi="Times New Roman" w:eastAsia="Times New Roman" w:cs="Times New Roman"/>
          <w:sz w:val="18"/>
          <w:szCs w:val="18"/>
        </w:rPr>
        <w:t xml:space="preserve">Douglass C. North, </w:t>
      </w:r>
      <w:r>
        <w:rPr>
          <w:rFonts w:ascii="Times New Roman" w:hAnsi="Times New Roman" w:eastAsia="Times New Roman" w:cs="Times New Roman"/>
          <w:i/>
          <w:iCs/>
          <w:sz w:val="18"/>
          <w:szCs w:val="18"/>
        </w:rPr>
        <w:t>Institutions, Institutional Change and Economic Performance</w:t>
      </w:r>
      <w:r>
        <w:rPr>
          <w:rFonts w:ascii="Times New Roman" w:hAnsi="Times New Roman" w:eastAsia="Times New Roman" w:cs="Times New Roman"/>
          <w:sz w:val="18"/>
          <w:szCs w:val="18"/>
        </w:rPr>
        <w:t xml:space="preserve"> (Cambridge: Cambridge University Press, 1990), p. 44.</w:t>
      </w:r>
      <w:r>
        <w:rPr>
          <w:rFonts w:ascii="Times New Roman" w:hAnsi="Times New Roman" w:eastAsia="Times New Roman" w:cs="Times New Roman"/>
          <w:sz w:val="18"/>
          <w:szCs w:val="18"/>
        </w:rPr>
        <w:br w:type="textWrapping"/>
      </w:r>
    </w:p>
  </w:footnote>
  <w:footnote w:id="4">
    <w:p w14:paraId="13816645">
      <w:pPr>
        <w:pStyle w:val="11"/>
        <w:ind w:firstLine="720" w:firstLineChars="0"/>
      </w:pPr>
      <w:r>
        <w:rPr>
          <w:rStyle w:val="10"/>
        </w:rPr>
        <w:footnoteRef/>
      </w:r>
      <w:r>
        <w:t xml:space="preserve"> </w:t>
      </w:r>
      <w:r>
        <w:rPr>
          <w:rFonts w:ascii="Times New Roman" w:hAnsi="Times New Roman" w:eastAsia="Times New Roman" w:cs="Times New Roman"/>
          <w:sz w:val="18"/>
          <w:szCs w:val="18"/>
        </w:rPr>
        <w:t xml:space="preserve">Fukuyama, </w:t>
      </w:r>
      <w:r>
        <w:rPr>
          <w:rFonts w:ascii="Times New Roman" w:hAnsi="Times New Roman" w:eastAsia="Times New Roman" w:cs="Times New Roman"/>
          <w:i/>
          <w:iCs/>
          <w:sz w:val="18"/>
          <w:szCs w:val="18"/>
        </w:rPr>
        <w:t>Origins</w:t>
      </w:r>
      <w:r>
        <w:rPr>
          <w:rFonts w:ascii="Times New Roman" w:hAnsi="Times New Roman" w:eastAsia="Times New Roman" w:cs="Times New Roman"/>
          <w:sz w:val="18"/>
          <w:szCs w:val="18"/>
        </w:rPr>
        <w:t>, p. 110.</w:t>
      </w:r>
    </w:p>
  </w:footnote>
  <w:footnote w:id="5">
    <w:p w14:paraId="6F0C6D75">
      <w:pPr>
        <w:pStyle w:val="11"/>
        <w:ind w:firstLine="720" w:firstLineChars="0"/>
      </w:pPr>
      <w:r>
        <w:rPr>
          <w:rStyle w:val="10"/>
        </w:rPr>
        <w:footnoteRef/>
      </w:r>
      <w:r>
        <w:t xml:space="preserve"> </w:t>
      </w:r>
      <w:r>
        <w:rPr>
          <w:rFonts w:ascii="Times New Roman" w:hAnsi="Times New Roman" w:eastAsia="Times New Roman" w:cs="Times New Roman"/>
          <w:sz w:val="18"/>
          <w:szCs w:val="18"/>
        </w:rPr>
        <w:t>Ibid., p. 240.</w:t>
      </w:r>
    </w:p>
  </w:footnote>
  <w:footnote w:id="6">
    <w:p w14:paraId="70E431F0">
      <w:pPr>
        <w:pStyle w:val="11"/>
        <w:ind w:firstLine="720" w:firstLineChars="0"/>
      </w:pPr>
      <w:r>
        <w:rPr>
          <w:rStyle w:val="10"/>
        </w:rPr>
        <w:footnoteRef/>
      </w:r>
      <w:r>
        <w:t xml:space="preserve"> </w:t>
      </w:r>
      <w:r>
        <w:rPr>
          <w:rFonts w:ascii="Times New Roman" w:hAnsi="Times New Roman" w:eastAsia="Times New Roman" w:cs="Times New Roman"/>
          <w:sz w:val="18"/>
          <w:szCs w:val="18"/>
        </w:rPr>
        <w:t>Ibid., p. 258.</w:t>
      </w:r>
      <w:r>
        <w:rPr>
          <w:rFonts w:ascii="Times New Roman" w:hAnsi="Times New Roman" w:eastAsia="Times New Roman" w:cs="Times New Roman"/>
          <w:sz w:val="18"/>
          <w:szCs w:val="18"/>
        </w:rPr>
        <w:br w:type="textWrapping"/>
      </w:r>
    </w:p>
  </w:footnote>
  <w:footnote w:id="7">
    <w:p w14:paraId="71B1A054">
      <w:pPr>
        <w:pStyle w:val="11"/>
        <w:ind w:firstLine="720" w:firstLineChars="0"/>
      </w:pPr>
      <w:r>
        <w:rPr>
          <w:rStyle w:val="10"/>
        </w:rPr>
        <w:footnoteRef/>
      </w:r>
      <w:r>
        <w:t xml:space="preserve"> </w:t>
      </w:r>
      <w:r>
        <w:rPr>
          <w:rFonts w:ascii="Times New Roman" w:hAnsi="Times New Roman" w:eastAsia="Times New Roman" w:cs="Times New Roman"/>
          <w:sz w:val="18"/>
          <w:szCs w:val="18"/>
        </w:rPr>
        <w:t>Ibid., p. 22.</w:t>
      </w:r>
    </w:p>
  </w:footnote>
  <w:footnote w:id="8">
    <w:p w14:paraId="5A0F9453">
      <w:pPr>
        <w:pStyle w:val="11"/>
        <w:ind w:firstLine="720" w:firstLineChars="0"/>
      </w:pPr>
      <w:r>
        <w:rPr>
          <w:rStyle w:val="10"/>
        </w:rPr>
        <w:footnoteRef/>
      </w:r>
      <w:r>
        <w:t xml:space="preserve"> </w:t>
      </w:r>
      <w:r>
        <w:rPr>
          <w:rFonts w:ascii="Times New Roman" w:hAnsi="Times New Roman" w:eastAsia="Times New Roman" w:cs="Times New Roman"/>
          <w:sz w:val="18"/>
          <w:szCs w:val="18"/>
        </w:rPr>
        <w:t>Ibid., p. 270.</w:t>
      </w:r>
      <w:r>
        <w:rPr>
          <w:rFonts w:ascii="Times New Roman" w:hAnsi="Times New Roman" w:eastAsia="Times New Roman" w:cs="Times New Roman"/>
          <w:sz w:val="18"/>
          <w:szCs w:val="18"/>
        </w:rPr>
        <w:br w:type="textWrapping"/>
      </w:r>
    </w:p>
  </w:footnote>
  <w:footnote w:id="9">
    <w:p w14:paraId="1544CB15">
      <w:pPr>
        <w:pStyle w:val="11"/>
        <w:ind w:firstLine="720" w:firstLineChars="0"/>
      </w:pPr>
      <w:r>
        <w:rPr>
          <w:rStyle w:val="10"/>
        </w:rPr>
        <w:footnoteRef/>
      </w:r>
      <w:r>
        <w:t xml:space="preserve"> </w:t>
      </w:r>
      <w:r>
        <w:rPr>
          <w:rFonts w:ascii="Times New Roman" w:hAnsi="Times New Roman" w:eastAsia="Times New Roman" w:cs="Times New Roman"/>
          <w:sz w:val="18"/>
          <w:szCs w:val="18"/>
        </w:rPr>
        <w:t>Ibid., p. 272.</w:t>
      </w:r>
    </w:p>
  </w:footnote>
  <w:footnote w:id="10">
    <w:p w14:paraId="74B03CFD">
      <w:pPr>
        <w:spacing w:before="100" w:beforeAutospacing="1" w:after="100" w:afterAutospacing="1" w:line="480" w:lineRule="auto"/>
        <w:ind w:firstLine="720" w:firstLineChars="0"/>
        <w:rPr>
          <w:rFonts w:ascii="Times New Roman" w:hAnsi="Times New Roman" w:eastAsia="Times New Roman" w:cs="Times New Roman"/>
          <w:sz w:val="24"/>
          <w:szCs w:val="24"/>
        </w:rPr>
      </w:pPr>
      <w:r>
        <w:rPr>
          <w:rStyle w:val="10"/>
        </w:rPr>
        <w:footnoteRef/>
      </w:r>
      <w:r>
        <w:t xml:space="preserve"> </w:t>
      </w:r>
      <w:r>
        <w:rPr>
          <w:rFonts w:ascii="Times New Roman" w:hAnsi="Times New Roman" w:eastAsia="Times New Roman" w:cs="Times New Roman"/>
          <w:sz w:val="18"/>
          <w:szCs w:val="18"/>
        </w:rPr>
        <w:t>Ibid., p.</w:t>
      </w:r>
      <w:r>
        <w:rPr>
          <w:rFonts w:ascii="Times New Roman" w:hAnsi="Times New Roman" w:eastAsia="Times New Roman" w:cs="Times New Roman"/>
          <w:sz w:val="24"/>
          <w:szCs w:val="24"/>
        </w:rPr>
        <w:t xml:space="preserve"> 273.</w:t>
      </w:r>
    </w:p>
    <w:p w14:paraId="188B8657">
      <w:pPr>
        <w:pStyle w:val="11"/>
        <w:ind w:firstLine="720" w:firstLineChars="0"/>
      </w:pPr>
    </w:p>
  </w:footnote>
  <w:footnote w:id="11">
    <w:p w14:paraId="6C5D31EB">
      <w:pPr>
        <w:pStyle w:val="11"/>
        <w:ind w:firstLine="720" w:firstLineChars="0"/>
      </w:pPr>
      <w:r>
        <w:rPr>
          <w:rStyle w:val="10"/>
        </w:rPr>
        <w:footnoteRef/>
      </w:r>
      <w:r>
        <w:t xml:space="preserve"> </w:t>
      </w:r>
      <w:r>
        <w:rPr>
          <w:rFonts w:ascii="Times New Roman" w:hAnsi="Times New Roman" w:eastAsia="Times New Roman" w:cs="Times New Roman"/>
          <w:sz w:val="18"/>
          <w:szCs w:val="18"/>
        </w:rPr>
        <w:t xml:space="preserve">Samuel P. Huntington, </w:t>
      </w:r>
      <w:r>
        <w:rPr>
          <w:rFonts w:ascii="Times New Roman" w:hAnsi="Times New Roman" w:eastAsia="Times New Roman" w:cs="Times New Roman"/>
          <w:i/>
          <w:iCs/>
          <w:sz w:val="18"/>
          <w:szCs w:val="18"/>
        </w:rPr>
        <w:t>Political Order in Changing Societies</w:t>
      </w:r>
      <w:r>
        <w:rPr>
          <w:rFonts w:ascii="Times New Roman" w:hAnsi="Times New Roman" w:eastAsia="Times New Roman" w:cs="Times New Roman"/>
          <w:sz w:val="18"/>
          <w:szCs w:val="18"/>
        </w:rPr>
        <w:t xml:space="preserve"> (New Haven: Yale University Press, 1968), p. 3.</w:t>
      </w:r>
      <w:r>
        <w:rPr>
          <w:rFonts w:ascii="Times New Roman" w:hAnsi="Times New Roman" w:eastAsia="Times New Roman" w:cs="Times New Roman"/>
          <w:sz w:val="18"/>
          <w:szCs w:val="18"/>
        </w:rPr>
        <w:br w:type="textWrapping"/>
      </w:r>
    </w:p>
  </w:footnote>
  <w:footnote w:id="12">
    <w:p w14:paraId="1A767BBB">
      <w:pPr>
        <w:pStyle w:val="11"/>
        <w:ind w:firstLine="720" w:firstLineChars="0"/>
      </w:pPr>
      <w:r>
        <w:rPr>
          <w:rStyle w:val="10"/>
        </w:rPr>
        <w:footnoteRef/>
      </w:r>
      <w:r>
        <w:t xml:space="preserve"> </w:t>
      </w:r>
    </w:p>
  </w:footnote>
  <w:footnote w:id="13">
    <w:p w14:paraId="1A05B3BC">
      <w:pPr>
        <w:pStyle w:val="11"/>
        <w:ind w:firstLine="720" w:firstLineChars="0"/>
      </w:pPr>
      <w:r>
        <w:rPr>
          <w:rStyle w:val="10"/>
        </w:rPr>
        <w:footnoteRef/>
      </w:r>
      <w:r>
        <w:t xml:space="preserve"> </w:t>
      </w:r>
      <w:r>
        <w:rPr>
          <w:rFonts w:ascii="Times New Roman" w:hAnsi="Times New Roman" w:eastAsia="Times New Roman" w:cs="Times New Roman"/>
          <w:sz w:val="18"/>
          <w:szCs w:val="18"/>
        </w:rPr>
        <w:t xml:space="preserve">Douglass C. North, </w:t>
      </w:r>
      <w:r>
        <w:rPr>
          <w:rFonts w:ascii="Times New Roman" w:hAnsi="Times New Roman" w:eastAsia="Times New Roman" w:cs="Times New Roman"/>
          <w:i/>
          <w:iCs/>
          <w:sz w:val="18"/>
          <w:szCs w:val="18"/>
        </w:rPr>
        <w:t>Institutions, Institutional Change and Economic Performance</w:t>
      </w:r>
      <w:r>
        <w:rPr>
          <w:rFonts w:ascii="Times New Roman" w:hAnsi="Times New Roman" w:eastAsia="Times New Roman" w:cs="Times New Roman"/>
          <w:sz w:val="18"/>
          <w:szCs w:val="18"/>
        </w:rPr>
        <w:t xml:space="preserve"> (Cambridge: Cambridge University Press, 1990), p. 41.</w:t>
      </w:r>
      <w:r>
        <w:rPr>
          <w:rFonts w:ascii="Times New Roman" w:hAnsi="Times New Roman" w:eastAsia="Times New Roman" w:cs="Times New Roman"/>
          <w:sz w:val="18"/>
          <w:szCs w:val="18"/>
        </w:rPr>
        <w:br w:type="textWrapping"/>
      </w:r>
    </w:p>
  </w:footnote>
  <w:footnote w:id="14">
    <w:p w14:paraId="01E7CE2E">
      <w:pPr>
        <w:pStyle w:val="11"/>
        <w:ind w:firstLine="720" w:firstLineChars="0"/>
      </w:pPr>
      <w:r>
        <w:rPr>
          <w:rStyle w:val="10"/>
        </w:rPr>
        <w:footnoteRef/>
      </w:r>
      <w:r>
        <w:t xml:space="preserve"> </w:t>
      </w:r>
      <w:r>
        <w:rPr>
          <w:rFonts w:ascii="Times New Roman" w:hAnsi="Times New Roman" w:eastAsia="Times New Roman" w:cs="Times New Roman"/>
          <w:sz w:val="18"/>
          <w:szCs w:val="18"/>
        </w:rPr>
        <w:t xml:space="preserve">Fukuyama, </w:t>
      </w:r>
      <w:r>
        <w:rPr>
          <w:rFonts w:ascii="Times New Roman" w:hAnsi="Times New Roman" w:eastAsia="Times New Roman" w:cs="Times New Roman"/>
          <w:i/>
          <w:iCs/>
          <w:sz w:val="18"/>
          <w:szCs w:val="18"/>
        </w:rPr>
        <w:t>Origins</w:t>
      </w:r>
      <w:r>
        <w:rPr>
          <w:rFonts w:ascii="Times New Roman" w:hAnsi="Times New Roman" w:eastAsia="Times New Roman" w:cs="Times New Roman"/>
          <w:sz w:val="18"/>
          <w:szCs w:val="18"/>
        </w:rPr>
        <w:t>, p. 110.</w:t>
      </w:r>
      <w:r>
        <w:rPr>
          <w:rFonts w:ascii="Times New Roman" w:hAnsi="Times New Roman" w:eastAsia="Times New Roman" w:cs="Times New Roman"/>
          <w:sz w:val="18"/>
          <w:szCs w:val="18"/>
        </w:rPr>
        <w:br w:type="textWrapping"/>
      </w:r>
    </w:p>
  </w:footnote>
  <w:footnote w:id="15">
    <w:p w14:paraId="341FF0D7">
      <w:pPr>
        <w:pStyle w:val="11"/>
        <w:ind w:firstLine="720" w:firstLineChars="0"/>
      </w:pPr>
      <w:r>
        <w:rPr>
          <w:rStyle w:val="10"/>
        </w:rPr>
        <w:footnoteRef/>
      </w:r>
      <w:r>
        <w:t xml:space="preserve"> </w:t>
      </w:r>
      <w:r>
        <w:rPr>
          <w:rFonts w:ascii="Times New Roman" w:hAnsi="Times New Roman" w:eastAsia="Times New Roman" w:cs="Times New Roman"/>
          <w:sz w:val="18"/>
          <w:szCs w:val="18"/>
        </w:rPr>
        <w:t>Ibid., p. 258.</w:t>
      </w:r>
    </w:p>
  </w:footnote>
  <w:footnote w:id="16">
    <w:p w14:paraId="682CEE3A">
      <w:pPr>
        <w:spacing w:before="100" w:beforeAutospacing="1" w:after="100" w:afterAutospacing="1" w:line="480" w:lineRule="auto"/>
        <w:ind w:firstLine="720" w:firstLineChars="0"/>
        <w:rPr>
          <w:rFonts w:ascii="Times New Roman" w:hAnsi="Times New Roman" w:eastAsia="Times New Roman" w:cs="Times New Roman"/>
          <w:sz w:val="24"/>
          <w:szCs w:val="24"/>
        </w:rPr>
      </w:pPr>
      <w:r>
        <w:rPr>
          <w:rStyle w:val="10"/>
        </w:rPr>
        <w:footnoteRef/>
      </w:r>
      <w:r>
        <w:t xml:space="preserve"> </w:t>
      </w:r>
      <w:r>
        <w:rPr>
          <w:rFonts w:ascii="Times New Roman" w:hAnsi="Times New Roman" w:eastAsia="Times New Roman" w:cs="Times New Roman"/>
          <w:sz w:val="18"/>
          <w:szCs w:val="18"/>
        </w:rPr>
        <w:t>Ibid., p. 272.</w:t>
      </w:r>
    </w:p>
    <w:p w14:paraId="5B726393">
      <w:pPr>
        <w:pStyle w:val="11"/>
        <w:ind w:firstLine="720" w:firstLineChars="0"/>
      </w:pPr>
    </w:p>
  </w:footnote>
  <w:footnote w:id="17">
    <w:p w14:paraId="1285B406">
      <w:pPr>
        <w:pStyle w:val="11"/>
        <w:ind w:firstLine="720" w:firstLineChars="0"/>
      </w:pPr>
      <w:r>
        <w:rPr>
          <w:rStyle w:val="10"/>
        </w:rPr>
        <w:footnoteRef/>
      </w:r>
      <w:r>
        <w:t xml:space="preserve"> </w:t>
      </w:r>
      <w:r>
        <w:rPr>
          <w:rFonts w:ascii="Times New Roman" w:hAnsi="Times New Roman" w:eastAsia="Times New Roman" w:cs="Times New Roman"/>
          <w:sz w:val="18"/>
          <w:szCs w:val="18"/>
        </w:rPr>
        <w:t xml:space="preserve">Samuel P. Huntington, </w:t>
      </w:r>
      <w:r>
        <w:rPr>
          <w:rFonts w:ascii="Times New Roman" w:hAnsi="Times New Roman" w:eastAsia="Times New Roman" w:cs="Times New Roman"/>
          <w:i/>
          <w:iCs/>
          <w:sz w:val="18"/>
          <w:szCs w:val="18"/>
        </w:rPr>
        <w:t>Political Order in Changing Societies</w:t>
      </w:r>
      <w:r>
        <w:rPr>
          <w:rFonts w:ascii="Times New Roman" w:hAnsi="Times New Roman" w:eastAsia="Times New Roman" w:cs="Times New Roman"/>
          <w:sz w:val="18"/>
          <w:szCs w:val="18"/>
        </w:rPr>
        <w:t xml:space="preserve"> (New Haven: Yale University Press, 1968), p. 3.</w:t>
      </w:r>
      <w:r>
        <w:rPr>
          <w:rFonts w:ascii="Times New Roman" w:hAnsi="Times New Roman" w:eastAsia="Times New Roman" w:cs="Times New Roman"/>
          <w:sz w:val="18"/>
          <w:szCs w:val="18"/>
        </w:rPr>
        <w:br w:type="textWrapping"/>
      </w:r>
    </w:p>
  </w:footnote>
  <w:footnote w:id="18">
    <w:p w14:paraId="4C6CC3E3">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Francis Fukuyama, The Origins of Political Order: From Prehuman Times to the French Revolution (New York: Farrar, Straus and Giroux, 2011), 26–28.</w:t>
      </w:r>
    </w:p>
    <w:p w14:paraId="32C46533">
      <w:pPr>
        <w:pStyle w:val="11"/>
        <w:ind w:firstLine="720" w:firstLineChars="0"/>
      </w:pPr>
    </w:p>
  </w:footnote>
  <w:footnote w:id="19">
    <w:p w14:paraId="2A2AB695">
      <w:pPr>
        <w:pStyle w:val="11"/>
        <w:ind w:firstLine="720" w:firstLineChars="0"/>
      </w:pPr>
      <w:r>
        <w:rPr>
          <w:rStyle w:val="10"/>
        </w:rPr>
        <w:footnoteRef/>
      </w:r>
      <w:r>
        <w:t xml:space="preserve"> </w:t>
      </w:r>
      <w:r>
        <w:rPr>
          <w:rFonts w:ascii="Times New Roman" w:hAnsi="Times New Roman" w:cs="Times New Roman"/>
          <w:sz w:val="18"/>
          <w:szCs w:val="18"/>
        </w:rPr>
        <w:t>Thomas Hobbes, Leviathan, ed. Richard Tuck (Cambridge: Cambridge University Press, 1996 [1651]), 89.</w:t>
      </w:r>
    </w:p>
  </w:footnote>
  <w:footnote w:id="20">
    <w:p w14:paraId="6B72EF00">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Ibid., 90–91.</w:t>
      </w:r>
    </w:p>
    <w:p w14:paraId="5A849923">
      <w:pPr>
        <w:pStyle w:val="11"/>
        <w:ind w:firstLine="720" w:firstLineChars="0"/>
      </w:pPr>
    </w:p>
  </w:footnote>
  <w:footnote w:id="21">
    <w:p w14:paraId="77BE3100">
      <w:pPr>
        <w:pStyle w:val="11"/>
        <w:ind w:firstLine="720" w:firstLineChars="0"/>
      </w:pPr>
      <w:r>
        <w:rPr>
          <w:rStyle w:val="10"/>
        </w:rPr>
        <w:footnoteRef/>
      </w:r>
      <w:r>
        <w:t xml:space="preserve"> </w:t>
      </w:r>
      <w:r>
        <w:rPr>
          <w:rFonts w:ascii="Times New Roman" w:hAnsi="Times New Roman" w:cs="Times New Roman"/>
          <w:sz w:val="18"/>
          <w:szCs w:val="18"/>
        </w:rPr>
        <w:t>John Locke, Second Treatise of Government, ed. C. B. Macpherson (Indianapolis: Hackett, 1980 [1689]), §4–6, 271.</w:t>
      </w:r>
    </w:p>
  </w:footnote>
  <w:footnote w:id="22">
    <w:p w14:paraId="490B8F26">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 Ibid., §7–13.</w:t>
      </w:r>
    </w:p>
    <w:p w14:paraId="5D71A7A8">
      <w:pPr>
        <w:pStyle w:val="11"/>
        <w:ind w:firstLine="720" w:firstLineChars="0"/>
      </w:pPr>
    </w:p>
  </w:footnote>
  <w:footnote w:id="23">
    <w:p w14:paraId="1E3C8A16">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Jean-Jacques Rousseau, Discourse on the Origin and Foundations of Inequality Among Men, trans. Donald A. Cress (Oxford: Oxford University Press, 1994 [1755]), 83–86.</w:t>
      </w:r>
    </w:p>
    <w:p w14:paraId="750807E9">
      <w:pPr>
        <w:pStyle w:val="11"/>
        <w:ind w:firstLine="720" w:firstLineChars="0"/>
      </w:pPr>
    </w:p>
  </w:footnote>
  <w:footnote w:id="24">
    <w:p w14:paraId="24B1250A">
      <w:pPr>
        <w:pStyle w:val="11"/>
        <w:ind w:firstLine="720" w:firstLineChars="0"/>
      </w:pPr>
      <w:r>
        <w:rPr>
          <w:rStyle w:val="10"/>
        </w:rPr>
        <w:footnoteRef/>
      </w:r>
      <w:r>
        <w:t xml:space="preserve"> </w:t>
      </w:r>
      <w:r>
        <w:rPr>
          <w:rFonts w:ascii="Times New Roman" w:hAnsi="Times New Roman" w:cs="Times New Roman"/>
          <w:sz w:val="18"/>
          <w:szCs w:val="18"/>
        </w:rPr>
        <w:t>Ibid., 87.</w:t>
      </w:r>
    </w:p>
  </w:footnote>
  <w:footnote w:id="25">
    <w:p w14:paraId="0EB14CC1">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Fukuyama, The Origins of Political Order, 22.</w:t>
      </w:r>
    </w:p>
    <w:p w14:paraId="13CE672D">
      <w:pPr>
        <w:pStyle w:val="11"/>
        <w:ind w:firstLine="720" w:firstLineChars="0"/>
      </w:pPr>
    </w:p>
  </w:footnote>
  <w:footnote w:id="26">
    <w:p w14:paraId="41767324">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  Ibid., 27.</w:t>
      </w:r>
    </w:p>
    <w:p w14:paraId="25FC58C6">
      <w:pPr>
        <w:pStyle w:val="11"/>
        <w:ind w:firstLine="720" w:firstLineChars="0"/>
      </w:pPr>
    </w:p>
  </w:footnote>
  <w:footnote w:id="27">
    <w:p w14:paraId="6EBB19BA">
      <w:pPr>
        <w:pStyle w:val="11"/>
        <w:ind w:firstLine="720" w:firstLineChars="0"/>
      </w:pPr>
      <w:r>
        <w:rPr>
          <w:rStyle w:val="10"/>
        </w:rPr>
        <w:footnoteRef/>
      </w:r>
      <w:r>
        <w:t xml:space="preserve"> </w:t>
      </w:r>
    </w:p>
  </w:footnote>
  <w:footnote w:id="28">
    <w:p w14:paraId="01881D30">
      <w:pPr>
        <w:pStyle w:val="11"/>
        <w:ind w:firstLine="720" w:firstLineChars="0"/>
      </w:pPr>
      <w:r>
        <w:rPr>
          <w:rStyle w:val="10"/>
        </w:rPr>
        <w:footnoteRef/>
      </w:r>
      <w:r>
        <w:t xml:space="preserve"> William D. Hamilton, "The Genetic Evolution of Social Behavior:· Journal of Theoretical Biology 7 (1964): 1 7-52</w:t>
      </w:r>
    </w:p>
  </w:footnote>
  <w:footnote w:id="29">
    <w:p w14:paraId="5DD4630C">
      <w:pPr>
        <w:pStyle w:val="11"/>
        <w:ind w:firstLine="720" w:firstLineChars="0"/>
      </w:pPr>
      <w:r>
        <w:rPr>
          <w:rStyle w:val="10"/>
        </w:rPr>
        <w:footnoteRef/>
      </w:r>
      <w:r>
        <w:t xml:space="preserve"> Robert Axelrod, The Evolution of Cooperation (New York: Basic Books, 1 984).</w:t>
      </w:r>
    </w:p>
  </w:footnote>
  <w:footnote w:id="30">
    <w:p w14:paraId="1E196084">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Ibid., 76–82.</w:t>
      </w:r>
    </w:p>
    <w:p w14:paraId="17FE0C9E">
      <w:pPr>
        <w:pStyle w:val="11"/>
        <w:ind w:firstLine="720" w:firstLineChars="0"/>
      </w:pPr>
    </w:p>
  </w:footnote>
  <w:footnote w:id="31">
    <w:p w14:paraId="6B8E8F6A">
      <w:pPr>
        <w:pStyle w:val="11"/>
        <w:ind w:firstLine="720" w:firstLineChars="0"/>
      </w:pPr>
      <w:r>
        <w:rPr>
          <w:rStyle w:val="10"/>
        </w:rPr>
        <w:footnoteRef/>
      </w:r>
      <w:r>
        <w:t xml:space="preserve"> </w:t>
      </w:r>
      <w:r>
        <w:rPr>
          <w:rFonts w:ascii="Times New Roman" w:hAnsi="Times New Roman" w:cs="Times New Roman"/>
          <w:sz w:val="18"/>
          <w:szCs w:val="18"/>
        </w:rPr>
        <w:t xml:space="preserve">  Ibid., 33–35.</w:t>
      </w:r>
    </w:p>
  </w:footnote>
  <w:footnote w:id="32">
    <w:p w14:paraId="26E420B1">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Ibid., 22–24.</w:t>
      </w:r>
    </w:p>
    <w:p w14:paraId="7834A4AF">
      <w:pPr>
        <w:pStyle w:val="11"/>
        <w:ind w:firstLine="720" w:firstLineChars="0"/>
      </w:pPr>
    </w:p>
  </w:footnote>
  <w:footnote w:id="33">
    <w:p w14:paraId="4897230F">
      <w:pPr>
        <w:pStyle w:val="11"/>
        <w:ind w:firstLine="720" w:firstLineChars="0"/>
        <w:rPr>
          <w:rFonts w:ascii="Times New Roman" w:hAnsi="Times New Roman" w:cs="Times New Roman"/>
        </w:rPr>
      </w:pPr>
      <w:r>
        <w:rPr>
          <w:rStyle w:val="10"/>
        </w:rPr>
        <w:footnoteRef/>
      </w:r>
      <w:r>
        <w:t xml:space="preserve"> </w:t>
      </w:r>
      <w:r>
        <w:rPr>
          <w:rFonts w:ascii="Times New Roman" w:hAnsi="Times New Roman" w:cs="Times New Roman"/>
        </w:rPr>
        <w:t>Lant Pritchett and Michael Woolcock's "'Solutions When the Solution Is the Problem: Arraying the Disarray in Development" (Washington, D.C.: Center for Global Development Working Paper I0, 2002).</w:t>
      </w:r>
    </w:p>
  </w:footnote>
  <w:footnote w:id="34">
    <w:p w14:paraId="39265434">
      <w:pPr>
        <w:pStyle w:val="11"/>
        <w:ind w:firstLine="720" w:firstLineChars="0"/>
      </w:pPr>
      <w:r>
        <w:rPr>
          <w:rStyle w:val="10"/>
        </w:rPr>
        <w:footnoteRef/>
      </w:r>
      <w:r>
        <w:t xml:space="preserve"> Francis Fukuyama, The Origins of Political Order: From Prehuman Times to the French Revolution (2011, p. 15)</w:t>
      </w:r>
    </w:p>
  </w:footnote>
  <w:footnote w:id="35">
    <w:p w14:paraId="736F99BA">
      <w:pPr>
        <w:pStyle w:val="11"/>
        <w:ind w:firstLine="720" w:firstLineChars="0"/>
      </w:pPr>
      <w:r>
        <w:rPr>
          <w:rStyle w:val="10"/>
        </w:rPr>
        <w:footnoteRef/>
      </w:r>
      <w:r>
        <w:t xml:space="preserve"> </w:t>
      </w:r>
      <w:r>
        <w:rPr>
          <w:sz w:val="18"/>
          <w:szCs w:val="18"/>
        </w:rPr>
        <w:t xml:space="preserve">Francis Fukuyama, </w:t>
      </w:r>
      <w:r>
        <w:rPr>
          <w:rStyle w:val="8"/>
          <w:sz w:val="18"/>
          <w:szCs w:val="18"/>
        </w:rPr>
        <w:t>The Origins of Political Order</w:t>
      </w:r>
      <w:r>
        <w:rPr>
          <w:sz w:val="18"/>
          <w:szCs w:val="18"/>
        </w:rPr>
        <w:t xml:space="preserve"> (New York: Farrar, Straus and Giroux, 2011), p. 98.</w:t>
      </w:r>
    </w:p>
  </w:footnote>
  <w:footnote w:id="36">
    <w:p w14:paraId="6C745DE9">
      <w:pPr>
        <w:pStyle w:val="11"/>
        <w:ind w:firstLine="720" w:firstLineChars="0"/>
      </w:pPr>
      <w:r>
        <w:rPr>
          <w:rStyle w:val="10"/>
        </w:rPr>
        <w:footnoteRef/>
      </w:r>
      <w:r>
        <w:t xml:space="preserve"> </w:t>
      </w:r>
      <w:r>
        <w:rPr>
          <w:sz w:val="18"/>
          <w:szCs w:val="18"/>
        </w:rPr>
        <w:t>Ibid.</w:t>
      </w:r>
    </w:p>
  </w:footnote>
  <w:footnote w:id="37">
    <w:p w14:paraId="0A639625">
      <w:pPr>
        <w:pStyle w:val="11"/>
        <w:ind w:firstLine="720" w:firstLineChars="0"/>
      </w:pPr>
      <w:r>
        <w:rPr>
          <w:rStyle w:val="10"/>
        </w:rPr>
        <w:footnoteRef/>
      </w:r>
      <w:r>
        <w:t xml:space="preserve"> </w:t>
      </w:r>
      <w:r>
        <w:rPr>
          <w:sz w:val="18"/>
          <w:szCs w:val="18"/>
        </w:rPr>
        <w:t xml:space="preserve">Max Weber, </w:t>
      </w:r>
      <w:r>
        <w:rPr>
          <w:rStyle w:val="8"/>
          <w:sz w:val="18"/>
          <w:szCs w:val="18"/>
        </w:rPr>
        <w:t>Economy and Society</w:t>
      </w:r>
      <w:r>
        <w:rPr>
          <w:sz w:val="18"/>
          <w:szCs w:val="18"/>
        </w:rPr>
        <w:t xml:space="preserve"> (Berkeley: University of California Press, 1978), p. 54.</w:t>
      </w:r>
    </w:p>
  </w:footnote>
  <w:footnote w:id="38">
    <w:p w14:paraId="37781A6B">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103.</w:t>
      </w:r>
    </w:p>
  </w:footnote>
  <w:footnote w:id="39">
    <w:p w14:paraId="2448338C">
      <w:pPr>
        <w:pStyle w:val="11"/>
        <w:ind w:firstLine="720" w:firstLineChars="0"/>
      </w:pPr>
      <w:r>
        <w:rPr>
          <w:rStyle w:val="10"/>
        </w:rPr>
        <w:footnoteRef/>
      </w:r>
      <w:r>
        <w:t xml:space="preserve"> </w:t>
      </w:r>
      <w:r>
        <w:rPr>
          <w:sz w:val="18"/>
          <w:szCs w:val="18"/>
        </w:rPr>
        <w:t xml:space="preserve">Han Feizi, </w:t>
      </w:r>
      <w:r>
        <w:rPr>
          <w:rStyle w:val="8"/>
          <w:sz w:val="18"/>
          <w:szCs w:val="18"/>
        </w:rPr>
        <w:t>The Han Feizi</w:t>
      </w:r>
      <w:r>
        <w:rPr>
          <w:sz w:val="18"/>
          <w:szCs w:val="18"/>
        </w:rPr>
        <w:t>, trans. Burton Watson (New York: Columbia University Press, 2003), p. 42.</w:t>
      </w:r>
    </w:p>
  </w:footnote>
  <w:footnote w:id="40">
    <w:p w14:paraId="5EA42039">
      <w:pPr>
        <w:pStyle w:val="11"/>
        <w:ind w:firstLine="720" w:firstLineChars="0"/>
      </w:pPr>
      <w:r>
        <w:rPr>
          <w:rStyle w:val="10"/>
        </w:rPr>
        <w:footnoteRef/>
      </w:r>
      <w:r>
        <w:t xml:space="preserve"> </w:t>
      </w:r>
      <w:r>
        <w:rPr>
          <w:sz w:val="18"/>
          <w:szCs w:val="18"/>
        </w:rPr>
        <w:t xml:space="preserve">Charles Tilly, </w:t>
      </w:r>
      <w:r>
        <w:rPr>
          <w:rStyle w:val="8"/>
          <w:sz w:val="18"/>
          <w:szCs w:val="18"/>
        </w:rPr>
        <w:t>Coercion, Capital, and European States</w:t>
      </w:r>
      <w:r>
        <w:rPr>
          <w:sz w:val="18"/>
          <w:szCs w:val="18"/>
        </w:rPr>
        <w:t xml:space="preserve"> (Cambridge, MA: Basil Blackwell, 1990), p. 67.</w:t>
      </w:r>
    </w:p>
  </w:footnote>
  <w:footnote w:id="41">
    <w:p w14:paraId="14A0F5D4">
      <w:pPr>
        <w:pStyle w:val="11"/>
        <w:ind w:firstLine="720" w:firstLineChars="0"/>
      </w:pPr>
      <w:r>
        <w:rPr>
          <w:rStyle w:val="10"/>
        </w:rPr>
        <w:footnoteRef/>
      </w:r>
      <w:r>
        <w:t xml:space="preserve"> </w:t>
      </w:r>
    </w:p>
  </w:footnote>
  <w:footnote w:id="42">
    <w:p w14:paraId="4F9C12A2">
      <w:pPr>
        <w:pStyle w:val="11"/>
        <w:ind w:firstLine="720" w:firstLineChars="0"/>
      </w:pPr>
      <w:r>
        <w:rPr>
          <w:rStyle w:val="10"/>
        </w:rPr>
        <w:footnoteRef/>
      </w:r>
      <w:r>
        <w:t xml:space="preserve"> </w:t>
      </w:r>
      <w:r>
        <w:rPr>
          <w:sz w:val="18"/>
          <w:szCs w:val="18"/>
        </w:rPr>
        <w:t xml:space="preserve">Han Feizi, </w:t>
      </w:r>
      <w:r>
        <w:rPr>
          <w:rStyle w:val="8"/>
          <w:sz w:val="18"/>
          <w:szCs w:val="18"/>
        </w:rPr>
        <w:t>The Han Feizi</w:t>
      </w:r>
      <w:r>
        <w:rPr>
          <w:sz w:val="18"/>
          <w:szCs w:val="18"/>
        </w:rPr>
        <w:t>, p. 35.</w:t>
      </w:r>
      <w:r>
        <w:rPr>
          <w:sz w:val="18"/>
          <w:szCs w:val="18"/>
        </w:rPr>
        <w:br w:type="textWrapping"/>
      </w:r>
    </w:p>
  </w:footnote>
  <w:footnote w:id="43">
    <w:p w14:paraId="034BC373">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107.</w:t>
      </w:r>
    </w:p>
  </w:footnote>
  <w:footnote w:id="44">
    <w:p w14:paraId="70358448">
      <w:pPr>
        <w:pStyle w:val="11"/>
        <w:ind w:firstLine="720" w:firstLineChars="0"/>
      </w:pPr>
      <w:r>
        <w:rPr>
          <w:rStyle w:val="10"/>
        </w:rPr>
        <w:footnoteRef/>
      </w:r>
      <w:r>
        <w:t xml:space="preserve"> </w:t>
      </w:r>
      <w:r>
        <w:rPr>
          <w:sz w:val="18"/>
          <w:szCs w:val="18"/>
        </w:rPr>
        <w:t xml:space="preserve">Max Weber, </w:t>
      </w:r>
      <w:r>
        <w:rPr>
          <w:rStyle w:val="8"/>
          <w:sz w:val="18"/>
          <w:szCs w:val="18"/>
        </w:rPr>
        <w:t>Economy and Society</w:t>
      </w:r>
      <w:r>
        <w:rPr>
          <w:sz w:val="18"/>
          <w:szCs w:val="18"/>
        </w:rPr>
        <w:t>, p. 54.</w:t>
      </w:r>
    </w:p>
  </w:footnote>
  <w:footnote w:id="45">
    <w:p w14:paraId="3DB328D5">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121.</w:t>
      </w:r>
    </w:p>
  </w:footnote>
  <w:footnote w:id="46">
    <w:p w14:paraId="442630ED">
      <w:pPr>
        <w:pStyle w:val="11"/>
        <w:ind w:firstLine="720" w:firstLineChars="0"/>
      </w:pPr>
      <w:r>
        <w:rPr>
          <w:rStyle w:val="10"/>
        </w:rPr>
        <w:footnoteRef/>
      </w:r>
      <w:r>
        <w:t xml:space="preserve"> </w:t>
      </w:r>
      <w:r>
        <w:rPr>
          <w:sz w:val="18"/>
          <w:szCs w:val="18"/>
        </w:rPr>
        <w:t xml:space="preserve">Dong Zhongshu, </w:t>
      </w:r>
      <w:r>
        <w:rPr>
          <w:rStyle w:val="8"/>
          <w:sz w:val="18"/>
          <w:szCs w:val="18"/>
        </w:rPr>
        <w:t>Chunqiu Fanlu</w:t>
      </w:r>
      <w:r>
        <w:rPr>
          <w:sz w:val="18"/>
          <w:szCs w:val="18"/>
        </w:rPr>
        <w:t xml:space="preserve">, in </w:t>
      </w:r>
      <w:r>
        <w:rPr>
          <w:rStyle w:val="8"/>
          <w:sz w:val="18"/>
          <w:szCs w:val="18"/>
        </w:rPr>
        <w:t>Sources of Chinese Tradition</w:t>
      </w:r>
      <w:r>
        <w:rPr>
          <w:sz w:val="18"/>
          <w:szCs w:val="18"/>
        </w:rPr>
        <w:t>, ed. Wm. Theodore de Bary (New York: Columbia University Press, 1960), p. 258.</w:t>
      </w:r>
      <w:r>
        <w:rPr>
          <w:sz w:val="18"/>
          <w:szCs w:val="18"/>
        </w:rPr>
        <w:br w:type="textWrapping"/>
      </w:r>
    </w:p>
  </w:footnote>
  <w:footnote w:id="47">
    <w:p w14:paraId="24935AC2">
      <w:pPr>
        <w:pStyle w:val="11"/>
        <w:ind w:firstLine="720" w:firstLineChars="0"/>
      </w:pPr>
      <w:r>
        <w:rPr>
          <w:rStyle w:val="10"/>
        </w:rPr>
        <w:footnoteRef/>
      </w:r>
      <w:r>
        <w:t xml:space="preserve"> </w:t>
      </w:r>
      <w:r>
        <w:rPr>
          <w:sz w:val="18"/>
          <w:szCs w:val="18"/>
        </w:rPr>
        <w:t xml:space="preserve">Samuel P. Huntington, </w:t>
      </w:r>
      <w:r>
        <w:rPr>
          <w:rStyle w:val="8"/>
          <w:sz w:val="18"/>
          <w:szCs w:val="18"/>
        </w:rPr>
        <w:t>Political Order in Changing Societies</w:t>
      </w:r>
      <w:r>
        <w:rPr>
          <w:sz w:val="18"/>
          <w:szCs w:val="18"/>
        </w:rPr>
        <w:t xml:space="preserve"> (New Haven: Yale University Press, 1968), p. 12.</w:t>
      </w:r>
    </w:p>
  </w:footnote>
  <w:footnote w:id="48">
    <w:p w14:paraId="24EF3361">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143.</w:t>
      </w:r>
    </w:p>
  </w:footnote>
  <w:footnote w:id="49">
    <w:p w14:paraId="6880E759">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144.</w:t>
      </w:r>
    </w:p>
  </w:footnote>
  <w:footnote w:id="50">
    <w:p w14:paraId="23B759FB">
      <w:pPr>
        <w:pStyle w:val="11"/>
        <w:ind w:firstLine="720" w:firstLineChars="0"/>
      </w:pPr>
      <w:r>
        <w:rPr>
          <w:rStyle w:val="10"/>
        </w:rPr>
        <w:footnoteRef/>
      </w:r>
      <w:r>
        <w:t xml:space="preserve"> </w:t>
      </w:r>
      <w:r>
        <w:rPr>
          <w:sz w:val="18"/>
          <w:szCs w:val="18"/>
        </w:rPr>
        <w:t xml:space="preserve">Douglass C. North, </w:t>
      </w:r>
      <w:r>
        <w:rPr>
          <w:rStyle w:val="8"/>
          <w:sz w:val="18"/>
          <w:szCs w:val="18"/>
        </w:rPr>
        <w:t>Institutions, Institutional Change and Economic Performance</w:t>
      </w:r>
      <w:r>
        <w:rPr>
          <w:sz w:val="18"/>
          <w:szCs w:val="18"/>
        </w:rPr>
        <w:t xml:space="preserve"> (Cambridge: Cambridge University Press, 1990), p. 89.</w:t>
      </w:r>
    </w:p>
  </w:footnote>
  <w:footnote w:id="51">
    <w:p w14:paraId="5A6B8EEB">
      <w:pPr>
        <w:pStyle w:val="11"/>
        <w:ind w:firstLine="720" w:firstLineChars="0"/>
      </w:pPr>
      <w:r>
        <w:rPr>
          <w:rStyle w:val="10"/>
        </w:rPr>
        <w:footnoteRef/>
      </w:r>
      <w:r>
        <w:t xml:space="preserve"> </w:t>
      </w:r>
      <w:r>
        <w:rPr>
          <w:sz w:val="18"/>
          <w:szCs w:val="18"/>
        </w:rPr>
        <w:t xml:space="preserve">Francis Fukuyama, </w:t>
      </w:r>
      <w:r>
        <w:rPr>
          <w:rStyle w:val="8"/>
          <w:sz w:val="18"/>
          <w:szCs w:val="18"/>
        </w:rPr>
        <w:t>The Origins of Political Order</w:t>
      </w:r>
      <w:r>
        <w:rPr>
          <w:sz w:val="18"/>
          <w:szCs w:val="18"/>
        </w:rPr>
        <w:t xml:space="preserve"> (New York: Farrar, Straus and Giroux, 2011), p. 148.</w:t>
      </w:r>
    </w:p>
  </w:footnote>
  <w:footnote w:id="52">
    <w:p w14:paraId="2952F790">
      <w:pPr>
        <w:pStyle w:val="11"/>
        <w:ind w:firstLine="720" w:firstLineChars="0"/>
      </w:pPr>
      <w:r>
        <w:rPr>
          <w:rStyle w:val="10"/>
        </w:rPr>
        <w:footnoteRef/>
      </w:r>
      <w:r>
        <w:t xml:space="preserve"> </w:t>
      </w:r>
      <w:r>
        <w:rPr>
          <w:sz w:val="18"/>
          <w:szCs w:val="18"/>
        </w:rPr>
        <w:t>Ibid., p. 149.</w:t>
      </w:r>
    </w:p>
  </w:footnote>
  <w:footnote w:id="53">
    <w:p w14:paraId="0B512EC0">
      <w:pPr>
        <w:pStyle w:val="11"/>
        <w:ind w:firstLine="720" w:firstLineChars="0"/>
      </w:pPr>
      <w:r>
        <w:rPr>
          <w:rStyle w:val="10"/>
        </w:rPr>
        <w:footnoteRef/>
      </w:r>
      <w:r>
        <w:t xml:space="preserve"> </w:t>
      </w:r>
      <w:r>
        <w:rPr>
          <w:sz w:val="18"/>
          <w:szCs w:val="18"/>
        </w:rPr>
        <w:t>Ibid., p. 150.</w:t>
      </w:r>
      <w:r>
        <w:rPr>
          <w:sz w:val="18"/>
          <w:szCs w:val="18"/>
        </w:rPr>
        <w:br w:type="textWrapping"/>
      </w:r>
    </w:p>
  </w:footnote>
  <w:footnote w:id="54">
    <w:p w14:paraId="40E6BA78">
      <w:pPr>
        <w:pStyle w:val="11"/>
        <w:ind w:firstLine="720" w:firstLineChars="0"/>
      </w:pPr>
      <w:r>
        <w:rPr>
          <w:rStyle w:val="10"/>
        </w:rPr>
        <w:footnoteRef/>
      </w:r>
      <w:r>
        <w:t xml:space="preserve"> </w:t>
      </w:r>
      <w:r>
        <w:rPr>
          <w:sz w:val="18"/>
          <w:szCs w:val="18"/>
        </w:rPr>
        <w:t>Ibid., p. 152.</w:t>
      </w:r>
    </w:p>
  </w:footnote>
  <w:footnote w:id="55">
    <w:p w14:paraId="3D0475B3">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151.</w:t>
      </w:r>
    </w:p>
  </w:footnote>
  <w:footnote w:id="56">
    <w:p w14:paraId="5C20E233">
      <w:pPr>
        <w:pStyle w:val="11"/>
        <w:ind w:firstLine="720" w:firstLineChars="0"/>
      </w:pPr>
      <w:r>
        <w:rPr>
          <w:rStyle w:val="10"/>
        </w:rPr>
        <w:footnoteRef/>
      </w:r>
      <w:r>
        <w:t xml:space="preserve"> </w:t>
      </w:r>
      <w:r>
        <w:rPr>
          <w:sz w:val="18"/>
          <w:szCs w:val="18"/>
        </w:rPr>
        <w:t xml:space="preserve">Max Weber, </w:t>
      </w:r>
      <w:r>
        <w:rPr>
          <w:rStyle w:val="8"/>
          <w:sz w:val="18"/>
          <w:szCs w:val="18"/>
        </w:rPr>
        <w:t>The Religion of India: The Sociology of Hinduism and Buddhism</w:t>
      </w:r>
      <w:r>
        <w:rPr>
          <w:sz w:val="18"/>
          <w:szCs w:val="18"/>
        </w:rPr>
        <w:t xml:space="preserve"> (Glencoe, IL: Free Press, 1958), p. 34.</w:t>
      </w:r>
    </w:p>
  </w:footnote>
  <w:footnote w:id="57">
    <w:p w14:paraId="022EAB86">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153.</w:t>
      </w:r>
    </w:p>
  </w:footnote>
  <w:footnote w:id="58">
    <w:p w14:paraId="31DA4F6A">
      <w:pPr>
        <w:pStyle w:val="11"/>
        <w:ind w:firstLine="720" w:firstLineChars="0"/>
      </w:pPr>
      <w:r>
        <w:rPr>
          <w:rStyle w:val="10"/>
        </w:rPr>
        <w:footnoteRef/>
      </w:r>
      <w:r>
        <w:t xml:space="preserve"> </w:t>
      </w:r>
      <w:r>
        <w:rPr>
          <w:sz w:val="18"/>
          <w:szCs w:val="18"/>
        </w:rPr>
        <w:t>Ibid., p. 154</w:t>
      </w:r>
    </w:p>
  </w:footnote>
  <w:footnote w:id="59">
    <w:p w14:paraId="4C253814">
      <w:pPr>
        <w:pStyle w:val="11"/>
        <w:ind w:firstLine="720" w:firstLineChars="0"/>
      </w:pPr>
      <w:r>
        <w:rPr>
          <w:rStyle w:val="10"/>
        </w:rPr>
        <w:footnoteRef/>
      </w:r>
      <w:r>
        <w:t xml:space="preserve"> </w:t>
      </w:r>
      <w:r>
        <w:rPr>
          <w:sz w:val="18"/>
          <w:szCs w:val="18"/>
        </w:rPr>
        <w:t xml:space="preserve">Douglass C. North, </w:t>
      </w:r>
      <w:r>
        <w:rPr>
          <w:rStyle w:val="8"/>
          <w:sz w:val="18"/>
          <w:szCs w:val="18"/>
        </w:rPr>
        <w:t>Institutions, Institutional Change and Economic Performance</w:t>
      </w:r>
      <w:r>
        <w:rPr>
          <w:sz w:val="18"/>
          <w:szCs w:val="18"/>
        </w:rPr>
        <w:t xml:space="preserve"> (Cambridge: Cambridge University Press, 1990), p. 5.</w:t>
      </w:r>
      <w:r>
        <w:rPr>
          <w:sz w:val="18"/>
          <w:szCs w:val="18"/>
        </w:rPr>
        <w:br w:type="textWrapping"/>
      </w:r>
    </w:p>
  </w:footnote>
  <w:footnote w:id="60">
    <w:p w14:paraId="22CC20A3">
      <w:pPr>
        <w:pStyle w:val="11"/>
        <w:ind w:firstLine="720" w:firstLineChars="0"/>
      </w:pPr>
      <w:r>
        <w:rPr>
          <w:rStyle w:val="10"/>
        </w:rPr>
        <w:footnoteRef/>
      </w:r>
      <w:r>
        <w:t xml:space="preserve"> </w:t>
      </w:r>
      <w:r>
        <w:rPr>
          <w:sz w:val="18"/>
          <w:szCs w:val="18"/>
        </w:rPr>
        <w:t xml:space="preserve">Max Weber, </w:t>
      </w:r>
      <w:r>
        <w:rPr>
          <w:rStyle w:val="8"/>
          <w:sz w:val="18"/>
          <w:szCs w:val="18"/>
        </w:rPr>
        <w:t>Religion of India</w:t>
      </w:r>
      <w:r>
        <w:rPr>
          <w:sz w:val="18"/>
          <w:szCs w:val="18"/>
        </w:rPr>
        <w:t>, p. 59.</w:t>
      </w:r>
    </w:p>
  </w:footnote>
  <w:footnote w:id="61">
    <w:p w14:paraId="0D97F5DD">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169.</w:t>
      </w:r>
    </w:p>
  </w:footnote>
  <w:footnote w:id="62">
    <w:p w14:paraId="3FC59D70">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158.</w:t>
      </w:r>
    </w:p>
  </w:footnote>
  <w:footnote w:id="63">
    <w:p w14:paraId="1A8A4911">
      <w:pPr>
        <w:pStyle w:val="11"/>
        <w:ind w:firstLine="720" w:firstLineChars="0"/>
      </w:pPr>
      <w:r>
        <w:rPr>
          <w:rStyle w:val="10"/>
        </w:rPr>
        <w:footnoteRef/>
      </w:r>
      <w:r>
        <w:t xml:space="preserve"> </w:t>
      </w:r>
      <w:r>
        <w:rPr>
          <w:sz w:val="18"/>
          <w:szCs w:val="18"/>
        </w:rPr>
        <w:t xml:space="preserve">Samuel P. Huntington, </w:t>
      </w:r>
      <w:r>
        <w:rPr>
          <w:rStyle w:val="8"/>
          <w:sz w:val="18"/>
          <w:szCs w:val="18"/>
        </w:rPr>
        <w:t>Political Order in Changing Societies</w:t>
      </w:r>
      <w:r>
        <w:rPr>
          <w:sz w:val="18"/>
          <w:szCs w:val="18"/>
        </w:rPr>
        <w:t>, p. 29.</w:t>
      </w:r>
    </w:p>
  </w:footnote>
  <w:footnote w:id="64">
    <w:p w14:paraId="5A581B64">
      <w:pPr>
        <w:pStyle w:val="13"/>
        <w:ind w:firstLine="720" w:firstLineChars="0"/>
        <w:rPr>
          <w:sz w:val="18"/>
          <w:szCs w:val="18"/>
        </w:rPr>
      </w:pPr>
      <w:r>
        <w:rPr>
          <w:rStyle w:val="10"/>
        </w:rPr>
        <w:footnoteRef/>
      </w:r>
      <w:r>
        <w:t xml:space="preserve"> </w:t>
      </w:r>
      <w:r>
        <w:rPr>
          <w:sz w:val="18"/>
          <w:szCs w:val="18"/>
        </w:rPr>
        <w:t>Ibid., p. 39.</w:t>
      </w:r>
    </w:p>
    <w:p w14:paraId="445B85A3">
      <w:pPr>
        <w:pStyle w:val="11"/>
        <w:ind w:firstLine="720" w:firstLineChars="0"/>
      </w:pPr>
    </w:p>
  </w:footnote>
  <w:footnote w:id="65">
    <w:p w14:paraId="54BF825C">
      <w:pPr>
        <w:pStyle w:val="11"/>
        <w:ind w:firstLine="720" w:firstLineChars="0"/>
      </w:pPr>
      <w:r>
        <w:rPr>
          <w:rStyle w:val="10"/>
        </w:rPr>
        <w:footnoteRef/>
      </w:r>
      <w:r>
        <w:t xml:space="preserve"> </w:t>
      </w:r>
      <w:r>
        <w:rPr>
          <w:sz w:val="18"/>
          <w:szCs w:val="18"/>
        </w:rPr>
        <w:t xml:space="preserve">Francis Fukuyama, </w:t>
      </w:r>
      <w:r>
        <w:rPr>
          <w:rStyle w:val="8"/>
          <w:sz w:val="18"/>
          <w:szCs w:val="18"/>
        </w:rPr>
        <w:t>The Origins of Political Order</w:t>
      </w:r>
      <w:r>
        <w:rPr>
          <w:sz w:val="18"/>
          <w:szCs w:val="18"/>
        </w:rPr>
        <w:t xml:space="preserve"> (New York: Farrar, Straus and Giroux, 2011), p. 186.</w:t>
      </w:r>
      <w:r>
        <w:rPr>
          <w:sz w:val="18"/>
          <w:szCs w:val="18"/>
        </w:rPr>
        <w:br w:type="textWrapping"/>
      </w:r>
    </w:p>
  </w:footnote>
  <w:footnote w:id="66">
    <w:p w14:paraId="0663EE75">
      <w:pPr>
        <w:pStyle w:val="11"/>
        <w:ind w:firstLine="720" w:firstLineChars="0"/>
      </w:pPr>
      <w:r>
        <w:rPr>
          <w:rStyle w:val="10"/>
        </w:rPr>
        <w:footnoteRef/>
      </w:r>
      <w:r>
        <w:t xml:space="preserve"> </w:t>
      </w:r>
      <w:r>
        <w:rPr>
          <w:sz w:val="18"/>
          <w:szCs w:val="18"/>
        </w:rPr>
        <w:t>Ibid., p. 188.</w:t>
      </w:r>
    </w:p>
  </w:footnote>
  <w:footnote w:id="67">
    <w:p w14:paraId="4E3E5EF6">
      <w:pPr>
        <w:pStyle w:val="11"/>
        <w:ind w:firstLine="720" w:firstLineChars="0"/>
      </w:pPr>
      <w:r>
        <w:rPr>
          <w:rStyle w:val="10"/>
        </w:rPr>
        <w:footnoteRef/>
      </w:r>
      <w:r>
        <w:t xml:space="preserve"> </w:t>
      </w:r>
      <w:r>
        <w:rPr>
          <w:sz w:val="18"/>
          <w:szCs w:val="18"/>
        </w:rPr>
        <w:t>Ibid., p. 190.</w:t>
      </w:r>
      <w:r>
        <w:rPr>
          <w:sz w:val="18"/>
          <w:szCs w:val="18"/>
        </w:rPr>
        <w:br w:type="textWrapping"/>
      </w:r>
    </w:p>
  </w:footnote>
  <w:footnote w:id="68">
    <w:p w14:paraId="65286B98">
      <w:pPr>
        <w:pStyle w:val="11"/>
        <w:ind w:firstLine="720" w:firstLineChars="0"/>
      </w:pPr>
      <w:r>
        <w:rPr>
          <w:rStyle w:val="10"/>
        </w:rPr>
        <w:footnoteRef/>
      </w:r>
      <w:r>
        <w:t xml:space="preserve"> </w:t>
      </w:r>
      <w:r>
        <w:rPr>
          <w:sz w:val="18"/>
          <w:szCs w:val="18"/>
        </w:rPr>
        <w:t>Ibid., p. 191.</w:t>
      </w:r>
    </w:p>
  </w:footnote>
  <w:footnote w:id="69">
    <w:p w14:paraId="3E78B549">
      <w:pPr>
        <w:pStyle w:val="11"/>
        <w:ind w:firstLine="720" w:firstLineChars="0"/>
      </w:pPr>
      <w:r>
        <w:rPr>
          <w:rStyle w:val="10"/>
        </w:rPr>
        <w:footnoteRef/>
      </w:r>
      <w:r>
        <w:t xml:space="preserve"> </w:t>
      </w:r>
      <w:r>
        <w:rPr>
          <w:sz w:val="18"/>
          <w:szCs w:val="18"/>
        </w:rPr>
        <w:t>Ibid., p. 193.</w:t>
      </w:r>
    </w:p>
  </w:footnote>
  <w:footnote w:id="70">
    <w:p w14:paraId="1C2BEA1B">
      <w:pPr>
        <w:pStyle w:val="11"/>
        <w:ind w:firstLine="720" w:firstLineChars="0"/>
      </w:pPr>
      <w:r>
        <w:rPr>
          <w:rStyle w:val="10"/>
        </w:rPr>
        <w:footnoteRef/>
      </w:r>
      <w:r>
        <w:t xml:space="preserve"> </w:t>
      </w:r>
      <w:r>
        <w:rPr>
          <w:sz w:val="18"/>
          <w:szCs w:val="18"/>
        </w:rPr>
        <w:t>Ibid., p. 196.</w:t>
      </w:r>
    </w:p>
  </w:footnote>
  <w:footnote w:id="71">
    <w:p w14:paraId="5B66F9D8">
      <w:pPr>
        <w:pStyle w:val="11"/>
        <w:ind w:firstLine="720" w:firstLineChars="0"/>
      </w:pPr>
      <w:r>
        <w:rPr>
          <w:rStyle w:val="10"/>
        </w:rPr>
        <w:footnoteRef/>
      </w:r>
      <w:r>
        <w:t xml:space="preserve"> </w:t>
      </w:r>
      <w:r>
        <w:rPr>
          <w:sz w:val="18"/>
          <w:szCs w:val="18"/>
        </w:rPr>
        <w:t xml:space="preserve">Max Weber, </w:t>
      </w:r>
      <w:r>
        <w:rPr>
          <w:rStyle w:val="8"/>
          <w:sz w:val="18"/>
          <w:szCs w:val="18"/>
        </w:rPr>
        <w:t>Economy and Society: An Outline of Interpretive Sociology</w:t>
      </w:r>
      <w:r>
        <w:rPr>
          <w:sz w:val="18"/>
          <w:szCs w:val="18"/>
        </w:rPr>
        <w:t xml:space="preserve"> (Berkeley: University of California Press, 1978), p. 1042.</w:t>
      </w:r>
    </w:p>
  </w:footnote>
  <w:footnote w:id="72">
    <w:p w14:paraId="628749BC">
      <w:pPr>
        <w:pStyle w:val="11"/>
        <w:ind w:firstLine="720" w:firstLineChars="0"/>
      </w:pPr>
      <w:r>
        <w:rPr>
          <w:rStyle w:val="10"/>
        </w:rPr>
        <w:footnoteRef/>
      </w:r>
      <w:r>
        <w:t xml:space="preserve"> </w:t>
      </w:r>
      <w:r>
        <w:rPr>
          <w:sz w:val="18"/>
          <w:szCs w:val="18"/>
        </w:rPr>
        <w:t xml:space="preserve">Douglass C. North, </w:t>
      </w:r>
      <w:r>
        <w:rPr>
          <w:rStyle w:val="8"/>
          <w:sz w:val="18"/>
          <w:szCs w:val="18"/>
        </w:rPr>
        <w:t>Institutions, Institutional Change and Economic Performance</w:t>
      </w:r>
      <w:r>
        <w:rPr>
          <w:sz w:val="18"/>
          <w:szCs w:val="18"/>
        </w:rPr>
        <w:t xml:space="preserve"> (Cambridge: Cambridge University Press, 1990), p. 42.</w:t>
      </w:r>
    </w:p>
  </w:footnote>
  <w:footnote w:id="73">
    <w:p w14:paraId="19C6F18A">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199.</w:t>
      </w:r>
    </w:p>
  </w:footnote>
  <w:footnote w:id="74">
    <w:p w14:paraId="0F025E4A">
      <w:pPr>
        <w:pStyle w:val="11"/>
        <w:ind w:firstLine="720" w:firstLineChars="0"/>
      </w:pPr>
      <w:r>
        <w:rPr>
          <w:rStyle w:val="10"/>
        </w:rPr>
        <w:footnoteRef/>
      </w:r>
      <w:r>
        <w:t xml:space="preserve"> </w:t>
      </w:r>
      <w:r>
        <w:rPr>
          <w:sz w:val="18"/>
          <w:szCs w:val="18"/>
        </w:rPr>
        <w:t xml:space="preserve">Samuel P. Huntington, </w:t>
      </w:r>
      <w:r>
        <w:rPr>
          <w:rStyle w:val="8"/>
          <w:sz w:val="18"/>
          <w:szCs w:val="18"/>
        </w:rPr>
        <w:t>Political Order in Changing Societies</w:t>
      </w:r>
      <w:r>
        <w:rPr>
          <w:sz w:val="18"/>
          <w:szCs w:val="18"/>
        </w:rPr>
        <w:t xml:space="preserve"> (New Haven: Yale University Press, 1968), p. 43.</w:t>
      </w:r>
      <w:r>
        <w:rPr>
          <w:sz w:val="18"/>
          <w:szCs w:val="18"/>
        </w:rPr>
        <w:br w:type="textWrapping"/>
      </w:r>
    </w:p>
  </w:footnote>
  <w:footnote w:id="75">
    <w:p w14:paraId="20EF8E87">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201.</w:t>
      </w:r>
    </w:p>
  </w:footnote>
  <w:footnote w:id="76">
    <w:p w14:paraId="5C7D7DC1">
      <w:pPr>
        <w:pStyle w:val="11"/>
        <w:ind w:firstLine="720" w:firstLineChars="0"/>
      </w:pPr>
      <w:r>
        <w:rPr>
          <w:rStyle w:val="10"/>
        </w:rPr>
        <w:footnoteRef/>
      </w:r>
      <w:r>
        <w:t xml:space="preserve"> </w:t>
      </w:r>
      <w:r>
        <w:rPr>
          <w:sz w:val="18"/>
          <w:szCs w:val="18"/>
        </w:rPr>
        <w:t xml:space="preserve">Francis Fukuyama, </w:t>
      </w:r>
      <w:r>
        <w:rPr>
          <w:rStyle w:val="8"/>
          <w:sz w:val="18"/>
          <w:szCs w:val="18"/>
        </w:rPr>
        <w:t>The Origins of Political Order</w:t>
      </w:r>
      <w:r>
        <w:rPr>
          <w:sz w:val="18"/>
          <w:szCs w:val="18"/>
        </w:rPr>
        <w:t xml:space="preserve"> (New York: Farrar, Straus and Giroux, 2011), p. 202.</w:t>
      </w:r>
    </w:p>
  </w:footnote>
  <w:footnote w:id="77">
    <w:p w14:paraId="0F301ECD">
      <w:pPr>
        <w:pStyle w:val="11"/>
        <w:ind w:firstLine="720" w:firstLineChars="0"/>
      </w:pPr>
      <w:r>
        <w:rPr>
          <w:rStyle w:val="10"/>
        </w:rPr>
        <w:footnoteRef/>
      </w:r>
      <w:r>
        <w:t xml:space="preserve"> </w:t>
      </w:r>
      <w:r>
        <w:rPr>
          <w:sz w:val="18"/>
          <w:szCs w:val="18"/>
        </w:rPr>
        <w:t>Ibid., p. 203.</w:t>
      </w:r>
    </w:p>
  </w:footnote>
  <w:footnote w:id="78">
    <w:p w14:paraId="5EC0C2C4">
      <w:pPr>
        <w:pStyle w:val="11"/>
        <w:ind w:firstLine="720" w:firstLineChars="0"/>
      </w:pPr>
      <w:r>
        <w:rPr>
          <w:rStyle w:val="10"/>
        </w:rPr>
        <w:footnoteRef/>
      </w:r>
      <w:r>
        <w:t xml:space="preserve"> </w:t>
      </w:r>
      <w:r>
        <w:rPr>
          <w:sz w:val="18"/>
          <w:szCs w:val="18"/>
        </w:rPr>
        <w:t xml:space="preserve">Max Weber, </w:t>
      </w:r>
      <w:r>
        <w:rPr>
          <w:rStyle w:val="8"/>
          <w:sz w:val="18"/>
          <w:szCs w:val="18"/>
        </w:rPr>
        <w:t>Economy and Society: An Outline of Interpretive Sociology</w:t>
      </w:r>
      <w:r>
        <w:rPr>
          <w:sz w:val="18"/>
          <w:szCs w:val="18"/>
        </w:rPr>
        <w:t xml:space="preserve"> (Berkeley: University of California Press, 1978), p. 1021.</w:t>
      </w:r>
    </w:p>
  </w:footnote>
  <w:footnote w:id="79">
    <w:p w14:paraId="0B980045">
      <w:pPr>
        <w:pStyle w:val="11"/>
        <w:ind w:firstLine="720" w:firstLineChars="0"/>
      </w:pPr>
      <w:r>
        <w:rPr>
          <w:rStyle w:val="10"/>
        </w:rPr>
        <w:footnoteRef/>
      </w:r>
      <w:r>
        <w:t xml:space="preserve"> </w:t>
      </w:r>
      <w:r>
        <w:rPr>
          <w:sz w:val="18"/>
          <w:szCs w:val="18"/>
        </w:rPr>
        <w:t xml:space="preserve">Max Weber, </w:t>
      </w:r>
      <w:r>
        <w:rPr>
          <w:rStyle w:val="8"/>
          <w:sz w:val="18"/>
          <w:szCs w:val="18"/>
        </w:rPr>
        <w:t>The Protestant Ethic and the Spirit of Capitalism</w:t>
      </w:r>
      <w:r>
        <w:rPr>
          <w:sz w:val="18"/>
          <w:szCs w:val="18"/>
        </w:rPr>
        <w:t xml:space="preserve"> (New York: Charles Scribner’s Sons, 1958), p. 17.</w:t>
      </w:r>
    </w:p>
  </w:footnote>
  <w:footnote w:id="80">
    <w:p w14:paraId="40D67EE5">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210.</w:t>
      </w:r>
      <w:r>
        <w:rPr>
          <w:sz w:val="18"/>
          <w:szCs w:val="18"/>
        </w:rPr>
        <w:br w:type="textWrapping"/>
      </w:r>
    </w:p>
  </w:footnote>
  <w:footnote w:id="81">
    <w:p w14:paraId="62511EBB">
      <w:pPr>
        <w:pStyle w:val="11"/>
        <w:ind w:firstLine="720" w:firstLineChars="0"/>
      </w:pPr>
      <w:r>
        <w:rPr>
          <w:rStyle w:val="10"/>
        </w:rPr>
        <w:footnoteRef/>
      </w:r>
      <w:r>
        <w:t xml:space="preserve"> </w:t>
      </w:r>
      <w:r>
        <w:rPr>
          <w:sz w:val="18"/>
          <w:szCs w:val="18"/>
        </w:rPr>
        <w:t xml:space="preserve">Douglass C. North, </w:t>
      </w:r>
      <w:r>
        <w:rPr>
          <w:rStyle w:val="8"/>
          <w:sz w:val="18"/>
          <w:szCs w:val="18"/>
        </w:rPr>
        <w:t>Institutions, Institutional Change and Economic Performance</w:t>
      </w:r>
      <w:r>
        <w:rPr>
          <w:sz w:val="18"/>
          <w:szCs w:val="18"/>
        </w:rPr>
        <w:t xml:space="preserve"> (Cambridge: Cambridge University Press, 1990), p. 48.</w:t>
      </w:r>
      <w:r>
        <w:rPr>
          <w:sz w:val="18"/>
          <w:szCs w:val="18"/>
        </w:rPr>
        <w:br w:type="textWrapping"/>
      </w:r>
    </w:p>
  </w:footnote>
  <w:footnote w:id="82">
    <w:p w14:paraId="5B6C0F3D">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214.</w:t>
      </w:r>
    </w:p>
  </w:footnote>
  <w:footnote w:id="83">
    <w:p w14:paraId="4A456A66">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226.</w:t>
      </w:r>
    </w:p>
  </w:footnote>
  <w:footnote w:id="84">
    <w:p w14:paraId="027328C8">
      <w:pPr>
        <w:pStyle w:val="11"/>
        <w:ind w:firstLine="720" w:firstLineChars="0"/>
      </w:pPr>
      <w:r>
        <w:rPr>
          <w:rStyle w:val="10"/>
        </w:rPr>
        <w:footnoteRef/>
      </w:r>
      <w:r>
        <w:t xml:space="preserve"> </w:t>
      </w:r>
      <w:r>
        <w:rPr>
          <w:sz w:val="18"/>
          <w:szCs w:val="18"/>
        </w:rPr>
        <w:t xml:space="preserve">Weber, </w:t>
      </w:r>
      <w:r>
        <w:rPr>
          <w:rStyle w:val="8"/>
          <w:sz w:val="18"/>
          <w:szCs w:val="18"/>
        </w:rPr>
        <w:t>Protestant Ethic</w:t>
      </w:r>
      <w:r>
        <w:rPr>
          <w:sz w:val="18"/>
          <w:szCs w:val="18"/>
        </w:rPr>
        <w:t>, p. 21.</w:t>
      </w:r>
    </w:p>
  </w:footnote>
  <w:footnote w:id="85">
    <w:p w14:paraId="3A1A3675">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217.</w:t>
      </w:r>
    </w:p>
  </w:footnote>
  <w:footnote w:id="86">
    <w:p w14:paraId="34FC06CB">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230.</w:t>
      </w:r>
      <w:r>
        <w:rPr>
          <w:sz w:val="18"/>
          <w:szCs w:val="18"/>
        </w:rPr>
        <w:br w:type="textWrapping"/>
      </w:r>
    </w:p>
  </w:footnote>
  <w:footnote w:id="87">
    <w:p w14:paraId="1F559407">
      <w:pPr>
        <w:pStyle w:val="11"/>
        <w:ind w:firstLine="720" w:firstLineChars="0"/>
      </w:pPr>
      <w:r>
        <w:rPr>
          <w:rStyle w:val="10"/>
        </w:rPr>
        <w:footnoteRef/>
      </w:r>
      <w:r>
        <w:t xml:space="preserve"> </w:t>
      </w:r>
      <w:r>
        <w:rPr>
          <w:sz w:val="18"/>
          <w:szCs w:val="18"/>
        </w:rPr>
        <w:t xml:space="preserve">Francis Fukuyama, </w:t>
      </w:r>
      <w:r>
        <w:rPr>
          <w:rStyle w:val="8"/>
          <w:sz w:val="18"/>
          <w:szCs w:val="18"/>
        </w:rPr>
        <w:t>The Origins of Political Order</w:t>
      </w:r>
      <w:r>
        <w:rPr>
          <w:sz w:val="18"/>
          <w:szCs w:val="18"/>
        </w:rPr>
        <w:t xml:space="preserve"> (New York: Farrar, Straus and Giroux, 2011), p. 240.</w:t>
      </w:r>
    </w:p>
  </w:footnote>
  <w:footnote w:id="88">
    <w:p w14:paraId="521BE8FA">
      <w:pPr>
        <w:pStyle w:val="11"/>
        <w:ind w:firstLine="720" w:firstLineChars="0"/>
      </w:pPr>
      <w:r>
        <w:rPr>
          <w:rStyle w:val="10"/>
        </w:rPr>
        <w:footnoteRef/>
      </w:r>
      <w:r>
        <w:t xml:space="preserve"> </w:t>
      </w:r>
      <w:r>
        <w:rPr>
          <w:sz w:val="18"/>
          <w:szCs w:val="18"/>
        </w:rPr>
        <w:t>Ibid., p. 242.</w:t>
      </w:r>
      <w:r>
        <w:rPr>
          <w:sz w:val="18"/>
          <w:szCs w:val="18"/>
        </w:rPr>
        <w:br w:type="textWrapping"/>
      </w:r>
    </w:p>
  </w:footnote>
  <w:footnote w:id="89">
    <w:p w14:paraId="1661D8D2">
      <w:pPr>
        <w:pStyle w:val="11"/>
        <w:ind w:firstLine="720" w:firstLineChars="0"/>
      </w:pPr>
      <w:r>
        <w:rPr>
          <w:rStyle w:val="10"/>
        </w:rPr>
        <w:footnoteRef/>
      </w:r>
      <w:r>
        <w:t xml:space="preserve"> </w:t>
      </w:r>
      <w:r>
        <w:rPr>
          <w:sz w:val="18"/>
          <w:szCs w:val="18"/>
        </w:rPr>
        <w:t xml:space="preserve">Douglass C. North, </w:t>
      </w:r>
      <w:r>
        <w:rPr>
          <w:rStyle w:val="8"/>
          <w:sz w:val="18"/>
          <w:szCs w:val="18"/>
        </w:rPr>
        <w:t>Institutions, Institutional Change and Economic Performance</w:t>
      </w:r>
      <w:r>
        <w:rPr>
          <w:sz w:val="18"/>
          <w:szCs w:val="18"/>
        </w:rPr>
        <w:t xml:space="preserve"> (Cambridge: Cambridge University Press, 1990), p. 58.</w:t>
      </w:r>
    </w:p>
  </w:footnote>
  <w:footnote w:id="90">
    <w:p w14:paraId="6CED134F">
      <w:pPr>
        <w:pStyle w:val="11"/>
        <w:ind w:firstLine="720" w:firstLineChars="0"/>
      </w:pPr>
      <w:r>
        <w:rPr>
          <w:rStyle w:val="10"/>
        </w:rPr>
        <w:footnoteRef/>
      </w:r>
      <w:r>
        <w:t xml:space="preserve"> </w:t>
      </w:r>
      <w:r>
        <w:rPr>
          <w:sz w:val="18"/>
          <w:szCs w:val="18"/>
        </w:rPr>
        <w:t xml:space="preserve">Max Weber, </w:t>
      </w:r>
      <w:r>
        <w:rPr>
          <w:rStyle w:val="8"/>
          <w:sz w:val="18"/>
          <w:szCs w:val="18"/>
        </w:rPr>
        <w:t>Economy and Society: An Outline of Interpretive Sociology</w:t>
      </w:r>
      <w:r>
        <w:rPr>
          <w:sz w:val="18"/>
          <w:szCs w:val="18"/>
        </w:rPr>
        <w:t xml:space="preserve"> (Berkeley: University of California Press, 1978), p. 1045.</w:t>
      </w:r>
    </w:p>
  </w:footnote>
  <w:footnote w:id="91">
    <w:p w14:paraId="348BE6E1">
      <w:pPr>
        <w:pStyle w:val="11"/>
        <w:ind w:firstLine="720" w:firstLineChars="0"/>
      </w:pPr>
      <w:r>
        <w:rPr>
          <w:rStyle w:val="10"/>
        </w:rPr>
        <w:footnoteRef/>
      </w:r>
      <w:r>
        <w:t xml:space="preserve"> </w:t>
      </w:r>
      <w:r>
        <w:rPr>
          <w:sz w:val="18"/>
          <w:szCs w:val="18"/>
        </w:rPr>
        <w:t xml:space="preserve">Samuel P. Huntington, </w:t>
      </w:r>
      <w:r>
        <w:rPr>
          <w:rStyle w:val="8"/>
          <w:sz w:val="18"/>
          <w:szCs w:val="18"/>
        </w:rPr>
        <w:t>Political Order in Changing Societies</w:t>
      </w:r>
      <w:r>
        <w:rPr>
          <w:sz w:val="18"/>
          <w:szCs w:val="18"/>
        </w:rPr>
        <w:t xml:space="preserve"> (New Haven: Yale University Press, 1968), p. 53.</w:t>
      </w:r>
      <w:r>
        <w:rPr>
          <w:sz w:val="18"/>
          <w:szCs w:val="18"/>
        </w:rPr>
        <w:br w:type="textWrapping"/>
      </w:r>
    </w:p>
  </w:footnote>
  <w:footnote w:id="92">
    <w:p w14:paraId="7F3549A1">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247.</w:t>
      </w:r>
      <w:r>
        <w:rPr>
          <w:sz w:val="18"/>
          <w:szCs w:val="18"/>
        </w:rPr>
        <w:br w:type="textWrapping"/>
      </w:r>
    </w:p>
  </w:footnote>
  <w:footnote w:id="93">
    <w:p w14:paraId="45FFE1B1">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252.</w:t>
      </w:r>
      <w:r>
        <w:rPr>
          <w:sz w:val="18"/>
          <w:szCs w:val="18"/>
        </w:rPr>
        <w:br w:type="textWrapping"/>
      </w:r>
    </w:p>
  </w:footnote>
  <w:footnote w:id="94">
    <w:p w14:paraId="33F2FF33">
      <w:pPr>
        <w:pStyle w:val="11"/>
        <w:ind w:firstLine="720" w:firstLineChars="0"/>
      </w:pPr>
      <w:r>
        <w:rPr>
          <w:rStyle w:val="10"/>
        </w:rPr>
        <w:footnoteRef/>
      </w:r>
      <w:r>
        <w:t xml:space="preserve"> </w:t>
      </w:r>
      <w:r>
        <w:rPr>
          <w:sz w:val="18"/>
          <w:szCs w:val="18"/>
        </w:rPr>
        <w:t xml:space="preserve">Weber, </w:t>
      </w:r>
      <w:r>
        <w:rPr>
          <w:rStyle w:val="8"/>
          <w:sz w:val="18"/>
          <w:szCs w:val="18"/>
        </w:rPr>
        <w:t>Economy and Society</w:t>
      </w:r>
      <w:r>
        <w:rPr>
          <w:sz w:val="18"/>
          <w:szCs w:val="18"/>
        </w:rPr>
        <w:t>, p. 1053.</w:t>
      </w:r>
      <w:r>
        <w:rPr>
          <w:sz w:val="18"/>
          <w:szCs w:val="18"/>
        </w:rPr>
        <w:br w:type="textWrapping"/>
      </w:r>
    </w:p>
  </w:footnote>
  <w:footnote w:id="95">
    <w:p w14:paraId="07EA7883">
      <w:pPr>
        <w:pStyle w:val="11"/>
        <w:ind w:firstLine="720" w:firstLineChars="0"/>
      </w:pPr>
      <w:r>
        <w:rPr>
          <w:rStyle w:val="10"/>
        </w:rPr>
        <w:footnoteRef/>
      </w:r>
      <w:r>
        <w:t xml:space="preserve"> </w:t>
      </w:r>
      <w:r>
        <w:rPr>
          <w:sz w:val="18"/>
          <w:szCs w:val="18"/>
        </w:rPr>
        <w:t xml:space="preserve">Huntington, </w:t>
      </w:r>
      <w:r>
        <w:rPr>
          <w:rStyle w:val="8"/>
          <w:sz w:val="18"/>
          <w:szCs w:val="18"/>
        </w:rPr>
        <w:t>Political Order</w:t>
      </w:r>
      <w:r>
        <w:rPr>
          <w:sz w:val="18"/>
          <w:szCs w:val="18"/>
        </w:rPr>
        <w:t>, p. 57.</w:t>
      </w:r>
    </w:p>
  </w:footnote>
  <w:footnote w:id="96">
    <w:p w14:paraId="29099EDB">
      <w:pPr>
        <w:pStyle w:val="11"/>
        <w:ind w:firstLine="720" w:firstLineChars="0"/>
      </w:pPr>
      <w:r>
        <w:rPr>
          <w:rStyle w:val="10"/>
        </w:rPr>
        <w:footnoteRef/>
      </w:r>
      <w:r>
        <w:t xml:space="preserve"> </w:t>
      </w:r>
      <w:r>
        <w:rPr>
          <w:sz w:val="18"/>
          <w:szCs w:val="18"/>
        </w:rPr>
        <w:t xml:space="preserve">Francis Fukuyama, </w:t>
      </w:r>
      <w:r>
        <w:rPr>
          <w:rStyle w:val="8"/>
          <w:sz w:val="18"/>
          <w:szCs w:val="18"/>
        </w:rPr>
        <w:t>The Origins of Political Order</w:t>
      </w:r>
      <w:r>
        <w:rPr>
          <w:sz w:val="18"/>
          <w:szCs w:val="18"/>
        </w:rPr>
        <w:t xml:space="preserve"> (New York: Farrar, Straus and Giroux, 2011), p. 257.</w:t>
      </w:r>
    </w:p>
  </w:footnote>
  <w:footnote w:id="97">
    <w:p w14:paraId="727A4E05">
      <w:pPr>
        <w:pStyle w:val="11"/>
        <w:ind w:firstLine="720" w:firstLineChars="0"/>
      </w:pPr>
      <w:r>
        <w:rPr>
          <w:rStyle w:val="10"/>
        </w:rPr>
        <w:footnoteRef/>
      </w:r>
      <w:r>
        <w:t xml:space="preserve"> </w:t>
      </w:r>
      <w:r>
        <w:rPr>
          <w:sz w:val="18"/>
          <w:szCs w:val="18"/>
        </w:rPr>
        <w:t xml:space="preserve">Max Weber, </w:t>
      </w:r>
      <w:r>
        <w:rPr>
          <w:rStyle w:val="8"/>
          <w:sz w:val="18"/>
          <w:szCs w:val="18"/>
        </w:rPr>
        <w:t>Economy and Society: An Outline of Interpretive Sociology</w:t>
      </w:r>
      <w:r>
        <w:rPr>
          <w:sz w:val="18"/>
          <w:szCs w:val="18"/>
        </w:rPr>
        <w:t xml:space="preserve"> (Berkeley: University of California Press, 1978), p. 1054.</w:t>
      </w:r>
      <w:r>
        <w:rPr>
          <w:sz w:val="18"/>
          <w:szCs w:val="18"/>
        </w:rPr>
        <w:br w:type="textWrapping"/>
      </w:r>
    </w:p>
  </w:footnote>
  <w:footnote w:id="98">
    <w:p w14:paraId="54BE9AD1">
      <w:pPr>
        <w:pStyle w:val="11"/>
        <w:ind w:firstLine="720" w:firstLineChars="0"/>
      </w:pPr>
      <w:r>
        <w:rPr>
          <w:rStyle w:val="10"/>
        </w:rPr>
        <w:footnoteRef/>
      </w:r>
      <w:r>
        <w:t xml:space="preserve"> </w:t>
      </w:r>
      <w:r>
        <w:rPr>
          <w:sz w:val="18"/>
          <w:szCs w:val="18"/>
        </w:rPr>
        <w:t xml:space="preserve">Fukuyama, </w:t>
      </w:r>
      <w:r>
        <w:rPr>
          <w:rStyle w:val="8"/>
          <w:sz w:val="18"/>
          <w:szCs w:val="18"/>
        </w:rPr>
        <w:t>Origins</w:t>
      </w:r>
      <w:r>
        <w:rPr>
          <w:sz w:val="18"/>
          <w:szCs w:val="18"/>
        </w:rPr>
        <w:t>, p. 261.</w:t>
      </w:r>
    </w:p>
  </w:footnote>
  <w:footnote w:id="99">
    <w:p w14:paraId="101F1840">
      <w:pPr>
        <w:pStyle w:val="11"/>
        <w:ind w:firstLine="720" w:firstLineChars="0"/>
      </w:pPr>
      <w:r>
        <w:rPr>
          <w:rStyle w:val="10"/>
        </w:rPr>
        <w:footnoteRef/>
      </w:r>
      <w:r>
        <w:t xml:space="preserve"> </w:t>
      </w:r>
      <w:r>
        <w:rPr>
          <w:sz w:val="18"/>
          <w:szCs w:val="18"/>
        </w:rPr>
        <w:t xml:space="preserve">Samuel P. Huntington, </w:t>
      </w:r>
      <w:r>
        <w:rPr>
          <w:rStyle w:val="8"/>
          <w:sz w:val="18"/>
          <w:szCs w:val="18"/>
        </w:rPr>
        <w:t>Political Order in Changing Societies</w:t>
      </w:r>
      <w:r>
        <w:rPr>
          <w:sz w:val="18"/>
          <w:szCs w:val="18"/>
        </w:rPr>
        <w:t xml:space="preserve"> (New Haven: Yale University Press, 1968), p. 24.</w:t>
      </w:r>
    </w:p>
  </w:footnote>
  <w:footnote w:id="100">
    <w:p w14:paraId="29E09139">
      <w:pPr>
        <w:pStyle w:val="11"/>
        <w:ind w:firstLine="720" w:firstLineChars="0"/>
      </w:pPr>
      <w:r>
        <w:rPr>
          <w:rStyle w:val="10"/>
        </w:rPr>
        <w:footnoteRef/>
      </w:r>
      <w:r>
        <w:t xml:space="preserve"> </w:t>
      </w:r>
      <w:r>
        <w:rPr>
          <w:sz w:val="18"/>
          <w:szCs w:val="18"/>
        </w:rPr>
        <w:t xml:space="preserve">Douglass C. North, </w:t>
      </w:r>
      <w:r>
        <w:rPr>
          <w:rStyle w:val="8"/>
          <w:sz w:val="18"/>
          <w:szCs w:val="18"/>
        </w:rPr>
        <w:t>Institutions, Institutional Change and Economic Performance</w:t>
      </w:r>
      <w:r>
        <w:rPr>
          <w:sz w:val="18"/>
          <w:szCs w:val="18"/>
        </w:rPr>
        <w:t xml:space="preserve"> (Cambridge: Cambridge University Press, 1990), p. 66.</w:t>
      </w:r>
      <w:r>
        <w:rPr>
          <w:sz w:val="18"/>
          <w:szCs w:val="18"/>
        </w:rPr>
        <w:br w:type="textWrapping"/>
      </w:r>
    </w:p>
  </w:footnote>
  <w:footnote w:id="101">
    <w:p w14:paraId="123B06ED">
      <w:pPr>
        <w:pStyle w:val="11"/>
        <w:ind w:firstLine="720" w:firstLineChars="0"/>
      </w:pPr>
      <w:r>
        <w:rPr>
          <w:rStyle w:val="10"/>
        </w:rPr>
        <w:footnoteRef/>
      </w:r>
      <w:r>
        <w:t xml:space="preserve"> </w:t>
      </w:r>
      <w:r>
        <w:rPr>
          <w:sz w:val="18"/>
          <w:szCs w:val="18"/>
        </w:rPr>
        <w:t xml:space="preserve">Charles Tilly, </w:t>
      </w:r>
      <w:r>
        <w:rPr>
          <w:rStyle w:val="8"/>
          <w:sz w:val="18"/>
          <w:szCs w:val="18"/>
        </w:rPr>
        <w:t>Coercion, Capital, and European States, AD 990–1990</w:t>
      </w:r>
      <w:r>
        <w:rPr>
          <w:sz w:val="18"/>
          <w:szCs w:val="18"/>
        </w:rPr>
        <w:t xml:space="preserve"> (Cambridge, MA: Basil Blackwell, 1990), p. 89.</w:t>
      </w:r>
    </w:p>
  </w:footnote>
  <w:footnote w:id="102">
    <w:p w14:paraId="16DBBF89">
      <w:pPr>
        <w:pStyle w:val="11"/>
        <w:ind w:firstLine="720" w:firstLineChars="0"/>
      </w:pPr>
      <w:r>
        <w:rPr>
          <w:rStyle w:val="10"/>
        </w:rPr>
        <w:footnoteRef/>
      </w:r>
      <w:r>
        <w:t xml:space="preserve"> </w:t>
      </w:r>
      <w:r>
        <w:rPr>
          <w:sz w:val="18"/>
          <w:szCs w:val="18"/>
        </w:rPr>
        <w:t xml:space="preserve">North, </w:t>
      </w:r>
      <w:r>
        <w:rPr>
          <w:rStyle w:val="8"/>
          <w:sz w:val="18"/>
          <w:szCs w:val="18"/>
        </w:rPr>
        <w:t>Institutions, Institutional Change and Economic Performance</w:t>
      </w:r>
      <w:r>
        <w:rPr>
          <w:sz w:val="18"/>
          <w:szCs w:val="18"/>
        </w:rPr>
        <w:t>, p. 70.</w:t>
      </w:r>
    </w:p>
  </w:footnote>
  <w:footnote w:id="103">
    <w:p w14:paraId="6C5A9159">
      <w:pPr>
        <w:pStyle w:val="11"/>
        <w:ind w:firstLine="720" w:firstLineChars="0"/>
      </w:pPr>
      <w:r>
        <w:rPr>
          <w:rStyle w:val="10"/>
        </w:rPr>
        <w:footnoteRef/>
      </w:r>
      <w:r>
        <w:t xml:space="preserve"> </w:t>
      </w:r>
      <w:r>
        <w:rPr>
          <w:sz w:val="18"/>
          <w:szCs w:val="18"/>
        </w:rPr>
        <w:t xml:space="preserve">Huntington, </w:t>
      </w:r>
      <w:r>
        <w:rPr>
          <w:rStyle w:val="8"/>
          <w:sz w:val="18"/>
          <w:szCs w:val="18"/>
        </w:rPr>
        <w:t>Political Order</w:t>
      </w:r>
      <w:r>
        <w:rPr>
          <w:sz w:val="18"/>
          <w:szCs w:val="18"/>
        </w:rPr>
        <w:t>, p. 58.</w:t>
      </w:r>
    </w:p>
  </w:footnote>
  <w:footnote w:id="104">
    <w:p w14:paraId="0ED5524D">
      <w:pPr>
        <w:pStyle w:val="11"/>
        <w:ind w:firstLine="720" w:firstLineChars="0"/>
      </w:pPr>
      <w:r>
        <w:rPr>
          <w:rStyle w:val="10"/>
        </w:rPr>
        <w:footnoteRef/>
      </w:r>
      <w:r>
        <w:t xml:space="preserve"> </w:t>
      </w:r>
      <w:r>
        <w:rPr>
          <w:sz w:val="18"/>
          <w:szCs w:val="18"/>
        </w:rPr>
        <w:t xml:space="preserve">Francis Fukuyama, </w:t>
      </w:r>
      <w:r>
        <w:rPr>
          <w:rStyle w:val="8"/>
          <w:sz w:val="18"/>
          <w:szCs w:val="18"/>
        </w:rPr>
        <w:t>Political Order and Political Decay: From the Industrial Revolution to the Globalization of Democracy</w:t>
      </w:r>
      <w:r>
        <w:rPr>
          <w:sz w:val="18"/>
          <w:szCs w:val="18"/>
        </w:rPr>
        <w:t xml:space="preserve"> (New York: Farrar, Straus and Giroux, 2014), p. 3.</w:t>
      </w:r>
    </w:p>
  </w:footnote>
  <w:footnote w:id="105">
    <w:p w14:paraId="13F56EB4">
      <w:pPr>
        <w:pStyle w:val="11"/>
        <w:ind w:firstLine="720" w:firstLineChars="0"/>
      </w:pPr>
      <w:r>
        <w:rPr>
          <w:rStyle w:val="10"/>
        </w:rPr>
        <w:footnoteRef/>
      </w:r>
      <w:r>
        <w:t xml:space="preserve"> </w:t>
      </w:r>
      <w:r>
        <w:rPr>
          <w:sz w:val="18"/>
          <w:szCs w:val="18"/>
        </w:rPr>
        <w:t xml:space="preserve">Fukuyama, </w:t>
      </w:r>
      <w:r>
        <w:rPr>
          <w:rStyle w:val="8"/>
          <w:sz w:val="18"/>
          <w:szCs w:val="18"/>
        </w:rPr>
        <w:t>Political Order and Political Decay</w:t>
      </w:r>
      <w:r>
        <w:rPr>
          <w:sz w:val="18"/>
          <w:szCs w:val="18"/>
        </w:rPr>
        <w:t>, p. 9.</w:t>
      </w:r>
    </w:p>
  </w:footnote>
  <w:footnote w:id="106">
    <w:p w14:paraId="3267B292">
      <w:pPr>
        <w:spacing w:line="240" w:lineRule="auto"/>
        <w:ind w:firstLine="720" w:firstLineChars="0"/>
        <w:rPr>
          <w:rFonts w:ascii="Times New Roman" w:hAnsi="Times New Roman" w:cs="Times New Roman"/>
          <w:sz w:val="18"/>
          <w:szCs w:val="18"/>
        </w:rPr>
      </w:pPr>
      <w:r>
        <w:rPr>
          <w:rStyle w:val="10"/>
          <w:sz w:val="18"/>
          <w:szCs w:val="18"/>
        </w:rPr>
        <w:footnoteRef/>
      </w:r>
      <w:r>
        <w:rPr>
          <w:sz w:val="18"/>
          <w:szCs w:val="18"/>
        </w:rP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The Origins of Political Order: From Prehuman Times to the French Revolution</w:t>
      </w:r>
      <w:r>
        <w:rPr>
          <w:rFonts w:ascii="Times New Roman" w:hAnsi="Times New Roman" w:cs="Times New Roman"/>
          <w:sz w:val="18"/>
          <w:szCs w:val="18"/>
        </w:rPr>
        <w:t xml:space="preserve"> (Farrar, Straus and Giroux, 2011), p. 12.</w:t>
      </w:r>
    </w:p>
  </w:footnote>
  <w:footnote w:id="107">
    <w:p w14:paraId="4F3A501F">
      <w:pPr>
        <w:spacing w:line="240" w:lineRule="auto"/>
        <w:ind w:firstLine="720" w:firstLineChars="0"/>
        <w:rPr>
          <w:rFonts w:ascii="Times New Roman" w:hAnsi="Times New Roman" w:cs="Times New Roman"/>
          <w:sz w:val="18"/>
          <w:szCs w:val="18"/>
        </w:rPr>
      </w:pPr>
      <w:r>
        <w:rPr>
          <w:rStyle w:val="10"/>
          <w:sz w:val="18"/>
          <w:szCs w:val="18"/>
        </w:rPr>
        <w:footnoteRef/>
      </w:r>
      <w:r>
        <w:rPr>
          <w:sz w:val="18"/>
          <w:szCs w:val="18"/>
        </w:rP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Political Order and Political Decay: From the Industrial Revolution to the Globalization of Democracy</w:t>
      </w:r>
      <w:r>
        <w:rPr>
          <w:rFonts w:ascii="Times New Roman" w:hAnsi="Times New Roman" w:cs="Times New Roman"/>
          <w:sz w:val="18"/>
          <w:szCs w:val="18"/>
        </w:rPr>
        <w:t xml:space="preserve"> (Farrar, Straus and Giroux, 2014), p. 25.</w:t>
      </w:r>
    </w:p>
    <w:p w14:paraId="0B20A13D">
      <w:pPr>
        <w:pStyle w:val="11"/>
        <w:ind w:firstLine="720" w:firstLineChars="0"/>
        <w:rPr>
          <w:sz w:val="18"/>
          <w:szCs w:val="18"/>
        </w:rPr>
      </w:pPr>
    </w:p>
  </w:footnote>
  <w:footnote w:id="108">
    <w:p w14:paraId="7DD64AD1">
      <w:pPr>
        <w:spacing w:line="240" w:lineRule="auto"/>
        <w:ind w:firstLine="720" w:firstLineChars="0"/>
        <w:rPr>
          <w:rFonts w:ascii="Times New Roman" w:hAnsi="Times New Roman" w:cs="Times New Roman"/>
          <w:sz w:val="18"/>
          <w:szCs w:val="18"/>
        </w:rPr>
      </w:pPr>
      <w:r>
        <w:rPr>
          <w:rStyle w:val="10"/>
          <w:sz w:val="18"/>
          <w:szCs w:val="18"/>
        </w:rPr>
        <w:footnoteRef/>
      </w:r>
      <w:r>
        <w:rPr>
          <w:sz w:val="18"/>
          <w:szCs w:val="18"/>
        </w:rPr>
        <w:t xml:space="preserve"> </w:t>
      </w:r>
      <w:r>
        <w:rPr>
          <w:rFonts w:ascii="Times New Roman" w:hAnsi="Times New Roman" w:cs="Times New Roman"/>
          <w:sz w:val="18"/>
          <w:szCs w:val="18"/>
        </w:rPr>
        <w:t xml:space="preserve">OECD. </w:t>
      </w:r>
      <w:r>
        <w:rPr>
          <w:rFonts w:ascii="Times New Roman" w:hAnsi="Times New Roman" w:cs="Times New Roman"/>
          <w:i/>
          <w:iCs/>
          <w:sz w:val="18"/>
          <w:szCs w:val="18"/>
        </w:rPr>
        <w:t>Revenue Statistics in Africa 2024: Nigeria</w:t>
      </w:r>
      <w:r>
        <w:rPr>
          <w:rFonts w:ascii="Times New Roman" w:hAnsi="Times New Roman" w:cs="Times New Roman"/>
          <w:sz w:val="18"/>
          <w:szCs w:val="18"/>
        </w:rPr>
        <w:t xml:space="preserve"> (OECD Publishing, 2024), p. 24.</w:t>
      </w:r>
    </w:p>
    <w:p w14:paraId="210133D5">
      <w:pPr>
        <w:pStyle w:val="11"/>
        <w:ind w:firstLine="720" w:firstLineChars="0"/>
      </w:pPr>
    </w:p>
  </w:footnote>
  <w:footnote w:id="109">
    <w:p w14:paraId="462E2841">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The Origins of Political Order: From Prehuman Times to the French Revolution</w:t>
      </w:r>
      <w:r>
        <w:rPr>
          <w:rFonts w:ascii="Times New Roman" w:hAnsi="Times New Roman" w:cs="Times New Roman"/>
          <w:sz w:val="18"/>
          <w:szCs w:val="18"/>
        </w:rPr>
        <w:t xml:space="preserve"> (Farrar, Straus and Giroux, 2011), pp 36.</w:t>
      </w:r>
    </w:p>
  </w:footnote>
  <w:footnote w:id="110">
    <w:p w14:paraId="73CB1017">
      <w:pPr>
        <w:pStyle w:val="11"/>
        <w:ind w:firstLine="720" w:firstLineChars="0"/>
      </w:pPr>
      <w:r>
        <w:rPr>
          <w:rStyle w:val="10"/>
        </w:rPr>
        <w:footnoteRef/>
      </w:r>
      <w:r>
        <w:t xml:space="preserve"> Imbd, 35</w:t>
      </w:r>
    </w:p>
  </w:footnote>
  <w:footnote w:id="111">
    <w:p w14:paraId="50353153">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OECD. </w:t>
      </w:r>
      <w:r>
        <w:rPr>
          <w:rFonts w:ascii="Times New Roman" w:hAnsi="Times New Roman" w:cs="Times New Roman"/>
          <w:i/>
          <w:iCs/>
          <w:sz w:val="18"/>
          <w:szCs w:val="18"/>
        </w:rPr>
        <w:t>Revenue Statistics in Africa 2024: Nigeria</w:t>
      </w:r>
      <w:r>
        <w:rPr>
          <w:rFonts w:ascii="Times New Roman" w:hAnsi="Times New Roman" w:cs="Times New Roman"/>
          <w:sz w:val="18"/>
          <w:szCs w:val="18"/>
        </w:rPr>
        <w:t xml:space="preserve"> (OECD Publishing, 2024), p. 24.</w:t>
      </w:r>
    </w:p>
    <w:p w14:paraId="23B21771">
      <w:pPr>
        <w:pStyle w:val="11"/>
        <w:ind w:firstLine="720" w:firstLineChars="0"/>
      </w:pPr>
    </w:p>
  </w:footnote>
  <w:footnote w:id="112">
    <w:p w14:paraId="023A1F2C">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Weber, Max. </w:t>
      </w:r>
      <w:r>
        <w:rPr>
          <w:rFonts w:ascii="Times New Roman" w:hAnsi="Times New Roman" w:cs="Times New Roman"/>
          <w:i/>
          <w:iCs/>
          <w:sz w:val="18"/>
          <w:szCs w:val="18"/>
        </w:rPr>
        <w:t>Economy and Society</w:t>
      </w:r>
      <w:r>
        <w:rPr>
          <w:rFonts w:ascii="Times New Roman" w:hAnsi="Times New Roman" w:cs="Times New Roman"/>
          <w:sz w:val="18"/>
          <w:szCs w:val="18"/>
        </w:rPr>
        <w:t xml:space="preserve"> (University of California Press, 1978), p. 220.</w:t>
      </w:r>
    </w:p>
  </w:footnote>
  <w:footnote w:id="113">
    <w:p w14:paraId="0ACA9BA7">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The Origins of Political Order: From Prehuman Times to the French Revolution</w:t>
      </w:r>
      <w:r>
        <w:rPr>
          <w:rFonts w:ascii="Times New Roman" w:hAnsi="Times New Roman" w:cs="Times New Roman"/>
          <w:sz w:val="18"/>
          <w:szCs w:val="18"/>
        </w:rPr>
        <w:t xml:space="preserve"> (Farrar, Straus and Giroux, 2011), pp. 45.</w:t>
      </w:r>
    </w:p>
  </w:footnote>
  <w:footnote w:id="114">
    <w:p w14:paraId="19C1FFC8">
      <w:pPr>
        <w:spacing w:line="48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Oluwakayode, Ayo. The</w:t>
      </w:r>
      <w:r>
        <w:rPr>
          <w:rFonts w:ascii="Times New Roman" w:hAnsi="Times New Roman" w:cs="Times New Roman"/>
          <w:i/>
          <w:iCs/>
          <w:sz w:val="18"/>
          <w:szCs w:val="18"/>
        </w:rPr>
        <w:t xml:space="preserve"> Judiciary and the Nigerian State</w:t>
      </w:r>
      <w:r>
        <w:rPr>
          <w:rFonts w:ascii="Times New Roman" w:hAnsi="Times New Roman" w:cs="Times New Roman"/>
          <w:sz w:val="18"/>
          <w:szCs w:val="18"/>
        </w:rPr>
        <w:t xml:space="preserve"> (Lagos University Press, 2021), p. 89.</w:t>
      </w:r>
    </w:p>
    <w:p w14:paraId="427E6946">
      <w:pPr>
        <w:pStyle w:val="11"/>
        <w:ind w:firstLine="720" w:firstLineChars="0"/>
      </w:pPr>
    </w:p>
  </w:footnote>
  <w:footnote w:id="115">
    <w:p w14:paraId="069973EB">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Political Order and Political Decay: From the Industrial Revolution to the Globalization of Democracy</w:t>
      </w:r>
      <w:r>
        <w:rPr>
          <w:rFonts w:ascii="Times New Roman" w:hAnsi="Times New Roman" w:cs="Times New Roman"/>
          <w:sz w:val="18"/>
          <w:szCs w:val="18"/>
        </w:rPr>
        <w:t xml:space="preserve"> (Farrar, Straus and Giroux, 2014), p. 134.</w:t>
      </w:r>
    </w:p>
  </w:footnote>
  <w:footnote w:id="116">
    <w:p w14:paraId="4800B31F">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Dataphyte. “Nigeria Records Only 26.72% Voter Turnout in 2023 Election.” (March 3 2023).</w:t>
      </w:r>
    </w:p>
  </w:footnote>
  <w:footnote w:id="117">
    <w:p w14:paraId="5DE4814E">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Achebe, Chinua. </w:t>
      </w:r>
      <w:r>
        <w:rPr>
          <w:rFonts w:ascii="Times New Roman" w:hAnsi="Times New Roman" w:cs="Times New Roman"/>
          <w:i/>
          <w:iCs/>
          <w:sz w:val="18"/>
          <w:szCs w:val="18"/>
        </w:rPr>
        <w:t>The Trouble with Nigeria</w:t>
      </w:r>
      <w:r>
        <w:rPr>
          <w:rFonts w:ascii="Times New Roman" w:hAnsi="Times New Roman" w:cs="Times New Roman"/>
          <w:sz w:val="18"/>
          <w:szCs w:val="18"/>
        </w:rPr>
        <w:t xml:space="preserve"> (Heinemann Educational Books, 1983), p. 2.</w:t>
      </w:r>
    </w:p>
    <w:p w14:paraId="22416D65">
      <w:pPr>
        <w:pStyle w:val="11"/>
        <w:ind w:firstLine="720" w:firstLineChars="0"/>
      </w:pPr>
    </w:p>
  </w:footnote>
  <w:footnote w:id="118">
    <w:p w14:paraId="430E9049">
      <w:pPr>
        <w:spacing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The Origins of Political Order: From Prehuman Times to the French Revolution</w:t>
      </w:r>
      <w:r>
        <w:rPr>
          <w:rFonts w:ascii="Times New Roman" w:hAnsi="Times New Roman" w:cs="Times New Roman"/>
          <w:sz w:val="18"/>
          <w:szCs w:val="18"/>
        </w:rPr>
        <w:t xml:space="preserve"> (Farrar, Straus and Giroux, 2011), pp. 65.</w:t>
      </w:r>
    </w:p>
    <w:p w14:paraId="20C21D22">
      <w:pPr>
        <w:pStyle w:val="11"/>
        <w:ind w:firstLine="720" w:firstLineChars="0"/>
      </w:pPr>
    </w:p>
  </w:footnote>
  <w:footnote w:id="119">
    <w:p w14:paraId="51E4684F">
      <w:pPr>
        <w:spacing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Ibid, pp. 68.</w:t>
      </w:r>
    </w:p>
    <w:p w14:paraId="42827910">
      <w:pPr>
        <w:pStyle w:val="11"/>
        <w:ind w:firstLine="720" w:firstLineChars="0"/>
      </w:pPr>
    </w:p>
  </w:footnote>
  <w:footnote w:id="120">
    <w:p w14:paraId="226B36E7">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OECD. </w:t>
      </w:r>
      <w:r>
        <w:rPr>
          <w:rFonts w:ascii="Times New Roman" w:hAnsi="Times New Roman" w:cs="Times New Roman"/>
          <w:i/>
          <w:iCs/>
          <w:sz w:val="18"/>
          <w:szCs w:val="18"/>
        </w:rPr>
        <w:t>Revenue Statistics in Africa 2024: Nigeria</w:t>
      </w:r>
      <w:r>
        <w:rPr>
          <w:rFonts w:ascii="Times New Roman" w:hAnsi="Times New Roman" w:cs="Times New Roman"/>
          <w:sz w:val="18"/>
          <w:szCs w:val="18"/>
        </w:rPr>
        <w:t xml:space="preserve"> (OECD Publishing, 2024), p. 24.</w:t>
      </w:r>
    </w:p>
  </w:footnote>
  <w:footnote w:id="121">
    <w:p w14:paraId="0625F877">
      <w:pPr>
        <w:pStyle w:val="11"/>
        <w:ind w:firstLine="720" w:firstLineChars="0"/>
      </w:pPr>
      <w:r>
        <w:rPr>
          <w:rStyle w:val="10"/>
        </w:rPr>
        <w:footnoteRef/>
      </w:r>
      <w: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Political Order and Political Decay: From the Industrial Revolution to the Globalization of Democracy</w:t>
      </w:r>
      <w:r>
        <w:rPr>
          <w:rFonts w:ascii="Times New Roman" w:hAnsi="Times New Roman" w:cs="Times New Roman"/>
          <w:sz w:val="18"/>
          <w:szCs w:val="18"/>
        </w:rPr>
        <w:t xml:space="preserve"> (Farrar, Straus and Giroux, 2014), pp. 90</w:t>
      </w:r>
    </w:p>
  </w:footnote>
  <w:footnote w:id="122">
    <w:p w14:paraId="79B997B6">
      <w:pPr>
        <w:spacing w:line="48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World Bank. </w:t>
      </w:r>
      <w:r>
        <w:rPr>
          <w:rFonts w:ascii="Times New Roman" w:hAnsi="Times New Roman" w:cs="Times New Roman"/>
          <w:i/>
          <w:iCs/>
          <w:sz w:val="18"/>
          <w:szCs w:val="18"/>
        </w:rPr>
        <w:t>Nigeria Development Update: Seizing the Opportunity</w:t>
      </w:r>
      <w:r>
        <w:rPr>
          <w:rFonts w:ascii="Times New Roman" w:hAnsi="Times New Roman" w:cs="Times New Roman"/>
          <w:sz w:val="18"/>
          <w:szCs w:val="18"/>
        </w:rPr>
        <w:t xml:space="preserve"> (World Bank Publications, 2022), p. 77.</w:t>
      </w:r>
    </w:p>
  </w:footnote>
  <w:footnote w:id="123">
    <w:p w14:paraId="5FFE20F1">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Political Order and Political Decay: From the Industrial Revolution to the Globalization of Democracy</w:t>
      </w:r>
      <w:r>
        <w:rPr>
          <w:rFonts w:ascii="Times New Roman" w:hAnsi="Times New Roman" w:cs="Times New Roman"/>
          <w:sz w:val="18"/>
          <w:szCs w:val="18"/>
        </w:rPr>
        <w:t xml:space="preserve"> (Farrar, Straus and Giroux, 2014), pp.102.</w:t>
      </w:r>
    </w:p>
  </w:footnote>
  <w:footnote w:id="124">
    <w:p w14:paraId="3342B942">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CDD. </w:t>
      </w:r>
      <w:r>
        <w:rPr>
          <w:rFonts w:ascii="Times New Roman" w:hAnsi="Times New Roman" w:cs="Times New Roman"/>
          <w:i/>
          <w:iCs/>
          <w:sz w:val="18"/>
          <w:szCs w:val="18"/>
        </w:rPr>
        <w:t>Public Perception of the Judiciary in Nigeria</w:t>
      </w:r>
      <w:r>
        <w:rPr>
          <w:rFonts w:ascii="Times New Roman" w:hAnsi="Times New Roman" w:cs="Times New Roman"/>
          <w:sz w:val="18"/>
          <w:szCs w:val="18"/>
        </w:rPr>
        <w:t xml:space="preserve"> (Centre for Democracy and Development, 2023), p. 4.</w:t>
      </w:r>
    </w:p>
  </w:footnote>
  <w:footnote w:id="125">
    <w:p w14:paraId="21C9EE8C">
      <w:pPr>
        <w:spacing w:after="0"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Aristotle. </w:t>
      </w:r>
      <w:r>
        <w:rPr>
          <w:rFonts w:ascii="Times New Roman" w:hAnsi="Times New Roman" w:cs="Times New Roman"/>
          <w:i/>
          <w:iCs/>
          <w:sz w:val="18"/>
          <w:szCs w:val="18"/>
        </w:rPr>
        <w:t>Politics</w:t>
      </w:r>
      <w:r>
        <w:rPr>
          <w:rFonts w:ascii="Times New Roman" w:hAnsi="Times New Roman" w:cs="Times New Roman"/>
          <w:sz w:val="18"/>
          <w:szCs w:val="18"/>
        </w:rPr>
        <w:t xml:space="preserve"> (Translated by Benjamin Jowett, Clarendon Press, 350 BCE), p. 18.</w:t>
      </w:r>
    </w:p>
  </w:footnote>
  <w:footnote w:id="126">
    <w:p w14:paraId="5AD134F8">
      <w:pPr>
        <w:spacing w:line="48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Chatham House, “Nigeria: Trust and Turnout Define 2023 Elections” (Chatham House, March 31 2023), p. 2.</w:t>
      </w:r>
    </w:p>
    <w:p w14:paraId="26E9EC35">
      <w:pPr>
        <w:pStyle w:val="11"/>
        <w:ind w:firstLine="720" w:firstLineChars="0"/>
      </w:pPr>
    </w:p>
  </w:footnote>
  <w:footnote w:id="127">
    <w:p w14:paraId="7717661F">
      <w:pPr>
        <w:spacing w:line="240" w:lineRule="auto"/>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Wiredu, Kwasi. </w:t>
      </w:r>
      <w:r>
        <w:rPr>
          <w:rFonts w:ascii="Times New Roman" w:hAnsi="Times New Roman" w:cs="Times New Roman"/>
          <w:i/>
          <w:iCs/>
          <w:sz w:val="18"/>
          <w:szCs w:val="18"/>
        </w:rPr>
        <w:t>Cultural Universals and Particulars: An African Perspective</w:t>
      </w:r>
      <w:r>
        <w:rPr>
          <w:rFonts w:ascii="Times New Roman" w:hAnsi="Times New Roman" w:cs="Times New Roman"/>
          <w:sz w:val="18"/>
          <w:szCs w:val="18"/>
        </w:rPr>
        <w:t xml:space="preserve"> (Indiana University Press, 1998), p. 34.</w:t>
      </w:r>
    </w:p>
  </w:footnote>
  <w:footnote w:id="128">
    <w:p w14:paraId="57B5AE4B">
      <w:pPr>
        <w:pStyle w:val="11"/>
        <w:ind w:firstLine="720" w:firstLineChars="0"/>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Ibid, 42.</w:t>
      </w:r>
    </w:p>
  </w:footnote>
  <w:footnote w:id="129">
    <w:p w14:paraId="6FEC56F9">
      <w:pPr>
        <w:spacing w:after="0"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Woo-Cumings, Meredith. </w:t>
      </w:r>
      <w:r>
        <w:rPr>
          <w:rFonts w:ascii="Times New Roman" w:hAnsi="Times New Roman" w:cs="Times New Roman"/>
          <w:i/>
          <w:iCs/>
          <w:sz w:val="18"/>
          <w:szCs w:val="18"/>
        </w:rPr>
        <w:t>The Developmental State</w:t>
      </w:r>
      <w:r>
        <w:rPr>
          <w:rFonts w:ascii="Times New Roman" w:hAnsi="Times New Roman" w:cs="Times New Roman"/>
          <w:sz w:val="18"/>
          <w:szCs w:val="18"/>
        </w:rPr>
        <w:t xml:space="preserve"> (Cornell University Press, 1999), p. 102.</w:t>
      </w:r>
    </w:p>
    <w:p w14:paraId="58D18598">
      <w:pPr>
        <w:pStyle w:val="11"/>
        <w:ind w:firstLine="720" w:firstLineChars="0"/>
      </w:pPr>
    </w:p>
  </w:footnote>
  <w:footnote w:id="130">
    <w:p w14:paraId="78FEEADD">
      <w:pPr>
        <w:spacing w:after="0"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Chua, Beng Huat. </w:t>
      </w:r>
      <w:r>
        <w:rPr>
          <w:rFonts w:ascii="Times New Roman" w:hAnsi="Times New Roman" w:cs="Times New Roman"/>
          <w:i/>
          <w:iCs/>
          <w:sz w:val="18"/>
          <w:szCs w:val="18"/>
        </w:rPr>
        <w:t>Singapore as Model: Planning Innovations, Knowledge Experts</w:t>
      </w:r>
      <w:r>
        <w:rPr>
          <w:rFonts w:ascii="Times New Roman" w:hAnsi="Times New Roman" w:cs="Times New Roman"/>
          <w:sz w:val="18"/>
          <w:szCs w:val="18"/>
        </w:rPr>
        <w:t xml:space="preserve"> (NUS Press, 2011), p. 64.</w:t>
      </w:r>
    </w:p>
    <w:p w14:paraId="66850789">
      <w:pPr>
        <w:pStyle w:val="11"/>
        <w:ind w:firstLine="720" w:firstLineChars="0"/>
      </w:pPr>
    </w:p>
  </w:footnote>
  <w:footnote w:id="131">
    <w:p w14:paraId="187EF84D">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The Origins of Political Order: From Prehuman Times to the French Revolution</w:t>
      </w:r>
      <w:r>
        <w:rPr>
          <w:rFonts w:ascii="Times New Roman" w:hAnsi="Times New Roman" w:cs="Times New Roman"/>
          <w:sz w:val="18"/>
          <w:szCs w:val="18"/>
        </w:rPr>
        <w:t xml:space="preserve"> (Farrar, Straus and Giroux, 2011), pp. 442.</w:t>
      </w:r>
    </w:p>
    <w:p w14:paraId="5A085A2B">
      <w:pPr>
        <w:pStyle w:val="11"/>
        <w:ind w:firstLine="720" w:firstLineChars="0"/>
      </w:pPr>
    </w:p>
  </w:footnote>
  <w:footnote w:id="132">
    <w:p w14:paraId="0D78064E">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Rotberg, Robert I. – </w:t>
      </w:r>
      <w:r>
        <w:rPr>
          <w:rFonts w:ascii="Times New Roman" w:hAnsi="Times New Roman" w:cs="Times New Roman"/>
          <w:i/>
          <w:iCs/>
          <w:sz w:val="18"/>
          <w:szCs w:val="18"/>
        </w:rPr>
        <w:t>Good Governance in the 21st Century: Conflict, Institutions, and Development</w:t>
      </w:r>
      <w:r>
        <w:rPr>
          <w:rFonts w:ascii="Times New Roman" w:hAnsi="Times New Roman" w:cs="Times New Roman"/>
          <w:sz w:val="18"/>
          <w:szCs w:val="18"/>
        </w:rPr>
        <w:t xml:space="preserve"> (Routledge, 2014), p. 63.</w:t>
      </w:r>
    </w:p>
  </w:footnote>
  <w:footnote w:id="133">
    <w:p w14:paraId="50969A47">
      <w:pPr>
        <w:pStyle w:val="11"/>
        <w:ind w:firstLine="720" w:firstLineChars="0"/>
      </w:pPr>
      <w:r>
        <w:rPr>
          <w:rStyle w:val="10"/>
        </w:rPr>
        <w:footnoteRef/>
      </w:r>
      <w:r>
        <w:t xml:space="preserve"> </w:t>
      </w:r>
      <w:r>
        <w:rPr>
          <w:rFonts w:ascii="Times New Roman" w:hAnsi="Times New Roman" w:cs="Times New Roman"/>
          <w:sz w:val="18"/>
          <w:szCs w:val="18"/>
        </w:rPr>
        <w:t xml:space="preserve">International Monetary Fund (IMF) – </w:t>
      </w:r>
      <w:r>
        <w:rPr>
          <w:rFonts w:ascii="Times New Roman" w:hAnsi="Times New Roman" w:cs="Times New Roman"/>
          <w:i/>
          <w:iCs/>
          <w:sz w:val="18"/>
          <w:szCs w:val="18"/>
        </w:rPr>
        <w:t>Rwanda Country Report 2023</w:t>
      </w:r>
      <w:r>
        <w:rPr>
          <w:rFonts w:ascii="Times New Roman" w:hAnsi="Times New Roman" w:cs="Times New Roman"/>
          <w:sz w:val="18"/>
          <w:szCs w:val="18"/>
        </w:rPr>
        <w:t xml:space="preserve"> (IMF Publications, 2023), p. 29</w:t>
      </w:r>
    </w:p>
  </w:footnote>
  <w:footnote w:id="134">
    <w:p w14:paraId="3CA97B9F">
      <w:pPr>
        <w:pStyle w:val="11"/>
        <w:ind w:firstLine="720" w:firstLineChars="0"/>
      </w:pPr>
      <w:r>
        <w:rPr>
          <w:rStyle w:val="10"/>
        </w:rPr>
        <w:footnoteRef/>
      </w:r>
      <w:r>
        <w:t xml:space="preserve"> </w:t>
      </w:r>
      <w:r>
        <w:rPr>
          <w:rFonts w:ascii="Times New Roman" w:hAnsi="Times New Roman" w:cs="Times New Roman"/>
          <w:sz w:val="18"/>
          <w:szCs w:val="18"/>
        </w:rPr>
        <w:t xml:space="preserve">Acemoglu, Daron, Simon Johnson &amp; James A. Robinson, </w:t>
      </w:r>
      <w:r>
        <w:rPr>
          <w:rFonts w:ascii="Times New Roman" w:hAnsi="Times New Roman" w:cs="Times New Roman"/>
          <w:i/>
          <w:iCs/>
          <w:sz w:val="18"/>
          <w:szCs w:val="18"/>
        </w:rPr>
        <w:t>An African Success Story: Botswana</w:t>
      </w:r>
      <w:r>
        <w:rPr>
          <w:rFonts w:ascii="Times New Roman" w:hAnsi="Times New Roman" w:cs="Times New Roman"/>
          <w:sz w:val="18"/>
          <w:szCs w:val="18"/>
        </w:rPr>
        <w:t xml:space="preserve"> in </w:t>
      </w:r>
      <w:r>
        <w:rPr>
          <w:rFonts w:ascii="Times New Roman" w:hAnsi="Times New Roman" w:cs="Times New Roman"/>
          <w:i/>
          <w:iCs/>
          <w:sz w:val="18"/>
          <w:szCs w:val="18"/>
        </w:rPr>
        <w:t>In Search of Prosperity: Analytic Narratives on Economic Growth</w:t>
      </w:r>
      <w:r>
        <w:rPr>
          <w:rFonts w:ascii="Times New Roman" w:hAnsi="Times New Roman" w:cs="Times New Roman"/>
          <w:sz w:val="18"/>
          <w:szCs w:val="18"/>
        </w:rPr>
        <w:t xml:space="preserve"> (Princeton University Press, 2003), p. 86</w:t>
      </w:r>
    </w:p>
  </w:footnote>
  <w:footnote w:id="135">
    <w:p w14:paraId="4CF856D5">
      <w:pPr>
        <w:spacing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Transparency International, </w:t>
      </w:r>
      <w:r>
        <w:rPr>
          <w:rFonts w:ascii="Times New Roman" w:hAnsi="Times New Roman" w:cs="Times New Roman"/>
          <w:i/>
          <w:iCs/>
          <w:sz w:val="18"/>
          <w:szCs w:val="18"/>
        </w:rPr>
        <w:t>Corruption Perceptions Index 2023</w:t>
      </w:r>
      <w:r>
        <w:rPr>
          <w:rFonts w:ascii="Times New Roman" w:hAnsi="Times New Roman" w:cs="Times New Roman"/>
          <w:sz w:val="18"/>
          <w:szCs w:val="18"/>
        </w:rPr>
        <w:t xml:space="preserve"> (Transparency International, 2023), p. 18.</w:t>
      </w:r>
    </w:p>
  </w:footnote>
  <w:footnote w:id="136">
    <w:p w14:paraId="6E27FB93">
      <w:pPr>
        <w:pStyle w:val="11"/>
        <w:ind w:firstLine="720" w:firstLineChars="0"/>
      </w:pPr>
      <w:r>
        <w:rPr>
          <w:rStyle w:val="10"/>
        </w:rPr>
        <w:footnoteRef/>
      </w:r>
      <w: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Political Order and Political Decay: From the Industrial Revolution to the Globalization of Democracy</w:t>
      </w:r>
      <w:r>
        <w:rPr>
          <w:rFonts w:ascii="Times New Roman" w:hAnsi="Times New Roman" w:cs="Times New Roman"/>
          <w:sz w:val="18"/>
          <w:szCs w:val="18"/>
        </w:rPr>
        <w:t xml:space="preserve"> (Farrar, Straus and Giroux, 2014), pp. 385.</w:t>
      </w:r>
    </w:p>
  </w:footnote>
  <w:footnote w:id="137">
    <w:p w14:paraId="0EEB1A36">
      <w:pPr>
        <w:spacing w:after="0"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Fukuyama, Francis.  </w:t>
      </w:r>
      <w:r>
        <w:rPr>
          <w:rFonts w:ascii="Times New Roman" w:hAnsi="Times New Roman" w:cs="Times New Roman"/>
          <w:i/>
          <w:iCs/>
          <w:sz w:val="18"/>
          <w:szCs w:val="18"/>
        </w:rPr>
        <w:t>The Origins of Political Order: From Prehuman Times to the French Revolution</w:t>
      </w:r>
      <w:r>
        <w:rPr>
          <w:rFonts w:ascii="Times New Roman" w:hAnsi="Times New Roman" w:cs="Times New Roman"/>
          <w:sz w:val="18"/>
          <w:szCs w:val="18"/>
        </w:rPr>
        <w:t xml:space="preserve"> (Farrar, Straus and Giroux, 2011), p. 23.</w:t>
      </w:r>
    </w:p>
    <w:p w14:paraId="6C593AFE">
      <w:pPr>
        <w:pStyle w:val="11"/>
        <w:ind w:firstLine="720" w:firstLineChars="0"/>
      </w:pPr>
    </w:p>
  </w:footnote>
  <w:footnote w:id="138">
    <w:p w14:paraId="36391703">
      <w:pPr>
        <w:spacing w:after="0"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Wiredu, Kwasi. “Democracy and Consensus in African Traditional Politics: A Plea for a Non-Party Polity,” in </w:t>
      </w:r>
      <w:r>
        <w:rPr>
          <w:rFonts w:ascii="Times New Roman" w:hAnsi="Times New Roman" w:cs="Times New Roman"/>
          <w:i/>
          <w:iCs/>
          <w:sz w:val="18"/>
          <w:szCs w:val="18"/>
        </w:rPr>
        <w:t>The Cultural Universals and Particulars: An African Perspective</w:t>
      </w:r>
      <w:r>
        <w:rPr>
          <w:rFonts w:ascii="Times New Roman" w:hAnsi="Times New Roman" w:cs="Times New Roman"/>
          <w:sz w:val="18"/>
          <w:szCs w:val="18"/>
        </w:rPr>
        <w:t xml:space="preserve"> (Indiana University Press, 1998), p. 27.</w:t>
      </w:r>
    </w:p>
    <w:p w14:paraId="4734A7EE">
      <w:pPr>
        <w:pStyle w:val="11"/>
        <w:ind w:firstLine="720" w:firstLineChars="0"/>
      </w:pPr>
    </w:p>
  </w:footnote>
  <w:footnote w:id="139">
    <w:p w14:paraId="4A1B2722">
      <w:pPr>
        <w:spacing w:after="0"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Rothstein, Bo.  </w:t>
      </w:r>
      <w:r>
        <w:rPr>
          <w:rFonts w:ascii="Times New Roman" w:hAnsi="Times New Roman" w:cs="Times New Roman"/>
          <w:i/>
          <w:iCs/>
          <w:sz w:val="18"/>
          <w:szCs w:val="18"/>
        </w:rPr>
        <w:t>The Quality of Government: Corruption, Social Trust, and Inequality in International Perspective</w:t>
      </w:r>
      <w:r>
        <w:rPr>
          <w:rFonts w:ascii="Times New Roman" w:hAnsi="Times New Roman" w:cs="Times New Roman"/>
          <w:sz w:val="18"/>
          <w:szCs w:val="18"/>
        </w:rPr>
        <w:t xml:space="preserve"> (University of Chicago Press, 2011), p. 19.</w:t>
      </w:r>
    </w:p>
    <w:p w14:paraId="0EB91CBF">
      <w:pPr>
        <w:pStyle w:val="11"/>
        <w:ind w:firstLine="720" w:firstLineChars="0"/>
      </w:pPr>
    </w:p>
  </w:footnote>
  <w:footnote w:id="140">
    <w:p w14:paraId="6E90733F">
      <w:pPr>
        <w:spacing w:after="0"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Ake, Claude.  </w:t>
      </w:r>
      <w:r>
        <w:rPr>
          <w:rFonts w:ascii="Times New Roman" w:hAnsi="Times New Roman" w:cs="Times New Roman"/>
          <w:i/>
          <w:iCs/>
          <w:sz w:val="18"/>
          <w:szCs w:val="18"/>
        </w:rPr>
        <w:t>Democracy and Development in Africa</w:t>
      </w:r>
      <w:r>
        <w:rPr>
          <w:rFonts w:ascii="Times New Roman" w:hAnsi="Times New Roman" w:cs="Times New Roman"/>
          <w:sz w:val="18"/>
          <w:szCs w:val="18"/>
        </w:rPr>
        <w:t xml:space="preserve"> (Brookings Institution Press, 1996), pp. 9.</w:t>
      </w:r>
    </w:p>
    <w:p w14:paraId="36A22A01">
      <w:pPr>
        <w:pStyle w:val="11"/>
        <w:ind w:firstLine="720" w:firstLineChars="0"/>
      </w:pPr>
    </w:p>
  </w:footnote>
  <w:footnote w:id="141">
    <w:p w14:paraId="0632346B">
      <w:pPr>
        <w:pStyle w:val="11"/>
        <w:ind w:firstLine="720" w:firstLineChars="0"/>
      </w:pPr>
      <w:r>
        <w:rPr>
          <w:rStyle w:val="10"/>
        </w:rPr>
        <w:footnoteRef/>
      </w:r>
      <w:r>
        <w:rPr>
          <w:rFonts w:ascii="Times New Roman" w:hAnsi="Times New Roman" w:cs="Times New Roman"/>
          <w:sz w:val="18"/>
          <w:szCs w:val="18"/>
        </w:rPr>
        <w:t xml:space="preserve"> Ibid, 18.</w:t>
      </w:r>
    </w:p>
  </w:footnote>
  <w:footnote w:id="142">
    <w:p w14:paraId="4F11AE5C">
      <w:pPr>
        <w:spacing w:after="0"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Achebe, Chinua – </w:t>
      </w:r>
      <w:r>
        <w:rPr>
          <w:rFonts w:ascii="Times New Roman" w:hAnsi="Times New Roman" w:cs="Times New Roman"/>
          <w:i/>
          <w:iCs/>
          <w:sz w:val="18"/>
          <w:szCs w:val="18"/>
        </w:rPr>
        <w:t>The Trouble with Nigeria</w:t>
      </w:r>
      <w:r>
        <w:rPr>
          <w:rFonts w:ascii="Times New Roman" w:hAnsi="Times New Roman" w:cs="Times New Roman"/>
          <w:sz w:val="18"/>
          <w:szCs w:val="18"/>
        </w:rPr>
        <w:t xml:space="preserve"> (Heinemann Educational Books, 1983), p. 7.</w:t>
      </w:r>
    </w:p>
    <w:p w14:paraId="745ACFD1">
      <w:pPr>
        <w:pStyle w:val="11"/>
        <w:ind w:firstLine="720" w:firstLineChars="0"/>
      </w:pPr>
    </w:p>
  </w:footnote>
  <w:footnote w:id="143">
    <w:p w14:paraId="5AE3814E">
      <w:pPr>
        <w:spacing w:after="0"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Joseph, Richard. </w:t>
      </w:r>
      <w:r>
        <w:rPr>
          <w:rFonts w:ascii="Times New Roman" w:hAnsi="Times New Roman" w:cs="Times New Roman"/>
          <w:i/>
          <w:iCs/>
          <w:sz w:val="18"/>
          <w:szCs w:val="18"/>
        </w:rPr>
        <w:t>Democracy and Prebendal Politics in Nigeria: The Rise and Fall of the Second Republic</w:t>
      </w:r>
      <w:r>
        <w:rPr>
          <w:rFonts w:ascii="Times New Roman" w:hAnsi="Times New Roman" w:cs="Times New Roman"/>
          <w:sz w:val="18"/>
          <w:szCs w:val="18"/>
        </w:rPr>
        <w:t xml:space="preserve"> (Cambridge University Press, 1987), p. 44.</w:t>
      </w:r>
    </w:p>
    <w:p w14:paraId="64E47B41">
      <w:pPr>
        <w:pStyle w:val="11"/>
        <w:ind w:firstLine="720" w:firstLineChars="0"/>
      </w:pPr>
    </w:p>
  </w:footnote>
  <w:footnote w:id="144">
    <w:p w14:paraId="2C59585D">
      <w:pPr>
        <w:spacing w:after="0" w:line="240" w:lineRule="auto"/>
        <w:ind w:firstLine="720" w:firstLineChars="0"/>
        <w:jc w:val="both"/>
        <w:rPr>
          <w:rFonts w:ascii="Times New Roman" w:hAnsi="Times New Roman" w:cs="Times New Roman"/>
          <w:sz w:val="18"/>
          <w:szCs w:val="18"/>
        </w:rPr>
      </w:pPr>
      <w:r>
        <w:rPr>
          <w:rStyle w:val="10"/>
        </w:rPr>
        <w:footnoteRef/>
      </w:r>
      <w:r>
        <w:t xml:space="preserve"> </w:t>
      </w:r>
      <w:r>
        <w:rPr>
          <w:rFonts w:ascii="Times New Roman" w:hAnsi="Times New Roman" w:cs="Times New Roman"/>
          <w:sz w:val="18"/>
          <w:szCs w:val="18"/>
        </w:rPr>
        <w:t xml:space="preserve">Wiredu, Kwasi. “Democracy and Consensus in African Traditional Politics: A Plea for a Non-Party Polity,” in </w:t>
      </w:r>
      <w:r>
        <w:rPr>
          <w:rFonts w:ascii="Times New Roman" w:hAnsi="Times New Roman" w:cs="Times New Roman"/>
          <w:i/>
          <w:iCs/>
          <w:sz w:val="18"/>
          <w:szCs w:val="18"/>
        </w:rPr>
        <w:t>Cultural Universals and Particulars: An African Perspective</w:t>
      </w:r>
      <w:r>
        <w:rPr>
          <w:rFonts w:ascii="Times New Roman" w:hAnsi="Times New Roman" w:cs="Times New Roman"/>
          <w:sz w:val="18"/>
          <w:szCs w:val="18"/>
        </w:rPr>
        <w:t xml:space="preserve"> (Indiana University Press, 1998), p. 31</w:t>
      </w:r>
    </w:p>
    <w:p w14:paraId="7A9FA2E6">
      <w:pPr>
        <w:spacing w:line="480" w:lineRule="auto"/>
        <w:ind w:firstLine="720" w:firstLineChars="0"/>
        <w:jc w:val="both"/>
        <w:rPr>
          <w:rFonts w:ascii="Times New Roman" w:hAnsi="Times New Roman" w:cs="Times New Roman"/>
        </w:rPr>
      </w:pPr>
    </w:p>
    <w:p w14:paraId="59395DD2">
      <w:pPr>
        <w:pStyle w:val="11"/>
        <w:ind w:firstLine="720" w:firstLineChars="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FA6B8">
    <w:pPr>
      <w:pStyle w:val="12"/>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3329"/>
    <w:multiLevelType w:val="multilevel"/>
    <w:tmpl w:val="254A332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79E0499"/>
    <w:multiLevelType w:val="multilevel"/>
    <w:tmpl w:val="279E0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DE27FA9"/>
    <w:multiLevelType w:val="multilevel"/>
    <w:tmpl w:val="2DE27FA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ED13FD7"/>
    <w:multiLevelType w:val="multilevel"/>
    <w:tmpl w:val="2ED13F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5AC4112"/>
    <w:multiLevelType w:val="multilevel"/>
    <w:tmpl w:val="35AC411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524D21FB"/>
    <w:multiLevelType w:val="multilevel"/>
    <w:tmpl w:val="524D21FB"/>
    <w:lvl w:ilvl="0" w:tentative="0">
      <w:start w:val="1"/>
      <w:numFmt w:val="decimal"/>
      <w:lvlText w:val="%1."/>
      <w:lvlJc w:val="left"/>
      <w:pPr>
        <w:ind w:left="630" w:hanging="360"/>
      </w:pPr>
      <w:rPr>
        <w:rFonts w:hint="default"/>
        <w:b w:val="0"/>
      </w:rPr>
    </w:lvl>
    <w:lvl w:ilvl="1" w:tentative="0">
      <w:start w:val="1"/>
      <w:numFmt w:val="lowerLetter"/>
      <w:lvlText w:val="%2."/>
      <w:lvlJc w:val="left"/>
      <w:pPr>
        <w:ind w:left="1350" w:hanging="360"/>
      </w:pPr>
    </w:lvl>
    <w:lvl w:ilvl="2" w:tentative="0">
      <w:start w:val="1"/>
      <w:numFmt w:val="lowerRoman"/>
      <w:lvlText w:val="%3."/>
      <w:lvlJc w:val="right"/>
      <w:pPr>
        <w:ind w:left="2070" w:hanging="180"/>
      </w:pPr>
    </w:lvl>
    <w:lvl w:ilvl="3" w:tentative="0">
      <w:start w:val="1"/>
      <w:numFmt w:val="decimal"/>
      <w:lvlText w:val="%4."/>
      <w:lvlJc w:val="left"/>
      <w:pPr>
        <w:ind w:left="2790" w:hanging="360"/>
      </w:pPr>
    </w:lvl>
    <w:lvl w:ilvl="4" w:tentative="0">
      <w:start w:val="1"/>
      <w:numFmt w:val="lowerLetter"/>
      <w:lvlText w:val="%5."/>
      <w:lvlJc w:val="left"/>
      <w:pPr>
        <w:ind w:left="3510" w:hanging="360"/>
      </w:pPr>
    </w:lvl>
    <w:lvl w:ilvl="5" w:tentative="0">
      <w:start w:val="1"/>
      <w:numFmt w:val="lowerRoman"/>
      <w:lvlText w:val="%6."/>
      <w:lvlJc w:val="right"/>
      <w:pPr>
        <w:ind w:left="4230" w:hanging="180"/>
      </w:pPr>
    </w:lvl>
    <w:lvl w:ilvl="6" w:tentative="0">
      <w:start w:val="1"/>
      <w:numFmt w:val="decimal"/>
      <w:lvlText w:val="%7."/>
      <w:lvlJc w:val="left"/>
      <w:pPr>
        <w:ind w:left="4950" w:hanging="360"/>
      </w:pPr>
    </w:lvl>
    <w:lvl w:ilvl="7" w:tentative="0">
      <w:start w:val="1"/>
      <w:numFmt w:val="lowerLetter"/>
      <w:lvlText w:val="%8."/>
      <w:lvlJc w:val="left"/>
      <w:pPr>
        <w:ind w:left="5670" w:hanging="360"/>
      </w:pPr>
    </w:lvl>
    <w:lvl w:ilvl="8" w:tentative="0">
      <w:start w:val="1"/>
      <w:numFmt w:val="lowerRoman"/>
      <w:lvlText w:val="%9."/>
      <w:lvlJc w:val="right"/>
      <w:pPr>
        <w:ind w:left="6390" w:hanging="180"/>
      </w:pPr>
    </w:lvl>
  </w:abstractNum>
  <w:abstractNum w:abstractNumId="6">
    <w:nsid w:val="63FB6A76"/>
    <w:multiLevelType w:val="multilevel"/>
    <w:tmpl w:val="63FB6A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CC5117A"/>
    <w:multiLevelType w:val="multilevel"/>
    <w:tmpl w:val="6CC5117A"/>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38E5A48"/>
    <w:multiLevelType w:val="multilevel"/>
    <w:tmpl w:val="738E5A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B8A4374"/>
    <w:multiLevelType w:val="multilevel"/>
    <w:tmpl w:val="7B8A43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1"/>
  </w:num>
  <w:num w:numId="3">
    <w:abstractNumId w:val="9"/>
  </w:num>
  <w:num w:numId="4">
    <w:abstractNumId w:val="6"/>
  </w:num>
  <w:num w:numId="5">
    <w:abstractNumId w:val="0"/>
  </w:num>
  <w:num w:numId="6">
    <w:abstractNumId w:val="3"/>
  </w:num>
  <w:num w:numId="7">
    <w:abstractNumId w:val="7"/>
  </w:num>
  <w:num w:numId="8">
    <w:abstractNumId w:val="2"/>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290"/>
    <w:footnote w:id="29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277"/>
    <w:rsid w:val="000061AA"/>
    <w:rsid w:val="000113B0"/>
    <w:rsid w:val="00061296"/>
    <w:rsid w:val="00064CEB"/>
    <w:rsid w:val="000D1F49"/>
    <w:rsid w:val="000D5A6B"/>
    <w:rsid w:val="001003C5"/>
    <w:rsid w:val="00125679"/>
    <w:rsid w:val="00144291"/>
    <w:rsid w:val="001467C0"/>
    <w:rsid w:val="00154A19"/>
    <w:rsid w:val="00167F86"/>
    <w:rsid w:val="0017569E"/>
    <w:rsid w:val="001B2803"/>
    <w:rsid w:val="001E1A6B"/>
    <w:rsid w:val="00201A0D"/>
    <w:rsid w:val="002042DD"/>
    <w:rsid w:val="00214B27"/>
    <w:rsid w:val="00215FDB"/>
    <w:rsid w:val="00216919"/>
    <w:rsid w:val="002454C1"/>
    <w:rsid w:val="0028232D"/>
    <w:rsid w:val="002D696A"/>
    <w:rsid w:val="00302A6D"/>
    <w:rsid w:val="003077FF"/>
    <w:rsid w:val="00310C71"/>
    <w:rsid w:val="00322AB8"/>
    <w:rsid w:val="003261C4"/>
    <w:rsid w:val="00360DCA"/>
    <w:rsid w:val="00374910"/>
    <w:rsid w:val="003C6E43"/>
    <w:rsid w:val="003D295F"/>
    <w:rsid w:val="003D3406"/>
    <w:rsid w:val="003F39FF"/>
    <w:rsid w:val="00405EE5"/>
    <w:rsid w:val="00411095"/>
    <w:rsid w:val="00442E70"/>
    <w:rsid w:val="00474C70"/>
    <w:rsid w:val="00480537"/>
    <w:rsid w:val="004B4DE0"/>
    <w:rsid w:val="004C18E4"/>
    <w:rsid w:val="004F7B12"/>
    <w:rsid w:val="00516E7F"/>
    <w:rsid w:val="0052071F"/>
    <w:rsid w:val="00521CAE"/>
    <w:rsid w:val="0052739E"/>
    <w:rsid w:val="00531D15"/>
    <w:rsid w:val="00623B1A"/>
    <w:rsid w:val="00625745"/>
    <w:rsid w:val="0064060C"/>
    <w:rsid w:val="006523BE"/>
    <w:rsid w:val="0067171B"/>
    <w:rsid w:val="00695CAE"/>
    <w:rsid w:val="006A6452"/>
    <w:rsid w:val="00732E5A"/>
    <w:rsid w:val="00762ED6"/>
    <w:rsid w:val="007723BF"/>
    <w:rsid w:val="0077494C"/>
    <w:rsid w:val="0079080D"/>
    <w:rsid w:val="00794ADF"/>
    <w:rsid w:val="007C00E1"/>
    <w:rsid w:val="007E63B7"/>
    <w:rsid w:val="00806EDE"/>
    <w:rsid w:val="00815977"/>
    <w:rsid w:val="00824AE7"/>
    <w:rsid w:val="0083710E"/>
    <w:rsid w:val="00847D4C"/>
    <w:rsid w:val="00855C0D"/>
    <w:rsid w:val="008627DF"/>
    <w:rsid w:val="00886A25"/>
    <w:rsid w:val="008A5910"/>
    <w:rsid w:val="008B437F"/>
    <w:rsid w:val="008D1DD5"/>
    <w:rsid w:val="008D6E60"/>
    <w:rsid w:val="00903895"/>
    <w:rsid w:val="00913DF9"/>
    <w:rsid w:val="00915381"/>
    <w:rsid w:val="0093199E"/>
    <w:rsid w:val="009345A1"/>
    <w:rsid w:val="009368FB"/>
    <w:rsid w:val="00943A43"/>
    <w:rsid w:val="0096341B"/>
    <w:rsid w:val="00970D3C"/>
    <w:rsid w:val="00A109A3"/>
    <w:rsid w:val="00A10D72"/>
    <w:rsid w:val="00A30C1D"/>
    <w:rsid w:val="00A3146F"/>
    <w:rsid w:val="00A4189F"/>
    <w:rsid w:val="00A81A17"/>
    <w:rsid w:val="00A853B9"/>
    <w:rsid w:val="00AD765E"/>
    <w:rsid w:val="00AE05AD"/>
    <w:rsid w:val="00AE60D2"/>
    <w:rsid w:val="00AF6D06"/>
    <w:rsid w:val="00B3601B"/>
    <w:rsid w:val="00B44812"/>
    <w:rsid w:val="00B9318D"/>
    <w:rsid w:val="00BB31F2"/>
    <w:rsid w:val="00BC1111"/>
    <w:rsid w:val="00BD0283"/>
    <w:rsid w:val="00BF1EF0"/>
    <w:rsid w:val="00BF3086"/>
    <w:rsid w:val="00C10D12"/>
    <w:rsid w:val="00C172FF"/>
    <w:rsid w:val="00C17650"/>
    <w:rsid w:val="00C432D3"/>
    <w:rsid w:val="00C43D3C"/>
    <w:rsid w:val="00C44F86"/>
    <w:rsid w:val="00C45277"/>
    <w:rsid w:val="00C479FF"/>
    <w:rsid w:val="00C7645C"/>
    <w:rsid w:val="00C80228"/>
    <w:rsid w:val="00C938BB"/>
    <w:rsid w:val="00C96C84"/>
    <w:rsid w:val="00CA1B3B"/>
    <w:rsid w:val="00CB123C"/>
    <w:rsid w:val="00CB66A6"/>
    <w:rsid w:val="00CB7AC2"/>
    <w:rsid w:val="00CC25F6"/>
    <w:rsid w:val="00D045B5"/>
    <w:rsid w:val="00D86D4A"/>
    <w:rsid w:val="00DB630C"/>
    <w:rsid w:val="00E26DBB"/>
    <w:rsid w:val="00E43F12"/>
    <w:rsid w:val="00E727F7"/>
    <w:rsid w:val="00E96F9D"/>
    <w:rsid w:val="00EB3759"/>
    <w:rsid w:val="00EB46A9"/>
    <w:rsid w:val="00ED043C"/>
    <w:rsid w:val="00F214E0"/>
    <w:rsid w:val="00F743E7"/>
    <w:rsid w:val="00FB2032"/>
    <w:rsid w:val="00FE2D6E"/>
    <w:rsid w:val="048C59AA"/>
    <w:rsid w:val="45D62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5"/>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1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2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18"/>
    <w:unhideWhenUsed/>
    <w:uiPriority w:val="99"/>
    <w:pPr>
      <w:tabs>
        <w:tab w:val="center" w:pos="4680"/>
        <w:tab w:val="right" w:pos="9360"/>
      </w:tabs>
      <w:spacing w:after="0" w:line="240" w:lineRule="auto"/>
    </w:pPr>
  </w:style>
  <w:style w:type="character" w:styleId="10">
    <w:name w:val="footnote reference"/>
    <w:basedOn w:val="6"/>
    <w:semiHidden/>
    <w:unhideWhenUsed/>
    <w:uiPriority w:val="99"/>
    <w:rPr>
      <w:vertAlign w:val="superscript"/>
    </w:rPr>
  </w:style>
  <w:style w:type="paragraph" w:styleId="11">
    <w:name w:val="footnote text"/>
    <w:basedOn w:val="1"/>
    <w:link w:val="22"/>
    <w:semiHidden/>
    <w:unhideWhenUsed/>
    <w:uiPriority w:val="99"/>
    <w:pPr>
      <w:spacing w:after="0" w:line="240" w:lineRule="auto"/>
    </w:pPr>
    <w:rPr>
      <w:sz w:val="20"/>
      <w:szCs w:val="20"/>
    </w:rPr>
  </w:style>
  <w:style w:type="paragraph" w:styleId="12">
    <w:name w:val="header"/>
    <w:basedOn w:val="1"/>
    <w:link w:val="17"/>
    <w:unhideWhenUsed/>
    <w:uiPriority w:val="99"/>
    <w:pPr>
      <w:tabs>
        <w:tab w:val="center" w:pos="4680"/>
        <w:tab w:val="right" w:pos="9360"/>
      </w:tabs>
      <w:spacing w:after="0" w:line="240" w:lineRule="auto"/>
    </w:p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6"/>
    <w:qFormat/>
    <w:uiPriority w:val="22"/>
    <w:rPr>
      <w:b/>
      <w:bCs/>
    </w:rPr>
  </w:style>
  <w:style w:type="table" w:styleId="15">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4"/>
    <w:qFormat/>
    <w:uiPriority w:val="10"/>
    <w:pPr>
      <w:pBdr>
        <w:bottom w:val="single" w:color="4472C4"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character" w:customStyle="1" w:styleId="17">
    <w:name w:val="Header Char"/>
    <w:basedOn w:val="6"/>
    <w:link w:val="12"/>
    <w:uiPriority w:val="99"/>
  </w:style>
  <w:style w:type="character" w:customStyle="1" w:styleId="18">
    <w:name w:val="Footer Char"/>
    <w:basedOn w:val="6"/>
    <w:link w:val="9"/>
    <w:uiPriority w:val="99"/>
  </w:style>
  <w:style w:type="character" w:customStyle="1" w:styleId="19">
    <w:name w:val="Heading 3 Char"/>
    <w:basedOn w:val="6"/>
    <w:link w:val="4"/>
    <w:uiPriority w:val="9"/>
    <w:rPr>
      <w:rFonts w:ascii="Times New Roman" w:hAnsi="Times New Roman" w:eastAsia="Times New Roman" w:cs="Times New Roman"/>
      <w:b/>
      <w:bCs/>
      <w:sz w:val="27"/>
      <w:szCs w:val="27"/>
    </w:rPr>
  </w:style>
  <w:style w:type="character" w:customStyle="1" w:styleId="20">
    <w:name w:val="Heading 4 Char"/>
    <w:basedOn w:val="6"/>
    <w:link w:val="5"/>
    <w:semiHidden/>
    <w:uiPriority w:val="9"/>
    <w:rPr>
      <w:rFonts w:asciiTheme="majorHAnsi" w:hAnsiTheme="majorHAnsi" w:eastAsiaTheme="majorEastAsia" w:cstheme="majorBidi"/>
      <w:i/>
      <w:iCs/>
      <w:color w:val="2F5597" w:themeColor="accent1" w:themeShade="BF"/>
    </w:rPr>
  </w:style>
  <w:style w:type="paragraph" w:styleId="21">
    <w:name w:val="List Paragraph"/>
    <w:basedOn w:val="1"/>
    <w:qFormat/>
    <w:uiPriority w:val="34"/>
    <w:pPr>
      <w:ind w:left="720"/>
      <w:contextualSpacing/>
    </w:pPr>
  </w:style>
  <w:style w:type="character" w:customStyle="1" w:styleId="22">
    <w:name w:val="Footnote Text Char"/>
    <w:basedOn w:val="6"/>
    <w:link w:val="11"/>
    <w:semiHidden/>
    <w:uiPriority w:val="99"/>
    <w:rPr>
      <w:sz w:val="20"/>
      <w:szCs w:val="20"/>
    </w:rPr>
  </w:style>
  <w:style w:type="character" w:customStyle="1" w:styleId="23">
    <w:name w:val="Heading 1 Char"/>
    <w:basedOn w:val="6"/>
    <w:link w:val="2"/>
    <w:uiPriority w:val="9"/>
    <w:rPr>
      <w:rFonts w:asciiTheme="majorHAnsi" w:hAnsiTheme="majorHAnsi" w:eastAsiaTheme="majorEastAsia" w:cstheme="majorBidi"/>
      <w:color w:val="2F5597" w:themeColor="accent1" w:themeShade="BF"/>
      <w:sz w:val="32"/>
      <w:szCs w:val="32"/>
    </w:rPr>
  </w:style>
  <w:style w:type="character" w:customStyle="1" w:styleId="24">
    <w:name w:val="Title Char"/>
    <w:basedOn w:val="6"/>
    <w:link w:val="16"/>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25">
    <w:name w:val="Heading 2 Char"/>
    <w:basedOn w:val="6"/>
    <w:link w:val="3"/>
    <w:uiPriority w:val="9"/>
    <w:rPr>
      <w:rFonts w:asciiTheme="majorHAnsi" w:hAnsiTheme="majorHAnsi" w:eastAsiaTheme="majorEastAsia" w:cstheme="majorBidi"/>
      <w:color w:val="2F5597" w:themeColor="accent1" w:themeShade="BF"/>
      <w:sz w:val="26"/>
      <w:szCs w:val="26"/>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FF556-055A-486C-A9A3-01A7D8E31B7C}">
  <ds:schemaRefs/>
</ds:datastoreItem>
</file>

<file path=docProps/app.xml><?xml version="1.0" encoding="utf-8"?>
<Properties xmlns="http://schemas.openxmlformats.org/officeDocument/2006/extended-properties" xmlns:vt="http://schemas.openxmlformats.org/officeDocument/2006/docPropsVTypes">
  <Template>Normal</Template>
  <Pages>89</Pages>
  <Words>18659</Words>
  <Characters>115258</Characters>
  <Lines>950</Lines>
  <Paragraphs>267</Paragraphs>
  <TotalTime>2</TotalTime>
  <ScaleCrop>false</ScaleCrop>
  <LinksUpToDate>false</LinksUpToDate>
  <CharactersWithSpaces>133340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2025-11-11T12:27:00Z</dcterms:created>
  <dc:creator>HomePC</dc:creator>
  <cp:lastModifiedBy>Maxwell Chimaobi</cp:lastModifiedBy>
  <dcterms:modified xsi:type="dcterms:W3CDTF">2026-09-28T06:47:19Z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eyJoZGlkIjoiYTg1NzkwNTA5MmQyYmJiZmViMDZlNThkMTM4ODYyMGIiLCJ1c2VySWQiOiIzNzI4MzE0ODEzODUzIn0=</vt:lpwstr>
  </property>
  <property fmtid="{D5CDD505-2E9C-101B-9397-08002B2CF9AE}" pid="3" name="KSOProductBuildVer">
    <vt:lpwstr>1033-12.1.0.28485</vt:lpwstr>
  </property>
  <property fmtid="{D5CDD505-2E9C-101B-9397-08002B2CF9AE}" pid="4" name="ICV">
    <vt:lpwstr>A1E2EC1A2D4E48B997026620F86A4015_12</vt:lpwstr>
  </property>
</Properties>
</file>