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A PHILOSOPHICAL INVESTIGATION INTO THE INSTITUTIONS OF STATE IN</w:t>
        <w:br/>
        <w:t>FRANCIS FUKUYAMA'S 'ORIGINS OF POLITICAL ORDER'</w:t>
      </w:r>
    </w:p>
    <w:p/>
    <w:p/>
    <w:p>
      <w:pPr>
        <w:jc w:val="center"/>
      </w:pPr>
      <w:r>
        <w:rPr>
          <w:rFonts w:ascii="Times New Roman" w:hAnsi="Times New Roman"/>
          <w:b/>
          <w:sz w:val="24"/>
        </w:rPr>
        <w:t>BY</w:t>
      </w:r>
    </w:p>
    <w:p>
      <w:pPr>
        <w:jc w:val="center"/>
      </w:pPr>
      <w:r>
        <w:rPr>
          <w:rFonts w:ascii="Times New Roman" w:hAnsi="Times New Roman"/>
          <w:b/>
          <w:sz w:val="24"/>
        </w:rPr>
        <w:t>MAXWELL CHIMAOBI NGWU</w:t>
      </w:r>
    </w:p>
    <w:p/>
    <w:p/>
    <w:p/>
    <w:p>
      <w:pPr>
        <w:jc w:val="center"/>
      </w:pPr>
      <w:r>
        <w:rPr>
          <w:rFonts w:ascii="Times New Roman" w:hAnsi="Times New Roman"/>
          <w:b/>
          <w:sz w:val="24"/>
        </w:rPr>
        <w:t>DEPARTMENT OF PHILOSOPHY</w:t>
      </w:r>
    </w:p>
    <w:p>
      <w:pPr>
        <w:jc w:val="center"/>
      </w:pPr>
      <w:r>
        <w:rPr>
          <w:rFonts w:ascii="Times New Roman" w:hAnsi="Times New Roman"/>
          <w:b/>
          <w:sz w:val="24"/>
        </w:rPr>
        <w:t>BIGARD MEMORIAL SEMINARY, ENUGU</w:t>
      </w:r>
    </w:p>
    <w:p>
      <w:pPr>
        <w:jc w:val="center"/>
      </w:pPr>
      <w:r>
        <w:rPr>
          <w:rFonts w:ascii="Times New Roman" w:hAnsi="Times New Roman"/>
          <w:b/>
          <w:sz w:val="24"/>
        </w:rPr>
        <w:t>IN AFFILIATION WITH THE UNIVERSITY OF IBADAN</w:t>
      </w:r>
    </w:p>
    <w:p>
      <w:pPr>
        <w:jc w:val="center"/>
      </w:pPr>
      <w:r>
        <w:rPr>
          <w:rFonts w:ascii="Times New Roman" w:hAnsi="Times New Roman"/>
          <w:b/>
          <w:sz w:val="24"/>
        </w:rPr>
        <w:t>IBADAN, NIGERIA</w:t>
      </w:r>
    </w:p>
    <w:p/>
    <w:p/>
    <w:p/>
    <w:p>
      <w:pPr>
        <w:jc w:val="center"/>
      </w:pPr>
      <w:r>
        <w:rPr>
          <w:rFonts w:ascii="Times New Roman" w:hAnsi="Times New Roman"/>
          <w:b/>
          <w:sz w:val="24"/>
        </w:rPr>
        <w:t>[PENDING HUMAN-SUPPLIED FINAL SUBMISSION MONTH AND YEAR]</w:t>
      </w:r>
    </w:p>
    <w:p>
      <w:r>
        <w:br w:type="page"/>
      </w:r>
    </w:p>
    <w:p>
      <w:pPr>
        <w:spacing w:after="720"/>
        <w:jc w:val="center"/>
      </w:pPr>
      <w:r>
        <w:rPr>
          <w:rFonts w:ascii="Times New Roman" w:hAnsi="Times New Roman"/>
          <w:b/>
          <w:sz w:val="28"/>
        </w:rPr>
        <w:t>APPROVAL PAGE</w:t>
      </w:r>
    </w:p>
    <w:p>
      <w:pPr>
        <w:spacing w:before="360" w:after="360"/>
        <w:jc w:val="center"/>
      </w:pPr>
      <w:r>
        <w:rPr>
          <w:rFonts w:ascii="Times New Roman" w:hAnsi="Times New Roman"/>
          <w:b/>
          <w:sz w:val="24"/>
        </w:rPr>
        <w:t>[PENDING HUMAN-SUPPLIED APPROVAL PAGE CONTENT]</w:t>
      </w:r>
    </w:p>
    <w:p>
      <w:pPr>
        <w:spacing w:before="360" w:after="360"/>
        <w:jc w:val="center"/>
      </w:pPr>
      <w:r>
        <w:rPr>
          <w:rFonts w:ascii="Times New Roman" w:hAnsi="Times New Roman"/>
          <w:b/>
          <w:sz w:val="24"/>
        </w:rPr>
        <w:t>[PENDING HUMAN-SUPPLIED APPROVAL WORDING]</w:t>
      </w:r>
    </w:p>
    <w:p>
      <w:pPr>
        <w:spacing w:before="360" w:after="360"/>
        <w:jc w:val="center"/>
      </w:pPr>
      <w:r>
        <w:rPr>
          <w:rFonts w:ascii="Times New Roman" w:hAnsi="Times New Roman"/>
          <w:b/>
          <w:sz w:val="24"/>
        </w:rPr>
        <w:t>[PENDING HUMAN-SUPPLIED SIGNATORY NAME(S), TITLE(S), SIGNATURE LINE(S), AND DATE LINE(S)]</w:t>
      </w:r>
    </w:p>
    <w:p>
      <w:r>
        <w:br w:type="page"/>
      </w:r>
    </w:p>
    <w:p>
      <w:pPr>
        <w:spacing w:after="720"/>
        <w:jc w:val="center"/>
      </w:pPr>
      <w:r>
        <w:rPr>
          <w:rFonts w:ascii="Times New Roman" w:hAnsi="Times New Roman"/>
          <w:b/>
          <w:sz w:val="28"/>
        </w:rPr>
        <w:t>CERTIFICATION</w:t>
      </w:r>
    </w:p>
    <w:p>
      <w:pPr>
        <w:spacing w:before="360" w:after="360"/>
        <w:jc w:val="center"/>
      </w:pPr>
      <w:r>
        <w:rPr>
          <w:rFonts w:ascii="Times New Roman" w:hAnsi="Times New Roman"/>
          <w:b/>
          <w:sz w:val="24"/>
        </w:rPr>
        <w:t>[PENDING HUMAN-SUPPLIED CERTIFICATION CONTENT]</w:t>
      </w:r>
    </w:p>
    <w:p>
      <w:pPr>
        <w:spacing w:before="360" w:after="360"/>
        <w:jc w:val="center"/>
      </w:pPr>
      <w:r>
        <w:rPr>
          <w:rFonts w:ascii="Times New Roman" w:hAnsi="Times New Roman"/>
          <w:b/>
          <w:sz w:val="24"/>
        </w:rPr>
        <w:t>[PENDING HUMAN-SUPPLIED CERTIFICATION WORDING]</w:t>
      </w:r>
    </w:p>
    <w:p>
      <w:pPr>
        <w:spacing w:before="360" w:after="360"/>
        <w:jc w:val="center"/>
      </w:pPr>
      <w:r>
        <w:rPr>
          <w:rFonts w:ascii="Times New Roman" w:hAnsi="Times New Roman"/>
          <w:b/>
          <w:sz w:val="24"/>
        </w:rPr>
        <w:t>[PENDING HUMAN-SUPPLIED SIGNATORY NAME(S), TITLE(S), SIGNATURE LINE(S), AND DATE LINE(S)]</w:t>
      </w:r>
    </w:p>
    <w:p>
      <w:r>
        <w:br w:type="page"/>
      </w:r>
    </w:p>
    <w:p>
      <w:pPr>
        <w:spacing w:after="720"/>
        <w:jc w:val="center"/>
      </w:pPr>
      <w:r>
        <w:rPr>
          <w:rFonts w:ascii="Times New Roman" w:hAnsi="Times New Roman"/>
          <w:b/>
          <w:sz w:val="28"/>
        </w:rPr>
        <w:t>DEDICATION</w:t>
      </w:r>
    </w:p>
    <w:p>
      <w:pPr>
        <w:spacing w:before="360" w:after="360"/>
        <w:jc w:val="center"/>
      </w:pPr>
      <w:r>
        <w:rPr>
          <w:rFonts w:ascii="Times New Roman" w:hAnsi="Times New Roman"/>
          <w:b/>
          <w:sz w:val="24"/>
        </w:rPr>
        <w:t>[PENDING HUMAN-SUPPLIED DEDICATION CONTENT]</w:t>
      </w:r>
    </w:p>
    <w:p>
      <w:r>
        <w:br w:type="page"/>
      </w:r>
    </w:p>
    <w:p>
      <w:pPr>
        <w:spacing w:after="720"/>
        <w:jc w:val="center"/>
      </w:pPr>
      <w:r>
        <w:rPr>
          <w:rFonts w:ascii="Times New Roman" w:hAnsi="Times New Roman"/>
          <w:b/>
          <w:sz w:val="28"/>
        </w:rPr>
        <w:t>ACKNOWLEDGEMENTS</w:t>
      </w:r>
    </w:p>
    <w:p>
      <w:pPr>
        <w:spacing w:before="360" w:after="360"/>
        <w:jc w:val="center"/>
      </w:pPr>
      <w:r>
        <w:rPr>
          <w:rFonts w:ascii="Times New Roman" w:hAnsi="Times New Roman"/>
          <w:b/>
          <w:sz w:val="24"/>
        </w:rPr>
        <w:t>[PENDING HUMAN-SUPPLIED ACKNOWLEDGEMENTS CONTENT]</w:t>
      </w:r>
    </w:p>
    <w:p>
      <w:r>
        <w:br w:type="page"/>
      </w:r>
    </w:p>
    <w:p>
      <w:pPr>
        <w:jc w:val="center"/>
      </w:pPr>
      <w:r>
        <w:rPr>
          <w:rFonts w:ascii="Times New Roman" w:hAnsi="Times New Roman"/>
          <w:b/>
          <w:sz w:val="28"/>
        </w:rPr>
        <w:t>TABLE OF CONTENTS</w:t>
      </w:r>
    </w:p>
    <w:p>
      <w:pPr>
        <w:jc w:val="left"/>
      </w:pPr>
      <w:fldChar w:fldCharType="begin" w:dirty="true"/>
      <w:instrText xml:space="preserve"> TOC \o "1-3" \h \z \u </w:instrText>
      <w:fldChar w:fldCharType="separate"/>
      <w:r>
        <w:t>Table of contents will update when fields are refreshed.</w:t>
      </w:r>
      <w:fldChar w:fldCharType="end"/>
    </w:p>
    <w:p>
      <w:r>
        <w:br w:type="page"/>
      </w:r>
    </w:p>
    <w:p>
      <w:pPr>
        <w:jc w:val="center"/>
      </w:pPr>
      <w:r>
        <w:rPr>
          <w:rFonts w:ascii="Times New Roman" w:hAnsi="Times New Roman"/>
          <w:b/>
          <w:sz w:val="28"/>
        </w:rPr>
        <w:t>ABSTRACT</w:t>
      </w:r>
    </w:p>
    <w:p>
      <w:pPr>
        <w:widowControl/>
        <w:spacing w:before="0" w:after="0" w:line="480" w:lineRule="auto"/>
        <w:ind w:firstLine="720"/>
        <w:jc w:val="both"/>
      </w:pPr>
      <w:r>
        <w:rPr>
          <w:rFonts w:ascii="Times New Roman" w:hAnsi="Times New Roman"/>
          <w:i w:val="0"/>
          <w:sz w:val="24"/>
        </w:rPr>
        <w:t xml:space="preserve">This study investigates Francis Fukuyama's explanation of the emergence, differentiation, interaction, and decay of the institutions necessary for political order, with particular attention to the state, rule of law, and political accountability. It uses philosophical reconstruction, conceptual analysis, comparison, and critical evaluation, drawing principally on </w:t>
      </w:r>
      <w:r>
        <w:rPr>
          <w:rFonts w:ascii="Times New Roman" w:hAnsi="Times New Roman"/>
          <w:i/>
          <w:sz w:val="24"/>
        </w:rPr>
        <w:t>The Origins of Political Order</w:t>
      </w:r>
      <w:r>
        <w:rPr>
          <w:rFonts w:ascii="Times New Roman" w:hAnsi="Times New Roman"/>
          <w:i w:val="0"/>
          <w:sz w:val="24"/>
        </w:rPr>
        <w:t xml:space="preserve"> and its companion volume, </w:t>
      </w:r>
      <w:r>
        <w:rPr>
          <w:rFonts w:ascii="Times New Roman" w:hAnsi="Times New Roman"/>
          <w:i/>
          <w:sz w:val="24"/>
        </w:rPr>
        <w:t>Political Order and Political Decay</w:t>
      </w:r>
      <w:r>
        <w:rPr>
          <w:rFonts w:ascii="Times New Roman" w:hAnsi="Times New Roman"/>
          <w:i w:val="0"/>
          <w:sz w:val="24"/>
        </w:rPr>
        <w:t>, together with classical political philosophy and relevant specialist scholarship. The investigation finds that Fukuyama usefully distinguishes political capacity, legal constraint, and accountability as institutionally separate dimensions that need not arise together or follow one historical sequence. His comparative histories of China, India, Islamic political orders, and Western Europe highlight the importance of war, kinship, religion, law, administration, and organized social constraint while also revealing substantial variation in their operation. The study therefore rejects strict historical determinism as an adequate criticism of Fukuyama. It argues instead that his triad is most defensible as a comparative diagnostic framework for identifying institutional imbalance, adaptation, and decay. Its main limitation arises when broad functional categories, including the modern state, accountability, weakened kinship, and institutional convergence, compress historically distinct mechanisms into a common developmental framework. The study concludes that Fukuyama offers a valuable but qualified account of political order: recurrent political problems permit comparison, but historically plural mechanisms limit any universal sequence or sufficient model of political development.</w:t>
      </w:r>
    </w:p>
    <w:p>
      <w:pPr>
        <w:sectPr>
          <w:footerReference w:type="default" r:id="rId9"/>
          <w:pgSz w:w="12240" w:h="15840"/>
          <w:pgMar w:top="1440" w:right="1440" w:bottom="1440" w:left="1440" w:header="720" w:footer="720" w:gutter="0"/>
          <w:cols w:space="720"/>
          <w:titlePg/>
          <w:docGrid w:linePitch="360"/>
          <w:pgNumType w:fmt="lowerRoman" w:start="1"/>
        </w:sectPr>
      </w:pPr>
    </w:p>
    <w:p>
      <w:pPr>
        <w:pStyle w:val="Heading1"/>
        <w:jc w:val="center"/>
      </w:pPr>
      <w:r>
        <w:rPr>
          <w:rFonts w:ascii="Times New Roman" w:hAnsi="Times New Roman"/>
          <w:i w:val="0"/>
          <w:sz w:val="28"/>
        </w:rPr>
        <w:t>CHAPTER ONE: INTRODUCTION</w:t>
      </w:r>
    </w:p>
    <w:p>
      <w:pPr>
        <w:pStyle w:val="Heading2"/>
      </w:pPr>
      <w:r>
        <w:rPr>
          <w:rFonts w:ascii="Times New Roman" w:hAnsi="Times New Roman"/>
          <w:i w:val="0"/>
          <w:sz w:val="24"/>
        </w:rPr>
        <w:t>1.1 Background to the Study</w:t>
      </w:r>
    </w:p>
    <w:p>
      <w:pPr>
        <w:widowControl/>
        <w:spacing w:before="0" w:after="0" w:line="480" w:lineRule="auto"/>
        <w:ind w:firstLine="720"/>
        <w:jc w:val="both"/>
      </w:pPr>
      <w:r>
        <w:rPr>
          <w:rFonts w:ascii="Times New Roman" w:hAnsi="Times New Roman"/>
          <w:i w:val="0"/>
          <w:sz w:val="24"/>
        </w:rPr>
        <w:t>Political order presents a permanent problem for political philosophy because organized public power is both necessary and dangerous. Communities require institutions capable of making collective decisions, maintaining security, resolving disputes, and providing public goods. Yet the concentration of power needed for these tasks creates the possibility of arbitrary rule. A further problem concerns the relation between rulers and the governed: public authority may be effective and legally organized while remaining indifferent to those subject to it. An adequate account of political order must therefore consider not only whether authority exists, but whether it can act, how it is constrained, and to whom it responds.</w:t>
      </w:r>
    </w:p>
    <w:p>
      <w:pPr>
        <w:widowControl/>
        <w:spacing w:before="0" w:after="0" w:line="480" w:lineRule="auto"/>
        <w:ind w:firstLine="720"/>
        <w:jc w:val="both"/>
      </w:pPr>
      <w:r>
        <w:rPr>
          <w:rFonts w:ascii="Times New Roman" w:hAnsi="Times New Roman"/>
          <w:i w:val="0"/>
          <w:sz w:val="24"/>
        </w:rPr>
        <w:t>These dimensions of order do not develop automatically or simultaneously. A state may possess considerable coercive and administrative capacity without being governed by law that binds its rulers. Legal constraints may exist where government remains too weak to enforce public decisions. Electoral institutions may permit participation and sanction while bureaucratic weakness prevents effective implementation. Political development is consequently not reducible to economic growth, democracy, or the formal existence of law. It concerns the historical construction and interaction of institutions whose functions can reinforce or obstruct one another.</w:t>
      </w:r>
    </w:p>
    <w:p>
      <w:pPr>
        <w:widowControl/>
        <w:spacing w:before="0" w:after="0" w:line="480" w:lineRule="auto"/>
        <w:ind w:firstLine="720"/>
        <w:jc w:val="both"/>
      </w:pPr>
      <w:r>
        <w:rPr>
          <w:rFonts w:ascii="Times New Roman" w:hAnsi="Times New Roman"/>
          <w:i w:val="0"/>
          <w:sz w:val="24"/>
        </w:rPr>
        <w:t xml:space="preserve">Francis Fukuyama's </w:t>
      </w:r>
      <w:r>
        <w:rPr>
          <w:rFonts w:ascii="Times New Roman" w:hAnsi="Times New Roman"/>
          <w:i/>
          <w:sz w:val="24"/>
        </w:rPr>
        <w:t>The Origins of Political Order: From Prehuman Times to the French Revolution</w:t>
      </w:r>
      <w:r>
        <w:rPr>
          <w:rFonts w:ascii="Times New Roman" w:hAnsi="Times New Roman"/>
          <w:i w:val="0"/>
          <w:sz w:val="24"/>
        </w:rPr>
        <w:t xml:space="preserve"> addresses this problem through a wide comparative history of political institutions. The book begins from an account of evolved human sociality and traces the movement from kin-based forms of organization toward centralized states, autonomous law, and accountable government. Its principal focus is not simply why government appears, but why impersonal and durable institutions are difficult to construct and preserve. Fukuyama identifies three central components of modern political order: the state, the rule of law, and political accountability.</w:t>
      </w:r>
      <w:r>
        <w:rPr>
          <w:rStyle w:val="FootnoteReference"/>
        </w:rPr>
        <w:footnoteReference w:id="1"/>
      </w:r>
    </w:p>
    <w:p>
      <w:pPr>
        <w:widowControl/>
        <w:spacing w:before="0" w:after="0" w:line="480" w:lineRule="auto"/>
        <w:ind w:firstLine="720"/>
        <w:jc w:val="both"/>
      </w:pPr>
      <w:r>
        <w:rPr>
          <w:rFonts w:ascii="Times New Roman" w:hAnsi="Times New Roman"/>
          <w:i w:val="0"/>
          <w:sz w:val="24"/>
        </w:rPr>
        <w:t>Each component performs a different function. The state concentrates legitimate coercive authority and develops the administrative ability to formulate and carry out collective decisions. Rule of law requires rulers to be bound by a body of law that possesses authority beyond their immediate wishes. Political accountability concerns the mechanisms through which rulers become responsive or answerable to governed interests. Fukuyama's framework is significant because it refuses to treat capacity, legality, and democracy as interchangeable. It permits political orders to be examined according to the distinct strengths and weaknesses of their institutions.</w:t>
      </w:r>
    </w:p>
    <w:p>
      <w:pPr>
        <w:widowControl/>
        <w:spacing w:before="0" w:after="0" w:line="480" w:lineRule="auto"/>
        <w:ind w:firstLine="720"/>
        <w:jc w:val="both"/>
      </w:pPr>
      <w:r>
        <w:rPr>
          <w:rFonts w:ascii="Times New Roman" w:hAnsi="Times New Roman"/>
          <w:i w:val="0"/>
          <w:sz w:val="24"/>
        </w:rPr>
        <w:t xml:space="preserve">The historical ambition of this framework is equally important. Fukuyama does not present the three institutions as products of one social contract or a single process of modernization. He investigates different sequences and mechanisms across China, India, Islamic political orders, and Western Europe. Warfare, religion, kinship, administrative reform, legal conflict, social organization, and political bargaining appear in different combinations. The companion volume, </w:t>
      </w:r>
      <w:r>
        <w:rPr>
          <w:rFonts w:ascii="Times New Roman" w:hAnsi="Times New Roman"/>
          <w:i/>
          <w:sz w:val="24"/>
        </w:rPr>
        <w:t>Political Order and Political Decay</w:t>
      </w:r>
      <w:r>
        <w:rPr>
          <w:rFonts w:ascii="Times New Roman" w:hAnsi="Times New Roman"/>
          <w:i w:val="0"/>
          <w:sz w:val="24"/>
        </w:rPr>
        <w:t>, extends the analysis into modern history and gives fuller attention to state capacity, institutional adaptation, elite capture, and decay.</w:t>
      </w:r>
      <w:r>
        <w:rPr>
          <w:rStyle w:val="FootnoteReference"/>
        </w:rPr>
        <w:footnoteReference w:id="2"/>
      </w:r>
    </w:p>
    <w:p>
      <w:pPr>
        <w:widowControl/>
        <w:spacing w:before="0" w:after="0" w:line="480" w:lineRule="auto"/>
        <w:ind w:firstLine="720"/>
        <w:jc w:val="both"/>
      </w:pPr>
      <w:r>
        <w:rPr>
          <w:rFonts w:ascii="Times New Roman" w:hAnsi="Times New Roman"/>
          <w:i w:val="0"/>
          <w:sz w:val="24"/>
        </w:rPr>
        <w:t>This historical breadth gives the theory considerable explanatory promise, but also raises philosophical questions. Categories broad enough to compare institutions across civilizations and centuries may clarify recurrent political functions, yet they may also conceal differences in historical form and causation. A concept such as accountability can include moral responsibility, consultation, social constraint, answerability, sanction, and electoral control. The term “modern state” can identify administrative impersonality while also carrying constitutional or democratic associations that its restricted use does not include. A long sequence of individually plausible mechanisms may become less certain as the number and distance of its causal links increase.</w:t>
      </w:r>
    </w:p>
    <w:p>
      <w:pPr>
        <w:widowControl/>
        <w:spacing w:before="0" w:after="0" w:line="480" w:lineRule="auto"/>
        <w:ind w:firstLine="720"/>
        <w:jc w:val="both"/>
      </w:pPr>
      <w:r>
        <w:rPr>
          <w:rFonts w:ascii="Times New Roman" w:hAnsi="Times New Roman"/>
          <w:i w:val="0"/>
          <w:sz w:val="24"/>
        </w:rPr>
        <w:t>These questions make Fukuyama's work an appropriate object of philosophical investigation rather than historical summary alone. His theory joins claims about human nature, political authority, institutional functions, causal explanation, historical comparison, and development. It therefore requires both accurate reconstruction and critical examination. The present study investigates how Fukuyama explains the emergence, differentiation, interaction, and decay of the state, rule of law, and political accountability, and asks how philosophically adequate that framework is when its concepts, mechanisms, comparisons, and universal aspirations are tested.</w:t>
      </w:r>
    </w:p>
    <w:p>
      <w:pPr>
        <w:pStyle w:val="Heading2"/>
      </w:pPr>
      <w:r>
        <w:rPr>
          <w:rFonts w:ascii="Times New Roman" w:hAnsi="Times New Roman"/>
          <w:i w:val="0"/>
          <w:sz w:val="24"/>
        </w:rPr>
        <w:t>1.2 Statement of the Problem</w:t>
      </w:r>
    </w:p>
    <w:p>
      <w:pPr>
        <w:widowControl/>
        <w:spacing w:before="0" w:after="0" w:line="480" w:lineRule="auto"/>
        <w:ind w:firstLine="720"/>
        <w:jc w:val="both"/>
      </w:pPr>
      <w:r>
        <w:rPr>
          <w:rFonts w:ascii="Times New Roman" w:hAnsi="Times New Roman"/>
          <w:i w:val="0"/>
          <w:sz w:val="24"/>
        </w:rPr>
        <w:t>The central problem arises from the relationship between functional comparison and historical plurality. Fukuyama uses the state, rule of law, and political accountability as recurring categories through which diverse political histories can be interpreted. Such categories are useful only if they are sufficiently general to permit comparison. They remain explanatory, however, only if they preserve differences relevant to the institutions and mechanisms being compared. The philosophical difficulty is to determine where abstraction clarifies political order and where it compresses distinct histories into a common developmental vocabulary.</w:t>
      </w:r>
    </w:p>
    <w:p>
      <w:pPr>
        <w:widowControl/>
        <w:spacing w:before="0" w:after="0" w:line="480" w:lineRule="auto"/>
        <w:ind w:firstLine="720"/>
        <w:jc w:val="both"/>
      </w:pPr>
      <w:r>
        <w:rPr>
          <w:rFonts w:ascii="Times New Roman" w:hAnsi="Times New Roman"/>
          <w:i w:val="0"/>
          <w:sz w:val="24"/>
        </w:rPr>
        <w:t>The first aspect of this problem concerns conceptual differentiation. The state is not identical with government, administrative capacity is not the same as the scope of state activity, and rule of law is not merely the ruler's use of rules. Political accountability is broader in Fukuyama's account than competitive elections, but the breadth of the category raises a threshold question: how is accountability to be distinguished from responsiveness, consultation, representation, social constraint, or public-regarding rule? If these concepts are not separated, the triad may appear comprehensive only because adjacent political relations have been gathered under broad labels.</w:t>
      </w:r>
    </w:p>
    <w:p>
      <w:pPr>
        <w:widowControl/>
        <w:spacing w:before="0" w:after="0" w:line="480" w:lineRule="auto"/>
        <w:ind w:firstLine="720"/>
        <w:jc w:val="both"/>
      </w:pPr>
      <w:r>
        <w:rPr>
          <w:rFonts w:ascii="Times New Roman" w:hAnsi="Times New Roman"/>
          <w:i w:val="0"/>
          <w:sz w:val="24"/>
        </w:rPr>
        <w:t>The second aspect concerns institutional interaction. Capacity, legal constraint, and accountability may support one another, but they may also conflict. Legal and political checks can prevent arbitrary action while making coordinated government more difficult. Administrative autonomy can protect competence while reducing responsiveness. Social groups can constrain rulers while using that power to preserve privilege. Fukuyama's language of institutional balance identifies an important problem, but it does not by itself determine how conflicts among effectiveness, legality, and accountability should be resolved.</w:t>
      </w:r>
    </w:p>
    <w:p>
      <w:pPr>
        <w:widowControl/>
        <w:spacing w:before="0" w:after="0" w:line="480" w:lineRule="auto"/>
        <w:ind w:firstLine="720"/>
        <w:jc w:val="both"/>
      </w:pPr>
      <w:r>
        <w:rPr>
          <w:rFonts w:ascii="Times New Roman" w:hAnsi="Times New Roman"/>
          <w:i w:val="0"/>
          <w:sz w:val="24"/>
        </w:rPr>
        <w:t>The third aspect concerns historical causation. Fukuyama reconstructs political development through mechanisms involving warfare, kinship, religion, law, administration, and organized social power. Specialist scholarship supports many component observations while qualifying their timing, scope, causal priority, and transfer across cases. This creates a methodological question: how far can a macrohistorical theory extend a causal sequence before the confidence of the general conclusion exceeds the evidence for its individual links?</w:t>
      </w:r>
    </w:p>
    <w:p>
      <w:pPr>
        <w:widowControl/>
        <w:spacing w:before="0" w:after="0" w:line="480" w:lineRule="auto"/>
        <w:ind w:firstLine="720"/>
        <w:jc w:val="both"/>
      </w:pPr>
      <w:r>
        <w:rPr>
          <w:rFonts w:ascii="Times New Roman" w:hAnsi="Times New Roman"/>
          <w:i w:val="0"/>
          <w:sz w:val="24"/>
        </w:rPr>
        <w:t>The fourth aspect concerns universalism. Fukuyama expressly recognizes contingency, path dependence, different institutional sequences, borrowing, agency, and reversibility. His theory should therefore not be presumed strictly deterministic or interpreted as proposing one necessary route for every society.</w:t>
      </w:r>
      <w:r>
        <w:rPr>
          <w:rStyle w:val="FootnoteReference"/>
        </w:rPr>
        <w:footnoteReference w:id="3"/>
      </w:r>
      <w:r>
        <w:rPr>
          <w:rFonts w:ascii="Times New Roman" w:hAnsi="Times New Roman"/>
          <w:i w:val="0"/>
          <w:sz w:val="24"/>
        </w:rPr>
        <w:t xml:space="preserve"> Nevertheless, its use of recurrent functions, evolutionary comparison, successful institutional solutions, and convergence-oriented language raises a subtler question. Do common political problems justify comparison through a shared institutional benchmark, or does that benchmark risk arranging diverse histories around a privileged developmental horizon?</w:t>
      </w:r>
    </w:p>
    <w:p>
      <w:pPr>
        <w:widowControl/>
        <w:spacing w:before="0" w:after="0" w:line="480" w:lineRule="auto"/>
        <w:ind w:firstLine="720"/>
        <w:jc w:val="both"/>
      </w:pPr>
      <w:r>
        <w:rPr>
          <w:rFonts w:ascii="Times New Roman" w:hAnsi="Times New Roman"/>
          <w:i w:val="0"/>
          <w:sz w:val="24"/>
        </w:rPr>
        <w:t xml:space="preserve">The investigation must consequently perform two connected tasks. The reconstructive task is to establish Fukuyama's account of political order, its anthropological assumptions, and the historical formation and interaction of the three institutions. The evaluative task is to determine how adequately the framework distinguishes its concepts, supports its causal claims, accommodates alternative historical paths, and limits its universal aspirations. The central research question is therefore: </w:t>
      </w:r>
      <w:r>
        <w:rPr>
          <w:rFonts w:ascii="Times New Roman" w:hAnsi="Times New Roman"/>
          <w:b/>
          <w:i w:val="0"/>
          <w:sz w:val="24"/>
        </w:rPr>
        <w:t>How does Francis Fukuyama explain the historical emergence, differentiation, interaction, and decay of the institutions necessary for political order, particularly the state, rule of law, and political accountability, and how adequate is this framework philosophically?</w:t>
      </w:r>
    </w:p>
    <w:p>
      <w:pPr>
        <w:pStyle w:val="Heading2"/>
      </w:pPr>
      <w:r>
        <w:rPr>
          <w:rFonts w:ascii="Times New Roman" w:hAnsi="Times New Roman"/>
          <w:i w:val="0"/>
          <w:sz w:val="24"/>
        </w:rPr>
        <w:t>1.3 Purpose of the Study</w:t>
      </w:r>
    </w:p>
    <w:p>
      <w:pPr>
        <w:widowControl/>
        <w:spacing w:before="0" w:after="0" w:line="480" w:lineRule="auto"/>
        <w:ind w:firstLine="720"/>
        <w:jc w:val="both"/>
      </w:pPr>
      <w:r>
        <w:rPr>
          <w:rFonts w:ascii="Times New Roman" w:hAnsi="Times New Roman"/>
          <w:i w:val="0"/>
          <w:sz w:val="24"/>
        </w:rPr>
        <w:t>The general purpose of this study is to undertake a philosophical investigation of Fukuyama's account of the institutions of political order, particularly the state, rule of law, and political accountability, by reconstructing their foundations, historical development, interaction, and decay and critically evaluating the explanatory and philosophical adequacy of the framework.</w:t>
      </w:r>
    </w:p>
    <w:p>
      <w:pPr>
        <w:widowControl/>
        <w:spacing w:before="0" w:after="0" w:line="480" w:lineRule="auto"/>
        <w:ind w:firstLine="720"/>
        <w:jc w:val="both"/>
      </w:pPr>
      <w:r>
        <w:rPr>
          <w:rFonts w:ascii="Times New Roman" w:hAnsi="Times New Roman"/>
          <w:i w:val="0"/>
          <w:sz w:val="24"/>
        </w:rPr>
        <w:t>The specific objectives are:</w:t>
      </w:r>
    </w:p>
    <w:p>
      <w:pPr>
        <w:widowControl/>
        <w:spacing w:before="0" w:after="0" w:line="480" w:lineRule="auto"/>
        <w:ind w:firstLine="720"/>
        <w:jc w:val="both"/>
      </w:pPr>
      <w:r>
        <w:rPr>
          <w:rFonts w:ascii="Times New Roman" w:hAnsi="Times New Roman"/>
          <w:i w:val="0"/>
          <w:sz w:val="24"/>
        </w:rPr>
        <w:t>1. to clarify Fukuyama's conception of political order and the relations among its principal institutions;</w:t>
      </w:r>
    </w:p>
    <w:p>
      <w:pPr>
        <w:widowControl/>
        <w:spacing w:before="0" w:after="0" w:line="480" w:lineRule="auto"/>
        <w:ind w:firstLine="720"/>
        <w:jc w:val="both"/>
      </w:pPr>
      <w:r>
        <w:rPr>
          <w:rFonts w:ascii="Times New Roman" w:hAnsi="Times New Roman"/>
          <w:i w:val="0"/>
          <w:sz w:val="24"/>
        </w:rPr>
        <w:t>2. to examine the philosophical and anthropological assumptions underlying his account, including his understanding of human sociality and the state of nature;</w:t>
      </w:r>
    </w:p>
    <w:p>
      <w:pPr>
        <w:widowControl/>
        <w:spacing w:before="0" w:after="0" w:line="480" w:lineRule="auto"/>
        <w:ind w:firstLine="720"/>
        <w:jc w:val="both"/>
      </w:pPr>
      <w:r>
        <w:rPr>
          <w:rFonts w:ascii="Times New Roman" w:hAnsi="Times New Roman"/>
          <w:i w:val="0"/>
          <w:sz w:val="24"/>
        </w:rPr>
        <w:t>3. to analyze his conception of the state, state capacity, state formation, bureaucracy, and impersonality;</w:t>
      </w:r>
    </w:p>
    <w:p>
      <w:pPr>
        <w:widowControl/>
        <w:spacing w:before="0" w:after="0" w:line="480" w:lineRule="auto"/>
        <w:ind w:firstLine="720"/>
        <w:jc w:val="both"/>
      </w:pPr>
      <w:r>
        <w:rPr>
          <w:rFonts w:ascii="Times New Roman" w:hAnsi="Times New Roman"/>
          <w:i w:val="0"/>
          <w:sz w:val="24"/>
        </w:rPr>
        <w:t>4. to examine rule of law and political accountability as distinct but interacting dimensions of political order;</w:t>
      </w:r>
    </w:p>
    <w:p>
      <w:pPr>
        <w:widowControl/>
        <w:spacing w:before="0" w:after="0" w:line="480" w:lineRule="auto"/>
        <w:ind w:firstLine="720"/>
        <w:jc w:val="both"/>
      </w:pPr>
      <w:r>
        <w:rPr>
          <w:rFonts w:ascii="Times New Roman" w:hAnsi="Times New Roman"/>
          <w:i w:val="0"/>
          <w:sz w:val="24"/>
        </w:rPr>
        <w:t>5. to compare the major historical routes through which Fukuyama reconstructs institutional development;</w:t>
      </w:r>
    </w:p>
    <w:p>
      <w:pPr>
        <w:widowControl/>
        <w:spacing w:before="0" w:after="0" w:line="480" w:lineRule="auto"/>
        <w:ind w:firstLine="720"/>
        <w:jc w:val="both"/>
      </w:pPr>
      <w:r>
        <w:rPr>
          <w:rFonts w:ascii="Times New Roman" w:hAnsi="Times New Roman"/>
          <w:i w:val="0"/>
          <w:sz w:val="24"/>
        </w:rPr>
        <w:t>6. to examine political decay, institutional rigidity, elite capture, and repatrimonialization; and</w:t>
      </w:r>
    </w:p>
    <w:p>
      <w:pPr>
        <w:widowControl/>
        <w:spacing w:before="0" w:after="0" w:line="480" w:lineRule="auto"/>
        <w:ind w:firstLine="720"/>
        <w:jc w:val="both"/>
      </w:pPr>
      <w:r>
        <w:rPr>
          <w:rFonts w:ascii="Times New Roman" w:hAnsi="Times New Roman"/>
          <w:i w:val="0"/>
          <w:sz w:val="24"/>
        </w:rPr>
        <w:t>7. to evaluate the conceptual, historical, comparative, and philosophical strengths and limitations of Fukuyama's framework.</w:t>
      </w:r>
    </w:p>
    <w:p>
      <w:pPr>
        <w:pStyle w:val="Heading2"/>
      </w:pPr>
      <w:r>
        <w:rPr>
          <w:rFonts w:ascii="Times New Roman" w:hAnsi="Times New Roman"/>
          <w:i w:val="0"/>
          <w:sz w:val="24"/>
        </w:rPr>
        <w:t>1.4 Scope and Limitation of the Study</w:t>
      </w:r>
    </w:p>
    <w:p>
      <w:pPr>
        <w:widowControl/>
        <w:spacing w:before="0" w:after="0" w:line="480" w:lineRule="auto"/>
        <w:ind w:firstLine="720"/>
        <w:jc w:val="both"/>
      </w:pPr>
      <w:r>
        <w:rPr>
          <w:rFonts w:ascii="Times New Roman" w:hAnsi="Times New Roman"/>
          <w:i w:val="0"/>
          <w:sz w:val="24"/>
        </w:rPr>
        <w:t xml:space="preserve">The primary textual object of the study is Fukuyama's </w:t>
      </w:r>
      <w:r>
        <w:rPr>
          <w:rFonts w:ascii="Times New Roman" w:hAnsi="Times New Roman"/>
          <w:i/>
          <w:sz w:val="24"/>
        </w:rPr>
        <w:t>The Origins of Political Order: From Prehuman Times to the French Revolution</w:t>
      </w:r>
      <w:r>
        <w:rPr>
          <w:rFonts w:ascii="Times New Roman" w:hAnsi="Times New Roman"/>
          <w:i w:val="0"/>
          <w:sz w:val="24"/>
        </w:rPr>
        <w:t xml:space="preserve">, published in 2011. The 2014 companion volume, </w:t>
      </w:r>
      <w:r>
        <w:rPr>
          <w:rFonts w:ascii="Times New Roman" w:hAnsi="Times New Roman"/>
          <w:i/>
          <w:sz w:val="24"/>
        </w:rPr>
        <w:t>Political Order and Political Decay: From the Industrial Revolution to the Globalization of Democracy</w:t>
      </w:r>
      <w:r>
        <w:rPr>
          <w:rFonts w:ascii="Times New Roman" w:hAnsi="Times New Roman"/>
          <w:i w:val="0"/>
          <w:sz w:val="24"/>
        </w:rPr>
        <w:t>, is used selectively to clarify later political development, state capacity, institutional adaptation, political decay, repatrimonialization, and possible convergence. The companion extends the argument but does not replace the first volume as the principal object of interpretation.</w:t>
      </w:r>
    </w:p>
    <w:p>
      <w:pPr>
        <w:widowControl/>
        <w:spacing w:before="0" w:after="0" w:line="480" w:lineRule="auto"/>
        <w:ind w:firstLine="720"/>
        <w:jc w:val="both"/>
      </w:pPr>
      <w:r>
        <w:rPr>
          <w:rFonts w:ascii="Times New Roman" w:hAnsi="Times New Roman"/>
          <w:i w:val="0"/>
          <w:sz w:val="24"/>
        </w:rPr>
        <w:t>The philosophical scope includes political order, the state, state capacity, rule of law, political accountability, human nature, the state of nature, institutional development, impersonality, patrimonialism, political decay, historical contingency, universalism, convergence, and comparative institutional explanation. Hobbes, Locke, and Rousseau are considered only in relation to Fukuyama's account of human sociality and the origins and justification of political order. The comparison does not attempt a complete interpretation of their political philosophies.</w:t>
      </w:r>
    </w:p>
    <w:p>
      <w:pPr>
        <w:widowControl/>
        <w:spacing w:before="0" w:after="0" w:line="480" w:lineRule="auto"/>
        <w:ind w:firstLine="720"/>
        <w:jc w:val="both"/>
      </w:pPr>
      <w:r>
        <w:rPr>
          <w:rFonts w:ascii="Times New Roman" w:hAnsi="Times New Roman"/>
          <w:i w:val="0"/>
          <w:sz w:val="24"/>
        </w:rPr>
        <w:t>The historical scope is similarly selective. China, India, Islamic political orders, and Western Europe are examined because they perform central comparative functions in Fukuyama's explanation of state formation, legal autonomy, accountability, and institutional sequencing. These cases are not presented as complete histories or as culturally uniform civilizations. They are used only to reconstruct and test the institutional mechanisms relevant to the research question.</w:t>
      </w:r>
    </w:p>
    <w:p>
      <w:pPr>
        <w:widowControl/>
        <w:spacing w:before="0" w:after="0" w:line="480" w:lineRule="auto"/>
        <w:ind w:firstLine="720"/>
        <w:jc w:val="both"/>
      </w:pPr>
      <w:r>
        <w:rPr>
          <w:rFonts w:ascii="Times New Roman" w:hAnsi="Times New Roman"/>
          <w:i w:val="0"/>
          <w:sz w:val="24"/>
        </w:rPr>
        <w:t>The study is philosophical rather than a new empirical history. It relies on specialist historical and anthropological scholarship to test selected macrohistorical propositions, but it cannot independently adjudicate every controversy covered by Fukuyama's unusually extensive narrative. Its conclusions are therefore proportioned to the evidence available for the claims directly used. The study also treats contemporary relevance conceptually rather than through a new case study of Nigeria or another present-day polity.</w:t>
      </w:r>
    </w:p>
    <w:p>
      <w:pPr>
        <w:widowControl/>
        <w:spacing w:before="0" w:after="0" w:line="480" w:lineRule="auto"/>
        <w:ind w:firstLine="720"/>
        <w:jc w:val="both"/>
      </w:pPr>
      <w:r>
        <w:rPr>
          <w:rFonts w:ascii="Times New Roman" w:hAnsi="Times New Roman"/>
          <w:i w:val="0"/>
          <w:sz w:val="24"/>
        </w:rPr>
        <w:t>Finally, the inquiry does not attempt to construct a complete normative theory of justice, democracy, rights, distribution, representation, political obligation, or legitimate coercion. It examines the institutional conditions and tensions identified by Fukuyama while maintaining the distinction between the historical origin of an institution, the function it performs, and its normative justification. Engagement with evolutionary anthropology is restricted to those claims necessary for reconstructing and evaluating Fukuyama's political anthropology.</w:t>
      </w:r>
    </w:p>
    <w:p>
      <w:pPr>
        <w:pStyle w:val="Heading2"/>
      </w:pPr>
      <w:r>
        <w:rPr>
          <w:rFonts w:ascii="Times New Roman" w:hAnsi="Times New Roman"/>
          <w:i w:val="0"/>
          <w:sz w:val="24"/>
        </w:rPr>
        <w:t>1.5 Significance of the Study</w:t>
      </w:r>
    </w:p>
    <w:p>
      <w:pPr>
        <w:widowControl/>
        <w:spacing w:before="0" w:after="0" w:line="480" w:lineRule="auto"/>
        <w:ind w:firstLine="720"/>
        <w:jc w:val="both"/>
      </w:pPr>
      <w:r>
        <w:rPr>
          <w:rFonts w:ascii="Times New Roman" w:hAnsi="Times New Roman"/>
          <w:i w:val="0"/>
          <w:sz w:val="24"/>
        </w:rPr>
        <w:t>The philosophical significance of the study lies first in clarifying the distinctions among political capacity, legal constraint, and political accountability. These dimensions are often treated as though effective government, legality, and democracy necessarily accompany one another. Examining their conceptual independence and interaction helps explain how a polity may be strong in one respect and weak in another, and why political order contains enduring tensions rather than one institutional solution.</w:t>
      </w:r>
    </w:p>
    <w:p>
      <w:pPr>
        <w:widowControl/>
        <w:spacing w:before="0" w:after="0" w:line="480" w:lineRule="auto"/>
        <w:ind w:firstLine="720"/>
        <w:jc w:val="both"/>
      </w:pPr>
      <w:r>
        <w:rPr>
          <w:rFonts w:ascii="Times New Roman" w:hAnsi="Times New Roman"/>
          <w:i w:val="0"/>
          <w:sz w:val="24"/>
        </w:rPr>
        <w:t>Interpretively, the study offers a systematic reconstruction of Fukuyama's theory across its anthropological, institutional, historical, and evaluative levels. It connects his account of human sociality and kinship to the emergence of states, law, accountability, and the recurrent problem of patrimonial capture. This allows the theory to be assessed as an argument rather than treated merely as a sequence of historical narratives.</w:t>
      </w:r>
    </w:p>
    <w:p>
      <w:pPr>
        <w:widowControl/>
        <w:spacing w:before="0" w:after="0" w:line="480" w:lineRule="auto"/>
        <w:ind w:firstLine="720"/>
        <w:jc w:val="both"/>
      </w:pPr>
      <w:r>
        <w:rPr>
          <w:rFonts w:ascii="Times New Roman" w:hAnsi="Times New Roman"/>
          <w:i w:val="0"/>
          <w:sz w:val="24"/>
        </w:rPr>
        <w:t>The comparative significance lies in examining how related political functions may be realized through different historical mechanisms. The study distinguishes universal political problems from comparable institutional functions, and both from universal institutional forms or historical sequences. This distinction makes cross-civilizational comparison possible without presuming that different societies must reproduce one route.</w:t>
      </w:r>
    </w:p>
    <w:p>
      <w:pPr>
        <w:widowControl/>
        <w:spacing w:before="0" w:after="0" w:line="480" w:lineRule="auto"/>
        <w:ind w:firstLine="720"/>
        <w:jc w:val="both"/>
      </w:pPr>
      <w:r>
        <w:rPr>
          <w:rFonts w:ascii="Times New Roman" w:hAnsi="Times New Roman"/>
          <w:i w:val="0"/>
          <w:sz w:val="24"/>
        </w:rPr>
        <w:t>Methodologically, the inquiry demonstrates how macrohistorical political theory can be evaluated through conceptual analysis together with specialist historical qualification. Component facts, causal mechanisms, classifications, and long-range inferences are assessed separately. This procedure preserves the explanatory ambition of comparative theory while requiring its confidence to remain proportionate to the evidence.</w:t>
      </w:r>
    </w:p>
    <w:p>
      <w:pPr>
        <w:widowControl/>
        <w:spacing w:before="0" w:after="0" w:line="480" w:lineRule="auto"/>
        <w:ind w:firstLine="720"/>
        <w:jc w:val="both"/>
      </w:pPr>
      <w:r>
        <w:rPr>
          <w:rFonts w:ascii="Times New Roman" w:hAnsi="Times New Roman"/>
          <w:i w:val="0"/>
          <w:sz w:val="24"/>
        </w:rPr>
        <w:t>The study also has a modest scholarly significance. Existing discussions address Fukuyama's macrohistorical method, institutional concepts, historical cases, evolutionary premises, and convergence in partly separate conversations. Bringing these debates together within one philosophical investigation clarifies the research problem without claiming that the study is the first or only work to examine Fukuyama's theory. Its contribution is integrative: it asks how the three institutional dimensions relate and how far their functional categories can support comparison across historically plural forms.</w:t>
      </w:r>
    </w:p>
    <w:p>
      <w:pPr>
        <w:pStyle w:val="Heading2"/>
      </w:pPr>
      <w:r>
        <w:rPr>
          <w:rFonts w:ascii="Times New Roman" w:hAnsi="Times New Roman"/>
          <w:i w:val="0"/>
          <w:sz w:val="24"/>
        </w:rPr>
        <w:t>1.6 Methodology of Research</w:t>
      </w:r>
    </w:p>
    <w:p>
      <w:pPr>
        <w:widowControl/>
        <w:spacing w:before="0" w:after="0" w:line="480" w:lineRule="auto"/>
        <w:ind w:firstLine="720"/>
        <w:jc w:val="both"/>
      </w:pPr>
      <w:r>
        <w:rPr>
          <w:rFonts w:ascii="Times New Roman" w:hAnsi="Times New Roman"/>
          <w:i w:val="0"/>
          <w:sz w:val="24"/>
        </w:rPr>
        <w:t>This study employs a principally philosophical and textual method supported by comparative and specialist historical scholarship. Its procedure distinguishes exposition, reconstruction, comparison, analysis, contextualization, and evaluation. These operations are related but not interchangeable. Establishing what Fukuyama argues precedes assessing whether the argument is coherent, adequately evidenced, or philosophically persuasive.</w:t>
      </w:r>
    </w:p>
    <w:p>
      <w:pPr>
        <w:widowControl/>
        <w:spacing w:before="0" w:after="0" w:line="480" w:lineRule="auto"/>
        <w:ind w:firstLine="720"/>
        <w:jc w:val="both"/>
      </w:pPr>
      <w:r>
        <w:rPr>
          <w:rFonts w:ascii="Times New Roman" w:hAnsi="Times New Roman"/>
          <w:i w:val="0"/>
          <w:sz w:val="24"/>
        </w:rPr>
        <w:t xml:space="preserve">Textual interpretation is used to reconstruct Fukuyama's position from </w:t>
      </w:r>
      <w:r>
        <w:rPr>
          <w:rFonts w:ascii="Times New Roman" w:hAnsi="Times New Roman"/>
          <w:i/>
          <w:sz w:val="24"/>
        </w:rPr>
        <w:t>The Origins of Political Order</w:t>
      </w:r>
      <w:r>
        <w:rPr>
          <w:rFonts w:ascii="Times New Roman" w:hAnsi="Times New Roman"/>
          <w:i w:val="0"/>
          <w:sz w:val="24"/>
        </w:rPr>
        <w:t xml:space="preserve"> as the principal primary text and </w:t>
      </w:r>
      <w:r>
        <w:rPr>
          <w:rFonts w:ascii="Times New Roman" w:hAnsi="Times New Roman"/>
          <w:i/>
          <w:sz w:val="24"/>
        </w:rPr>
        <w:t>Political Order and Political Decay</w:t>
      </w:r>
      <w:r>
        <w:rPr>
          <w:rFonts w:ascii="Times New Roman" w:hAnsi="Times New Roman"/>
          <w:i w:val="0"/>
          <w:sz w:val="24"/>
        </w:rPr>
        <w:t xml:space="preserve"> as a companion. Attention is given to definitions, qualifications, changes of level, and the relation between individual claims and the larger two-volume argument. Secondary commentary is used to interpret or criticize the primary texts, not to replace them. This is particularly important where commentators attribute determinism or universalism to Fukuyama, since the attributed position must first be checked against his explicit treatment of contingency and alternative paths.</w:t>
      </w:r>
    </w:p>
    <w:p>
      <w:pPr>
        <w:widowControl/>
        <w:spacing w:before="0" w:after="0" w:line="480" w:lineRule="auto"/>
        <w:ind w:firstLine="720"/>
        <w:jc w:val="both"/>
      </w:pPr>
      <w:r>
        <w:rPr>
          <w:rFonts w:ascii="Times New Roman" w:hAnsi="Times New Roman"/>
          <w:i w:val="0"/>
          <w:sz w:val="24"/>
        </w:rPr>
        <w:t>Conceptual analysis clarifies the meanings and boundaries of political order, state, state capacity, rule of law, accountability, institution, impersonality, patrimonialism, political development, and political decay. The method tests whether the same term performs different work across cases and whether neighbouring concepts have been conflated. Thus, rule by law is distinguished from rule of law, responsiveness from sanction-based accountability, and state capacity from the range of activities undertaken by the state.</w:t>
      </w:r>
    </w:p>
    <w:p>
      <w:pPr>
        <w:widowControl/>
        <w:spacing w:before="0" w:after="0" w:line="480" w:lineRule="auto"/>
        <w:ind w:firstLine="720"/>
        <w:jc w:val="both"/>
      </w:pPr>
      <w:r>
        <w:rPr>
          <w:rFonts w:ascii="Times New Roman" w:hAnsi="Times New Roman"/>
          <w:i w:val="0"/>
          <w:sz w:val="24"/>
        </w:rPr>
        <w:t>Argument reconstruction identifies the premises, conceptual assumptions, historical evidence, causal mechanisms, conclusions, and philosophical implications of Fukuyama's claims. Where a causal sequence contains several stages, the evidence for each stage is considered separately. This permits the study to distinguish an observed association from a demonstrated cause and a plausible mechanism from a sufficient explanation. It also makes possible a fair presentation of the strongest objection and the strongest response before a residual assessment is offered.</w:t>
      </w:r>
    </w:p>
    <w:p>
      <w:pPr>
        <w:widowControl/>
        <w:spacing w:before="0" w:after="0" w:line="480" w:lineRule="auto"/>
        <w:ind w:firstLine="720"/>
        <w:jc w:val="both"/>
      </w:pPr>
      <w:r>
        <w:rPr>
          <w:rFonts w:ascii="Times New Roman" w:hAnsi="Times New Roman"/>
          <w:i w:val="0"/>
          <w:sz w:val="24"/>
        </w:rPr>
        <w:t>Comparative philosophical analysis operates in two forms. First, Fukuyama's evolutionary reconstruction of human sociality is compared with the state-of-nature arguments of Hobbes, Locke, and Rousseau. The comparison distinguishes empirical anthropology from structural, juridical, conjectural, and normative uses of the state of nature. Second, the study compares the institutional mechanisms emphasized in Fukuyama's selected historical cases. Comparison is made at the level of equivalent questions—capacity, constraint, loyalty, administration, and responsiveness—without treating civilizations as internally uniform or placing them on a necessary ladder.</w:t>
      </w:r>
    </w:p>
    <w:p>
      <w:pPr>
        <w:widowControl/>
        <w:spacing w:before="0" w:after="0" w:line="480" w:lineRule="auto"/>
        <w:ind w:firstLine="720"/>
        <w:jc w:val="both"/>
      </w:pPr>
      <w:r>
        <w:rPr>
          <w:rFonts w:ascii="Times New Roman" w:hAnsi="Times New Roman"/>
          <w:i w:val="0"/>
          <w:sz w:val="24"/>
        </w:rPr>
        <w:t>Historical contextualization is used to test and qualify the macrohistorical narrative. Specialist work on China, India, Islamic political orders, Western legal history, kinship, and evolutionary anthropology helps determine whether component claims are supported, contested, or underdetermined. Historical scholarship does not replace philosophical analysis; it establishes the evidential limits within which broader conceptual and causal conclusions may responsibly be drawn.</w:t>
      </w:r>
    </w:p>
    <w:p>
      <w:pPr>
        <w:widowControl/>
        <w:spacing w:before="0" w:after="0" w:line="480" w:lineRule="auto"/>
        <w:ind w:firstLine="720"/>
        <w:jc w:val="both"/>
      </w:pPr>
      <w:r>
        <w:rPr>
          <w:rFonts w:ascii="Times New Roman" w:hAnsi="Times New Roman"/>
          <w:i w:val="0"/>
          <w:sz w:val="24"/>
        </w:rPr>
        <w:t>Critical evaluation assesses the framework according to conceptual coherence, explanatory power, historical adequacy, causal discipline, treatment of alternatives, comparative scope, contingency, universalism, convergence, and normative reach. Internal criticism identifies tensions within Fukuyama's own categories or commitments. External historical criticism introduces specialist evidence that qualifies a classification or causal claim. External philosophical criticism applies conceptual or normative standards not fully supplied by Fukuyama. Keeping these forms separate prevents a historical qualification from being presented as a complete philosophical refutation.</w:t>
      </w:r>
    </w:p>
    <w:p>
      <w:pPr>
        <w:widowControl/>
        <w:spacing w:before="0" w:after="0" w:line="480" w:lineRule="auto"/>
        <w:ind w:firstLine="720"/>
        <w:jc w:val="both"/>
      </w:pPr>
      <w:r>
        <w:rPr>
          <w:rFonts w:ascii="Times New Roman" w:hAnsi="Times New Roman"/>
          <w:i w:val="0"/>
          <w:sz w:val="24"/>
        </w:rPr>
        <w:t>The chapters implement this method progressively. Chapter Two maps the relevant scholarly conversations. Chapter Three reconstructs Fukuyama's political anthropology and compares his approach with classical state-of-nature arguments. Chapter Four analyzes the three institutions, their historical mechanisms, interaction, and decay. Chapter Five evaluates the reconstructed framework, considers its strongest defences, and answers the research problem. No interviews, surveys, fieldwork, experiments, statistical analysis, or quantitative modelling form part of the study.</w:t>
      </w:r>
    </w:p>
    <w:p>
      <w:pPr>
        <w:pStyle w:val="Heading2"/>
      </w:pPr>
      <w:r>
        <w:rPr>
          <w:rFonts w:ascii="Times New Roman" w:hAnsi="Times New Roman"/>
          <w:i w:val="0"/>
          <w:sz w:val="24"/>
        </w:rPr>
        <w:t>1.7 Clarification of Key Concepts</w:t>
      </w:r>
    </w:p>
    <w:p>
      <w:pPr>
        <w:widowControl/>
        <w:spacing w:before="0" w:after="0" w:line="480" w:lineRule="auto"/>
        <w:ind w:firstLine="720"/>
        <w:jc w:val="both"/>
      </w:pPr>
      <w:r>
        <w:rPr>
          <w:rFonts w:ascii="Times New Roman" w:hAnsi="Times New Roman"/>
          <w:b/>
          <w:i w:val="0"/>
          <w:sz w:val="24"/>
        </w:rPr>
        <w:t>Political order</w:t>
      </w:r>
      <w:r>
        <w:rPr>
          <w:rFonts w:ascii="Times New Roman" w:hAnsi="Times New Roman"/>
          <w:i w:val="0"/>
          <w:sz w:val="24"/>
        </w:rPr>
        <w:t xml:space="preserve"> refers to a relatively stable and legitimate organization of public authority through institutions capable of governing. It is more than the absence of conflict and is not synonymous with democracy or justice. In this study, political order names the institutional problem to be explained: how collective authority acquires capacity, restraint, responsiveness, and durability.</w:t>
      </w:r>
    </w:p>
    <w:p>
      <w:pPr>
        <w:widowControl/>
        <w:spacing w:before="0" w:after="0" w:line="480" w:lineRule="auto"/>
        <w:ind w:firstLine="720"/>
        <w:jc w:val="both"/>
      </w:pPr>
      <w:r>
        <w:rPr>
          <w:rFonts w:ascii="Times New Roman" w:hAnsi="Times New Roman"/>
          <w:i w:val="0"/>
          <w:sz w:val="24"/>
        </w:rPr>
        <w:t xml:space="preserve">An </w:t>
      </w:r>
      <w:r>
        <w:rPr>
          <w:rFonts w:ascii="Times New Roman" w:hAnsi="Times New Roman"/>
          <w:b/>
          <w:i w:val="0"/>
          <w:sz w:val="24"/>
        </w:rPr>
        <w:t>institution</w:t>
      </w:r>
      <w:r>
        <w:rPr>
          <w:rFonts w:ascii="Times New Roman" w:hAnsi="Times New Roman"/>
          <w:i w:val="0"/>
          <w:sz w:val="24"/>
        </w:rPr>
        <w:t xml:space="preserve"> is a stable, valued, and recurring rule or pattern that structures behaviour and expectation. Political institutions organize the acquisition, exercise, limitation, and transfer of public power. Institutionalization concerns the degree to which such rules and organizations become durable, autonomous, valued, and predictable rather than dependent entirely on particular persons.</w:t>
      </w:r>
      <w:r>
        <w:rPr>
          <w:rStyle w:val="FootnoteReference"/>
        </w:rPr>
        <w:footnoteReference w:id="4"/>
      </w:r>
    </w:p>
    <w:p>
      <w:pPr>
        <w:widowControl/>
        <w:spacing w:before="0" w:after="0" w:line="480" w:lineRule="auto"/>
        <w:ind w:firstLine="720"/>
        <w:jc w:val="both"/>
      </w:pPr>
      <w:r>
        <w:rPr>
          <w:rFonts w:ascii="Times New Roman" w:hAnsi="Times New Roman"/>
          <w:i w:val="0"/>
          <w:sz w:val="24"/>
        </w:rPr>
        <w:t xml:space="preserve">The </w:t>
      </w:r>
      <w:r>
        <w:rPr>
          <w:rFonts w:ascii="Times New Roman" w:hAnsi="Times New Roman"/>
          <w:b/>
          <w:i w:val="0"/>
          <w:sz w:val="24"/>
        </w:rPr>
        <w:t>state</w:t>
      </w:r>
      <w:r>
        <w:rPr>
          <w:rFonts w:ascii="Times New Roman" w:hAnsi="Times New Roman"/>
          <w:i w:val="0"/>
          <w:sz w:val="24"/>
        </w:rPr>
        <w:t xml:space="preserve"> is a centralized and hierarchical political organization that claims legitimate authority over a territory and concentrates the means of coercion. It is distinct from a particular government, which consists of the officeholders currently directing public authority, and from a regime, which concerns the rules governing access to and exercise of power. The existence of a state does not by itself establish democracy, justice, or high administrative capacity.</w:t>
      </w:r>
      <w:r>
        <w:rPr>
          <w:rStyle w:val="FootnoteReference"/>
        </w:rPr>
        <w:footnoteReference w:id="5"/>
      </w:r>
    </w:p>
    <w:p>
      <w:pPr>
        <w:widowControl/>
        <w:spacing w:before="0" w:after="0" w:line="480" w:lineRule="auto"/>
        <w:ind w:firstLine="720"/>
        <w:jc w:val="both"/>
      </w:pPr>
      <w:r>
        <w:rPr>
          <w:rFonts w:ascii="Times New Roman" w:hAnsi="Times New Roman"/>
          <w:b/>
          <w:i w:val="0"/>
          <w:sz w:val="24"/>
        </w:rPr>
        <w:t>State capacity</w:t>
      </w:r>
      <w:r>
        <w:rPr>
          <w:rFonts w:ascii="Times New Roman" w:hAnsi="Times New Roman"/>
          <w:i w:val="0"/>
          <w:sz w:val="24"/>
        </w:rPr>
        <w:t xml:space="preserve"> is the ability of public institutions to formulate and implement decisions, enforce rules, raise resources, maintain order, and provide public goods. It is distinct from </w:t>
      </w:r>
      <w:r>
        <w:rPr>
          <w:rFonts w:ascii="Times New Roman" w:hAnsi="Times New Roman"/>
          <w:b/>
          <w:i w:val="0"/>
          <w:sz w:val="24"/>
        </w:rPr>
        <w:t>state scope</w:t>
      </w:r>
      <w:r>
        <w:rPr>
          <w:rFonts w:ascii="Times New Roman" w:hAnsi="Times New Roman"/>
          <w:i w:val="0"/>
          <w:sz w:val="24"/>
        </w:rPr>
        <w:t>, which concerns how many functions government attempts to perform. A state may have wide scope but execute its tasks poorly, or narrow scope but perform them effectively.</w:t>
      </w:r>
      <w:r>
        <w:rPr>
          <w:rStyle w:val="FootnoteReference"/>
        </w:rPr>
        <w:footnoteReference w:id="6"/>
      </w:r>
    </w:p>
    <w:p>
      <w:pPr>
        <w:widowControl/>
        <w:spacing w:before="0" w:after="0" w:line="480" w:lineRule="auto"/>
        <w:ind w:firstLine="720"/>
        <w:jc w:val="both"/>
      </w:pPr>
      <w:r>
        <w:rPr>
          <w:rFonts w:ascii="Times New Roman" w:hAnsi="Times New Roman"/>
          <w:i w:val="0"/>
          <w:sz w:val="24"/>
        </w:rPr>
        <w:t xml:space="preserve">The </w:t>
      </w:r>
      <w:r>
        <w:rPr>
          <w:rFonts w:ascii="Times New Roman" w:hAnsi="Times New Roman"/>
          <w:b/>
          <w:i w:val="0"/>
          <w:sz w:val="24"/>
        </w:rPr>
        <w:t>rule of law</w:t>
      </w:r>
      <w:r>
        <w:rPr>
          <w:rFonts w:ascii="Times New Roman" w:hAnsi="Times New Roman"/>
          <w:i w:val="0"/>
          <w:sz w:val="24"/>
        </w:rPr>
        <w:t xml:space="preserve"> exists where a body of law possesses authority over rulers and is not merely an instrument of their immediate will. It must be distinguished from </w:t>
      </w:r>
      <w:r>
        <w:rPr>
          <w:rFonts w:ascii="Times New Roman" w:hAnsi="Times New Roman"/>
          <w:b/>
          <w:i w:val="0"/>
          <w:sz w:val="24"/>
        </w:rPr>
        <w:t>rule by law</w:t>
      </w:r>
      <w:r>
        <w:rPr>
          <w:rFonts w:ascii="Times New Roman" w:hAnsi="Times New Roman"/>
          <w:i w:val="0"/>
          <w:sz w:val="24"/>
        </w:rPr>
        <w:t>, in which rulers use general rules to administer subjects while remaining free to alter or disregard those rules. Legal rationality and written codes may strengthen administration without necessarily establishing legal supremacy over political power.</w:t>
      </w:r>
      <w:r>
        <w:rPr>
          <w:rStyle w:val="FootnoteReference"/>
        </w:rPr>
        <w:footnoteReference w:id="7"/>
      </w:r>
    </w:p>
    <w:p>
      <w:pPr>
        <w:widowControl/>
        <w:spacing w:before="0" w:after="0" w:line="480" w:lineRule="auto"/>
        <w:ind w:firstLine="720"/>
        <w:jc w:val="both"/>
      </w:pPr>
      <w:r>
        <w:rPr>
          <w:rFonts w:ascii="Times New Roman" w:hAnsi="Times New Roman"/>
          <w:b/>
          <w:i w:val="0"/>
          <w:sz w:val="24"/>
        </w:rPr>
        <w:t>Political accountability</w:t>
      </w:r>
      <w:r>
        <w:rPr>
          <w:rFonts w:ascii="Times New Roman" w:hAnsi="Times New Roman"/>
          <w:i w:val="0"/>
          <w:sz w:val="24"/>
        </w:rPr>
        <w:t xml:space="preserve"> is used initially in Fukuyama's broad sense to describe mechanisms through which rulers become responsible or responsive to governed interests. It is not identical with electoral democracy, since consultation, organized social constraint, moral responsibility, representation, and non-electoral responsiveness may also influence rulers. The study nevertheless distinguishes responsiveness, representation, consultation, answerability, sanction, and electoral accountability. Narrower actor–forum theories reserve accountability for relations in which an official must explain conduct to a forum capable of questioning, judgment, and consequences.</w:t>
      </w:r>
      <w:r>
        <w:rPr>
          <w:rStyle w:val="FootnoteReference"/>
        </w:rPr>
        <w:footnoteReference w:id="8"/>
      </w:r>
    </w:p>
    <w:p>
      <w:pPr>
        <w:widowControl/>
        <w:spacing w:before="0" w:after="0" w:line="480" w:lineRule="auto"/>
        <w:ind w:firstLine="720"/>
        <w:jc w:val="both"/>
      </w:pPr>
      <w:r>
        <w:rPr>
          <w:rFonts w:ascii="Times New Roman" w:hAnsi="Times New Roman"/>
          <w:b/>
          <w:i w:val="0"/>
          <w:sz w:val="24"/>
        </w:rPr>
        <w:t>Political development</w:t>
      </w:r>
      <w:r>
        <w:rPr>
          <w:rFonts w:ascii="Times New Roman" w:hAnsi="Times New Roman"/>
          <w:i w:val="0"/>
          <w:sz w:val="24"/>
        </w:rPr>
        <w:t xml:space="preserve"> refers to change in political institutions, analytically distinguishable from economic and social development even though the processes interact. It does not mean uninterrupted moral improvement or movement through a necessary sequence. Development may involve greater capacity, impersonality, legal autonomy, or accountability, but gains along one dimension can coexist with losses along another.</w:t>
      </w:r>
    </w:p>
    <w:p>
      <w:pPr>
        <w:widowControl/>
        <w:spacing w:before="0" w:after="0" w:line="480" w:lineRule="auto"/>
        <w:ind w:firstLine="720"/>
        <w:jc w:val="both"/>
      </w:pPr>
      <w:r>
        <w:rPr>
          <w:rFonts w:ascii="Times New Roman" w:hAnsi="Times New Roman"/>
          <w:b/>
          <w:i w:val="0"/>
          <w:sz w:val="24"/>
        </w:rPr>
        <w:t>Political decay</w:t>
      </w:r>
      <w:r>
        <w:rPr>
          <w:rFonts w:ascii="Times New Roman" w:hAnsi="Times New Roman"/>
          <w:i w:val="0"/>
          <w:sz w:val="24"/>
        </w:rPr>
        <w:t xml:space="preserve"> occurs when institutions become unable to adapt to changed conditions or cease to perform their public functions because of rigidity or capture. It is not every institutional change, informal practice, or political failure. The concept requires an account of the function impaired and the mechanism through which deterioration occurs.</w:t>
      </w:r>
    </w:p>
    <w:p>
      <w:pPr>
        <w:widowControl/>
        <w:spacing w:before="0" w:after="0" w:line="480" w:lineRule="auto"/>
        <w:ind w:firstLine="720"/>
        <w:jc w:val="both"/>
      </w:pPr>
      <w:r>
        <w:rPr>
          <w:rFonts w:ascii="Times New Roman" w:hAnsi="Times New Roman"/>
          <w:b/>
          <w:i w:val="0"/>
          <w:sz w:val="24"/>
        </w:rPr>
        <w:t>Patrimonialism</w:t>
      </w:r>
      <w:r>
        <w:rPr>
          <w:rFonts w:ascii="Times New Roman" w:hAnsi="Times New Roman"/>
          <w:i w:val="0"/>
          <w:sz w:val="24"/>
        </w:rPr>
        <w:t xml:space="preserve"> describes public authority administered as an extension of the ruler's household and personal relationships, so that office and resources are distributed through loyalty, kinship, or dependence rather than impersonal public rules. </w:t>
      </w:r>
      <w:r>
        <w:rPr>
          <w:rFonts w:ascii="Times New Roman" w:hAnsi="Times New Roman"/>
          <w:b/>
          <w:i w:val="0"/>
          <w:sz w:val="24"/>
        </w:rPr>
        <w:t>Repatrimonialization</w:t>
      </w:r>
      <w:r>
        <w:rPr>
          <w:rFonts w:ascii="Times New Roman" w:hAnsi="Times New Roman"/>
          <w:i w:val="0"/>
          <w:sz w:val="24"/>
        </w:rPr>
        <w:t xml:space="preserve"> is the redirection of formally impersonal institutions toward personal, familial, client, or elite advantage. It does not mean that every personal relationship within political life is corrupt or that all informal adaptation is decay.</w:t>
      </w:r>
    </w:p>
    <w:p>
      <w:pPr>
        <w:widowControl/>
        <w:spacing w:before="0" w:after="0" w:line="480" w:lineRule="auto"/>
        <w:ind w:firstLine="720"/>
        <w:jc w:val="both"/>
      </w:pPr>
      <w:r>
        <w:rPr>
          <w:rFonts w:ascii="Times New Roman" w:hAnsi="Times New Roman"/>
          <w:b/>
          <w:i w:val="0"/>
          <w:sz w:val="24"/>
        </w:rPr>
        <w:t>Impersonality</w:t>
      </w:r>
      <w:r>
        <w:rPr>
          <w:rFonts w:ascii="Times New Roman" w:hAnsi="Times New Roman"/>
          <w:i w:val="0"/>
          <w:sz w:val="24"/>
        </w:rPr>
        <w:t xml:space="preserve"> means that the duties and benefits of public office are governed principally by rules and institutional purposes rather than the private identity or relationships of the officeholder. It does not require officials to lack social ties, emotions, interests, or moral commitments. The relevant question is which relationships may legitimately determine public decisions.</w:t>
      </w:r>
    </w:p>
    <w:p>
      <w:pPr>
        <w:widowControl/>
        <w:spacing w:before="0" w:after="0" w:line="480" w:lineRule="auto"/>
        <w:ind w:firstLine="720"/>
        <w:jc w:val="both"/>
      </w:pPr>
      <w:r>
        <w:rPr>
          <w:rFonts w:ascii="Times New Roman" w:hAnsi="Times New Roman"/>
          <w:i w:val="0"/>
          <w:sz w:val="24"/>
        </w:rPr>
        <w:t xml:space="preserve">Finally, </w:t>
      </w:r>
      <w:r>
        <w:rPr>
          <w:rFonts w:ascii="Times New Roman" w:hAnsi="Times New Roman"/>
          <w:b/>
          <w:i w:val="0"/>
          <w:sz w:val="24"/>
        </w:rPr>
        <w:t>kinship</w:t>
      </w:r>
      <w:r>
        <w:rPr>
          <w:rFonts w:ascii="Times New Roman" w:hAnsi="Times New Roman"/>
          <w:i w:val="0"/>
          <w:sz w:val="24"/>
        </w:rPr>
        <w:t xml:space="preserve"> refers to biologically and culturally organized relations of descent, marriage, family obligation, and belonging. It can support cooperation, welfare, political organization, and administration, while also placing pressure on officeholders to favour relatives or lineage interests. The study therefore treats kinship neither as a primitive residue that simply disappears nor as an invariably anti-political force. Its institutional effects depend on how obligations are organized and related to public rules.</w:t>
      </w:r>
    </w:p>
    <w:p>
      <w:r>
        <w:br w:type="page"/>
      </w:r>
    </w:p>
    <w:p>
      <w:pPr>
        <w:pStyle w:val="Heading1"/>
        <w:jc w:val="center"/>
      </w:pPr>
      <w:r>
        <w:rPr>
          <w:rFonts w:ascii="Times New Roman" w:hAnsi="Times New Roman"/>
          <w:i w:val="0"/>
          <w:sz w:val="28"/>
        </w:rPr>
        <w:t>CHAPTER TWO</w:t>
      </w:r>
    </w:p>
    <w:p>
      <w:pPr>
        <w:pStyle w:val="Heading2"/>
      </w:pPr>
      <w:r>
        <w:rPr>
          <w:rFonts w:ascii="Times New Roman" w:hAnsi="Times New Roman"/>
          <w:i w:val="0"/>
          <w:sz w:val="24"/>
        </w:rPr>
        <w:t>2.1 Literature Review</w:t>
      </w:r>
    </w:p>
    <w:p>
      <w:pPr>
        <w:widowControl/>
        <w:spacing w:before="0" w:after="0" w:line="480" w:lineRule="auto"/>
        <w:ind w:firstLine="720"/>
        <w:jc w:val="both"/>
      </w:pPr>
      <w:r>
        <w:rPr>
          <w:rFonts w:ascii="Times New Roman" w:hAnsi="Times New Roman"/>
          <w:i w:val="0"/>
          <w:sz w:val="24"/>
        </w:rPr>
        <w:t xml:space="preserve">Scholarship on Francis Fukuyama's political-order project is divided less by a simple opposition between acceptance and rejection than by disagreement over the proper scale of political explanation. Commentators generally recognize </w:t>
      </w:r>
      <w:r>
        <w:rPr>
          <w:rFonts w:ascii="Times New Roman" w:hAnsi="Times New Roman"/>
          <w:i/>
          <w:sz w:val="24"/>
        </w:rPr>
        <w:t>The Origins of Political Order</w:t>
      </w:r>
      <w:r>
        <w:rPr>
          <w:rFonts w:ascii="Times New Roman" w:hAnsi="Times New Roman"/>
          <w:i w:val="0"/>
          <w:sz w:val="24"/>
        </w:rPr>
        <w:t xml:space="preserve"> and its companion volume as attempts to connect human sociality, state formation, legal development, accountability, and institutional decay within a comparative history. The dispute concerns what is gained and lost when processes normally studied by separate disciplines are placed within one explanatory architecture. Some readers emphasize Fukuyama's recovery of institutions as autonomous objects of analysis; others question whether the scale of the synthesis compresses historical variation, privileges successful cases, or gives functional categories more coherence than their histories warrant.</w:t>
      </w:r>
    </w:p>
    <w:p>
      <w:pPr>
        <w:widowControl/>
        <w:spacing w:before="0" w:after="0" w:line="480" w:lineRule="auto"/>
        <w:ind w:firstLine="720"/>
        <w:jc w:val="both"/>
      </w:pPr>
      <w:r>
        <w:rPr>
          <w:rFonts w:ascii="Times New Roman" w:hAnsi="Times New Roman"/>
          <w:i w:val="0"/>
          <w:sz w:val="24"/>
        </w:rPr>
        <w:t>Manning locates Fukuyama's ambition between abstract general theory and historical particularism, describing the project as a form of middle-range theorizing. On this interpretation, comparison is valuable because it searches for recurrent mechanisms without reducing every outcome to one universal cause.</w:t>
      </w:r>
      <w:r>
        <w:rPr>
          <w:rStyle w:val="FootnoteReference"/>
        </w:rPr>
        <w:footnoteReference w:id="9"/>
      </w:r>
      <w:r>
        <w:rPr>
          <w:rFonts w:ascii="Times New Roman" w:hAnsi="Times New Roman"/>
          <w:i w:val="0"/>
          <w:sz w:val="24"/>
        </w:rPr>
        <w:t xml:space="preserve"> Hewson likewise presents the work as a synthesis in which genes, ideas, and institutions all matter, and he characterizes its evolutionary component as probabilistic rather than biologically deterministic. His more critical question is whether the triad of state, rule of law, and accountability is flexible enough to capture later political innovation and whether the expectation of convergence exceeds the pluralism of the historical narrative.</w:t>
      </w:r>
      <w:r>
        <w:rPr>
          <w:rStyle w:val="FootnoteReference"/>
        </w:rPr>
        <w:footnoteReference w:id="10"/>
      </w:r>
      <w:r>
        <w:rPr>
          <w:rFonts w:ascii="Times New Roman" w:hAnsi="Times New Roman"/>
          <w:i w:val="0"/>
          <w:sz w:val="24"/>
        </w:rPr>
        <w:t xml:space="preserve"> These readings establish an important point of agreement: the theory is not adequately represented as a single-cause or strictly necessitarian model. Their disagreement concerns whether its conceptual architecture remains open enough to the diversity it documents.</w:t>
      </w:r>
    </w:p>
    <w:p>
      <w:pPr>
        <w:widowControl/>
        <w:spacing w:before="0" w:after="0" w:line="480" w:lineRule="auto"/>
        <w:ind w:firstLine="720"/>
        <w:jc w:val="both"/>
      </w:pPr>
      <w:r>
        <w:rPr>
          <w:rFonts w:ascii="Times New Roman" w:hAnsi="Times New Roman"/>
          <w:i w:val="0"/>
          <w:sz w:val="24"/>
        </w:rPr>
        <w:t>Other direct scholarship presses this methodological problem more sharply. Montanye treats Fukuyama's account as inductive and nonpredictive, yet argues that an appeal to contingency can permit selective examples and insufficiently tested narratives if rival mechanisms are dismissed too quickly.</w:t>
      </w:r>
      <w:r>
        <w:rPr>
          <w:rStyle w:val="FootnoteReference"/>
        </w:rPr>
        <w:footnoteReference w:id="11"/>
      </w:r>
      <w:r>
        <w:rPr>
          <w:rFonts w:ascii="Times New Roman" w:hAnsi="Times New Roman"/>
          <w:i w:val="0"/>
          <w:sz w:val="24"/>
        </w:rPr>
        <w:t xml:space="preserve"> Mungiu-Pippidi accepts that the two volumes display multiple paths to political order but questions the scale by which institutions are classified and the evidence for convergence. Her criticism also draws attention to movement between institutions understood as rules and the state understood as an organization, raising the issue of whether the compared units remain conceptually stable.</w:t>
      </w:r>
      <w:r>
        <w:rPr>
          <w:rStyle w:val="FootnoteReference"/>
        </w:rPr>
        <w:footnoteReference w:id="12"/>
      </w:r>
      <w:r>
        <w:rPr>
          <w:rFonts w:ascii="Times New Roman" w:hAnsi="Times New Roman"/>
          <w:i w:val="0"/>
          <w:sz w:val="24"/>
        </w:rPr>
        <w:t xml:space="preserve"> Melleuish's published abstract identifies a related historical objection to a universal evolutionary model through Fukuyama's treatment of Qin China, Rome, and post-1688 England. Because the full article was not available in the verified corpus, its detailed premises cannot be reconstructed here.</w:t>
      </w:r>
      <w:r>
        <w:rPr>
          <w:rStyle w:val="FootnoteReference"/>
        </w:rPr>
        <w:footnoteReference w:id="13"/>
      </w:r>
      <w:r>
        <w:rPr>
          <w:rFonts w:ascii="Times New Roman" w:hAnsi="Times New Roman"/>
          <w:i w:val="0"/>
          <w:sz w:val="24"/>
        </w:rPr>
        <w:t xml:space="preserve"> Taken together, this literature does not establish a consensus against macrohistory. It identifies a shared test: large-scale theory must show that its mechanisms and classifications survive specialist scrutiny.</w:t>
      </w:r>
    </w:p>
    <w:p>
      <w:pPr>
        <w:widowControl/>
        <w:spacing w:before="0" w:after="0" w:line="480" w:lineRule="auto"/>
        <w:ind w:firstLine="720"/>
        <w:jc w:val="both"/>
      </w:pPr>
      <w:r>
        <w:rPr>
          <w:rFonts w:ascii="Times New Roman" w:hAnsi="Times New Roman"/>
          <w:i w:val="0"/>
          <w:sz w:val="24"/>
        </w:rPr>
        <w:t>Fukuyama's own methodological clarification strengthens the case for interpreting the project as macro-theory rather than a universal chronological script. His defence of political-development theory seeks mechanisms and recurrent relationships while retaining variation, institutional borrowing, unintended consequences, and historical contingency.</w:t>
      </w:r>
      <w:r>
        <w:rPr>
          <w:rStyle w:val="FootnoteReference"/>
        </w:rPr>
        <w:footnoteReference w:id="14"/>
      </w:r>
      <w:r>
        <w:rPr>
          <w:rFonts w:ascii="Times New Roman" w:hAnsi="Times New Roman"/>
          <w:i w:val="0"/>
          <w:sz w:val="24"/>
        </w:rPr>
        <w:t xml:space="preserve"> As an authorial clarification, this statement fixes the theory's intended scope but does not independently validate its historical claims. The literature therefore distinguishes two questions that can easily be confused: whether Fukuyama asserts an inevitable sequence, and whether his non-deterministic comparisons nevertheless orient different histories toward a common functional model. The first question is largely answered by the primary texts; the second remains a genuine interpretive and evaluative dispute.</w:t>
      </w:r>
    </w:p>
    <w:p>
      <w:pPr>
        <w:widowControl/>
        <w:spacing w:before="0" w:after="0" w:line="480" w:lineRule="auto"/>
        <w:ind w:firstLine="720"/>
        <w:jc w:val="both"/>
      </w:pPr>
      <w:r>
        <w:rPr>
          <w:rFonts w:ascii="Times New Roman" w:hAnsi="Times New Roman"/>
          <w:i w:val="0"/>
          <w:sz w:val="24"/>
        </w:rPr>
        <w:t>The same disagreement appears in scholarship concerning the state and institutional development. Fukuyama inherits a tradition, associated in his text with Weber and Huntington, that treats political institutions as analytically distinct from economic growth and electoral competition. On this approach, a state is not strong merely because its formal scope is wide, and political development cannot be measured only by the existence of elections. Administrative capacity, organizational autonomy, impersonal recruitment, territorial reach, and the durability of rules require separate analysis. Huntington's emphasis on institutionalization provides an important intellectual background, although the absence of a fully verified local text means that detailed claims about his position should not be made here. The relevant literature-review point is the continuing effort to distinguish institutional strength from regime form.</w:t>
      </w:r>
    </w:p>
    <w:p>
      <w:pPr>
        <w:widowControl/>
        <w:spacing w:before="0" w:after="0" w:line="480" w:lineRule="auto"/>
        <w:ind w:firstLine="720"/>
        <w:jc w:val="both"/>
      </w:pPr>
      <w:r>
        <w:rPr>
          <w:rFonts w:ascii="Times New Roman" w:hAnsi="Times New Roman"/>
          <w:i w:val="0"/>
          <w:sz w:val="24"/>
        </w:rPr>
        <w:t>Fukuyama's contribution to this conversation is to combine state capacity with two countervailing institutional dimensions: law that binds rulers and mechanisms that make government responsive or answerable. Direct reviewers generally regard this differentiation as one of the project's organizing achievements, even when they question whether the three categories are exhaustive. The triad prevents administrative effectiveness from being inferred from democratic procedure and prevents legal form from being treated as evidence of effective implementation. It also links institutional formation to decay, since bureaucratic autonomy can become rigidity and organized participation can become elite capture. Scholarship that disaggregates coercive, extractive, administrative, and legal capacities reinforces the need to avoid treating state capacity as a single quantity, even where it does not address Fukuyama directly. Such work tests his framework by asking which capacity is present, for what purpose, and under whose control.</w:t>
      </w:r>
    </w:p>
    <w:p>
      <w:pPr>
        <w:widowControl/>
        <w:spacing w:before="0" w:after="0" w:line="480" w:lineRule="auto"/>
        <w:ind w:firstLine="720"/>
        <w:jc w:val="both"/>
      </w:pPr>
      <w:r>
        <w:rPr>
          <w:rFonts w:ascii="Times New Roman" w:hAnsi="Times New Roman"/>
          <w:i w:val="0"/>
          <w:sz w:val="24"/>
        </w:rPr>
        <w:t>The concept of impersonality is central to this debate. Weberian administration distinguishes office from the ruler's household and subjects appointment and conduct to rules rather than inherited or personal entitlement. Fukuyama uses this ideal to connect state development with the recurring pressure of kinship and patronage. Specialist and comparative scholarship, however, complicates any binary opposition between personal ties and modern administration. Kin and elite networks may divert public resources, but they may also help rulers gather information, recruit officials, or extend authority. Likewise, formal bureaucracies can remain captured by organized interests without returning to literal household government. The scholarly problem is therefore not whether impersonal administration matters, but how its degree and function should be identified in historically mixed institutions.</w:t>
      </w:r>
    </w:p>
    <w:p>
      <w:pPr>
        <w:widowControl/>
        <w:spacing w:before="0" w:after="0" w:line="480" w:lineRule="auto"/>
        <w:ind w:firstLine="720"/>
        <w:jc w:val="both"/>
      </w:pPr>
      <w:r>
        <w:rPr>
          <w:rFonts w:ascii="Times New Roman" w:hAnsi="Times New Roman"/>
          <w:i w:val="0"/>
          <w:sz w:val="24"/>
        </w:rPr>
        <w:t>Literature on patrimonialism and decay raises a similar issue. Fukuyama's account emphasizes the capture of public institutions by families, clients, and entrenched elites, together with the failure of institutions to adapt to changed circumstances. Commentators sympathetic to the project's institutional focus regard this connection between development and deterioration as an important correction to theories that treat modernization as permanently cumulative. Critics can nevertheless ask whether “repatrimonialization” risks becoming a retrospective label for every deviation from an ideal bureaucracy. The available scholarship suggests that the category is informative only when a study identifies the public function impaired, the mechanism of capture, and the alternatives against which decline is judged. This debate prepares the more specific disputes over legal autonomy and accountability: institutional strength cannot be assessed without asking both how power is organized and how it is constrained.</w:t>
      </w:r>
    </w:p>
    <w:p>
      <w:pPr>
        <w:widowControl/>
        <w:spacing w:before="0" w:after="0" w:line="480" w:lineRule="auto"/>
        <w:ind w:firstLine="720"/>
        <w:jc w:val="both"/>
      </w:pPr>
      <w:r>
        <w:rPr>
          <w:rFonts w:ascii="Times New Roman" w:hAnsi="Times New Roman"/>
          <w:i w:val="0"/>
          <w:sz w:val="24"/>
        </w:rPr>
        <w:t>Scholarship relevant to rule of law first requires a distinction between legal regularity and legal autonomy. A government may administer detailed rules while retaining the authority to alter or suspend them at will. Conversely, law may claim authority over rulers even where enforcement is institutionally weak. Fukuyama's comparative account emphasizes this difference by contrasting rule by law with law that stands above the incumbent ruler. The literature on medieval legal institutions broadly supports the importance of differentiated jurisdiction, professional legal study, and corporate ecclesiastical authority, but it qualifies any account that presents these developments as a single founding event. Work on Gregorian reform treats the eleventh-century transformation as significant while also identifying antecedents and later consolidation.</w:t>
      </w:r>
      <w:r>
        <w:rPr>
          <w:rStyle w:val="FootnoteReference"/>
        </w:rPr>
        <w:footnoteReference w:id="15"/>
      </w:r>
      <w:r>
        <w:rPr>
          <w:rFonts w:ascii="Times New Roman" w:hAnsi="Times New Roman"/>
          <w:i w:val="0"/>
          <w:sz w:val="24"/>
        </w:rPr>
        <w:t xml:space="preserve"> The disagreement is thus about timing and causal weight rather than whether ecclesiastical law acquired substantial institutional autonomy.</w:t>
      </w:r>
    </w:p>
    <w:p>
      <w:pPr>
        <w:widowControl/>
        <w:spacing w:before="0" w:after="0" w:line="480" w:lineRule="auto"/>
        <w:ind w:firstLine="720"/>
        <w:jc w:val="both"/>
      </w:pPr>
      <w:r>
        <w:rPr>
          <w:rFonts w:ascii="Times New Roman" w:hAnsi="Times New Roman"/>
          <w:i w:val="0"/>
          <w:sz w:val="24"/>
        </w:rPr>
        <w:t>This scholarship also complicates a simple opposition between state power and legal constraint. Royal and ecclesiastical legal systems could regularize administration, support property and adjudication, and expand the reach of public authority even while limiting particular rulers. Rule of law therefore cannot be understood solely as a reduction of state capacity. The unresolved scholarly question concerns the path from jurisdictional plurality to later constitutional forms. Evidence that rulers confronted an autonomous legal corporation establishes an institutional constraint; it does not by itself prove that this constraint caused modern constitutionalism. For the present study, the literature makes the differentiation of law from political command plausible while leaving the longer developmental sequence open.</w:t>
      </w:r>
    </w:p>
    <w:p>
      <w:pPr>
        <w:widowControl/>
        <w:spacing w:before="0" w:after="0" w:line="480" w:lineRule="auto"/>
        <w:ind w:firstLine="720"/>
        <w:jc w:val="both"/>
      </w:pPr>
      <w:r>
        <w:rPr>
          <w:rFonts w:ascii="Times New Roman" w:hAnsi="Times New Roman"/>
          <w:i w:val="0"/>
          <w:sz w:val="24"/>
        </w:rPr>
        <w:t>Accountability scholarship presents a more explicit conceptual disagreement. Fukuyama's historical usage includes public-regarding responsibility, consultation, social constraint, and procedural or electoral control. By contrast, Bovens defines accountability through a relation in which an actor must inform and justify conduct to a forum that can question, judge, and impose consequences.</w:t>
      </w:r>
      <w:r>
        <w:rPr>
          <w:rStyle w:val="FootnoteReference"/>
        </w:rPr>
        <w:footnoteReference w:id="16"/>
      </w:r>
      <w:r>
        <w:rPr>
          <w:rFonts w:ascii="Times New Roman" w:hAnsi="Times New Roman"/>
          <w:i w:val="0"/>
          <w:sz w:val="24"/>
        </w:rPr>
        <w:t xml:space="preserve"> On the narrower model, responsiveness without an account-giving forum is an adjacent political virtue rather than accountability itself. This distinction is methodological as well as terminological. A broad category makes it possible to compare pre-electoral and non-electoral mechanisms; a narrow one distinguishes moral responsibility from answerability and enforceable sanction.</w:t>
      </w:r>
    </w:p>
    <w:p>
      <w:pPr>
        <w:widowControl/>
        <w:spacing w:before="0" w:after="0" w:line="480" w:lineRule="auto"/>
        <w:ind w:firstLine="720"/>
        <w:jc w:val="both"/>
      </w:pPr>
      <w:r>
        <w:rPr>
          <w:rFonts w:ascii="Times New Roman" w:hAnsi="Times New Roman"/>
          <w:i w:val="0"/>
          <w:sz w:val="24"/>
        </w:rPr>
        <w:t>The literature does not require choosing between these usages before historical inquiry begins. It does require specifying which mechanism is present. Representation concerns whose interests or voices enter decision-making. Consultation concerns whether rulers hear social actors. Responsiveness concerns whether policy changes in relation to their interests. Answerability concerns explanation and justification, while sanction concerns consequences. Elections may combine these elements but do not guarantee effective responsiveness or administrative capacity. The conceptual question left by the literature is therefore how broad accountability can become while remaining distinct from public-regarding rule, representation, social constraint, and benevolent responsiveness. That question is central because the triad's apparent comparative range partly depends on the breadth of its third category.</w:t>
      </w:r>
    </w:p>
    <w:p>
      <w:pPr>
        <w:widowControl/>
        <w:spacing w:before="0" w:after="0" w:line="480" w:lineRule="auto"/>
        <w:ind w:firstLine="720"/>
        <w:jc w:val="both"/>
      </w:pPr>
      <w:r>
        <w:rPr>
          <w:rFonts w:ascii="Times New Roman" w:hAnsi="Times New Roman"/>
          <w:i w:val="0"/>
          <w:sz w:val="24"/>
        </w:rPr>
        <w:t>Specialist historical scholarship tests these conceptual categories against mixed institutions. Research on early China supports the existence of unusually early territorial centralization, population registration, extraction, and bureaucratic administration. It also records hereditary rank, elite-family competition, uneven recruitment, and disputes over the timing of mature bureaucracy. Military-history scholarship gives substantial weight to warfare while disagreement remains over its sufficiency and priority.</w:t>
      </w:r>
      <w:r>
        <w:rPr>
          <w:rStyle w:val="FootnoteReference"/>
        </w:rPr>
        <w:footnoteReference w:id="17"/>
      </w:r>
      <w:r>
        <w:rPr>
          <w:rFonts w:ascii="Times New Roman" w:hAnsi="Times New Roman"/>
          <w:i w:val="0"/>
          <w:sz w:val="24"/>
        </w:rPr>
        <w:t xml:space="preserve"> The scholarly issue is consequently not whether Qin and Han rule was administratively innovative. It is whether the expression “modern state” clarifies those innovations or imports constitutional, democratic, social, and economic meanings absent from the restricted administrative definition.</w:t>
      </w:r>
    </w:p>
    <w:p>
      <w:pPr>
        <w:widowControl/>
        <w:spacing w:before="0" w:after="0" w:line="480" w:lineRule="auto"/>
        <w:ind w:firstLine="720"/>
        <w:jc w:val="both"/>
      </w:pPr>
      <w:r>
        <w:rPr>
          <w:rFonts w:ascii="Times New Roman" w:hAnsi="Times New Roman"/>
          <w:i w:val="0"/>
          <w:sz w:val="24"/>
        </w:rPr>
        <w:t>The Indian literature questions a different binary. Studies of the Mauryan polity support extensive imperial reach while emphasizing flexible and regionally uneven control. Scholarship on statecraft, religious endowments, and Brahmanical authority shows both the durability of social and normative orders and the role of rulers in materially constituting them.</w:t>
      </w:r>
      <w:r>
        <w:rPr>
          <w:rStyle w:val="FootnoteReference"/>
        </w:rPr>
        <w:footnoteReference w:id="18"/>
      </w:r>
      <w:r>
        <w:rPr>
          <w:rFonts w:ascii="Times New Roman" w:hAnsi="Times New Roman"/>
          <w:i w:val="0"/>
          <w:sz w:val="24"/>
        </w:rPr>
        <w:t xml:space="preserve"> These findings complicate any claim that India lacked centralized states or that autonomous religion simply stood outside and weakened political power. They support a comparison between different relations of state and social authority, but leave the causal priority of caste or religion underdetermined. The disagreement concerns direction: whether social autonomy principally constrained centralization, whether political strategies produced forms of religious privilege, or whether both developed reciprocally alongside other mechanisms.</w:t>
      </w:r>
    </w:p>
    <w:p>
      <w:pPr>
        <w:widowControl/>
        <w:spacing w:before="0" w:after="0" w:line="480" w:lineRule="auto"/>
        <w:ind w:firstLine="720"/>
        <w:jc w:val="both"/>
      </w:pPr>
      <w:r>
        <w:rPr>
          <w:rFonts w:ascii="Times New Roman" w:hAnsi="Times New Roman"/>
          <w:i w:val="0"/>
          <w:sz w:val="24"/>
        </w:rPr>
        <w:t>Literature on military slavery and Islamic political orders likewise resists a movement from one institutional mechanism to a homogeneous civilizational conclusion. Ménage's analysis of the devshirme supports the importance of forced recruitment and transplantation in creating servants detached from some inherited local ties. Hathaway's study of military households shows that such arrangements could also generate new personal networks and enduring elite formations.</w:t>
      </w:r>
      <w:r>
        <w:rPr>
          <w:rStyle w:val="FootnoteReference"/>
        </w:rPr>
        <w:footnoteReference w:id="19"/>
      </w:r>
      <w:r>
        <w:rPr>
          <w:rFonts w:ascii="Times New Roman" w:hAnsi="Times New Roman"/>
          <w:i w:val="0"/>
          <w:sz w:val="24"/>
        </w:rPr>
        <w:t xml:space="preserve"> The scholarship therefore supports centralization through reorganized loyalty while qualifying any equation of military slavery with full impersonality. It also leaves open whether later household formation should always be called decay rather than adaptation.</w:t>
      </w:r>
    </w:p>
    <w:p>
      <w:pPr>
        <w:widowControl/>
        <w:spacing w:before="0" w:after="0" w:line="480" w:lineRule="auto"/>
        <w:ind w:firstLine="720"/>
        <w:jc w:val="both"/>
      </w:pPr>
      <w:r>
        <w:rPr>
          <w:rFonts w:ascii="Times New Roman" w:hAnsi="Times New Roman"/>
          <w:i w:val="0"/>
          <w:sz w:val="24"/>
        </w:rPr>
        <w:t>Western Christianity and kinship supply the clearest test of a long macrohistorical causal chain. Goody argues that Church regulation of marriage and inheritance weakened extended kin structures, while later empirical work by Schulz and his co-authors associates longer exposure to the Western Church's marriage programme with less intensive kinship and particular psychological patterns.</w:t>
      </w:r>
      <w:r>
        <w:rPr>
          <w:rStyle w:val="FootnoteReference"/>
        </w:rPr>
        <w:footnoteReference w:id="20"/>
      </w:r>
      <w:r>
        <w:rPr>
          <w:rFonts w:ascii="Times New Roman" w:hAnsi="Times New Roman"/>
          <w:i w:val="0"/>
          <w:sz w:val="24"/>
        </w:rPr>
        <w:t xml:space="preserve"> This literature establishes a serious supporting case, not an uncontested sequence. Enforcement varied, kinship persisted in altered forms, and the modern cross-regional evidence is observational. Moreover, evidence for marriage regulation is stronger than evidence that kinship change independently caused individualism, corporations, or impersonal government.</w:t>
      </w:r>
    </w:p>
    <w:p>
      <w:pPr>
        <w:widowControl/>
        <w:spacing w:before="0" w:after="0" w:line="480" w:lineRule="auto"/>
        <w:ind w:firstLine="720"/>
        <w:jc w:val="both"/>
      </w:pPr>
      <w:r>
        <w:rPr>
          <w:rFonts w:ascii="Times New Roman" w:hAnsi="Times New Roman"/>
          <w:i w:val="0"/>
          <w:sz w:val="24"/>
        </w:rPr>
        <w:t>Across these historical debates, the pattern is consistent but not one-sided. Specialist studies often support the component facts used by Fukuyama: early Chinese administration, substantial but uneven Mauryan rule, centralizing military recruitment, autonomous canon law, and distinctive Church family regulation. They more frequently dispute classificatory breadth, causal priority, periodization, and the transfer of confidence from an early mechanism to a distant outcome. Historical scholarship therefore neither simply confirms nor refutes the comparative project. It establishes the conditions under which comparison remains credible: concepts must be restricted, mechanisms separated, and causal confidence proportioned to the evidence for each link.</w:t>
      </w:r>
    </w:p>
    <w:p>
      <w:pPr>
        <w:widowControl/>
        <w:spacing w:before="0" w:after="0" w:line="480" w:lineRule="auto"/>
        <w:ind w:firstLine="720"/>
        <w:jc w:val="both"/>
      </w:pPr>
      <w:r>
        <w:rPr>
          <w:rFonts w:ascii="Times New Roman" w:hAnsi="Times New Roman"/>
          <w:i w:val="0"/>
          <w:sz w:val="24"/>
        </w:rPr>
        <w:t>Evolutionary scholarship creates a related debate about the level at which political generalization is warranted. Research on human cooperation strongly supports natural sociality and rejects any literal empirical picture of human beings beginning as isolated adults. It also shows that cooperation cannot be reduced to kin selection and direct reciprocity. Reputation, punishment, partner choice, cooperative breeding, learned norms, cultural transmission, and competition among culturally organized groups all contribute to large-scale social life.</w:t>
      </w:r>
      <w:r>
        <w:rPr>
          <w:rStyle w:val="FootnoteReference"/>
        </w:rPr>
        <w:footnoteReference w:id="21"/>
      </w:r>
      <w:r>
        <w:rPr>
          <w:rFonts w:ascii="Times New Roman" w:hAnsi="Times New Roman"/>
          <w:i w:val="0"/>
          <w:sz w:val="24"/>
        </w:rPr>
        <w:t xml:space="preserve"> Studies of forager residence further show flexible networks containing affines and non-kin rather than closed biological bands.</w:t>
      </w:r>
      <w:r>
        <w:rPr>
          <w:rStyle w:val="FootnoteReference"/>
        </w:rPr>
        <w:footnoteReference w:id="22"/>
      </w:r>
      <w:r>
        <w:rPr>
          <w:rFonts w:ascii="Times New Roman" w:hAnsi="Times New Roman"/>
          <w:i w:val="0"/>
          <w:sz w:val="24"/>
        </w:rPr>
        <w:t xml:space="preserve"> This literature supports Fukuyama's rejection of presocial individualism as anthropology while requiring a plural-mechanism account of political cooperation.</w:t>
      </w:r>
    </w:p>
    <w:p>
      <w:pPr>
        <w:widowControl/>
        <w:spacing w:before="0" w:after="0" w:line="480" w:lineRule="auto"/>
        <w:ind w:firstLine="720"/>
        <w:jc w:val="both"/>
      </w:pPr>
      <w:r>
        <w:rPr>
          <w:rFonts w:ascii="Times New Roman" w:hAnsi="Times New Roman"/>
          <w:i w:val="0"/>
          <w:sz w:val="24"/>
        </w:rPr>
        <w:t>The same evidence discourages a universal ladder from band to tribe, chiefdom, and state. Comparative categories can identify differences in scale, hierarchy, administration, and coercion, but contemporary anthropology treats them as revisable analytical types rather than stages every society must traverse. Warfare and religion may contribute to political scaling, yet neither functions as a necessary or sufficient master cause. The literature therefore separates evolved human capacities from institutional outcomes. Human beings share tendencies toward social cooperation, kin preference, norm enforcement, and status competition, but those tendencies underdetermine the political forms through which they are organized.</w:t>
      </w:r>
    </w:p>
    <w:p>
      <w:pPr>
        <w:widowControl/>
        <w:spacing w:before="0" w:after="0" w:line="480" w:lineRule="auto"/>
        <w:ind w:firstLine="720"/>
        <w:jc w:val="both"/>
      </w:pPr>
      <w:r>
        <w:rPr>
          <w:rFonts w:ascii="Times New Roman" w:hAnsi="Times New Roman"/>
          <w:i w:val="0"/>
          <w:sz w:val="24"/>
        </w:rPr>
        <w:t>This distinction explains why strict determinism is not the principal issue in scholarship on Fukuyama. Hewson's probabilistic interpretation, the contingency emphasized in Fukuyama's own methodological account, and the multiple sequences documented across the two volumes all weigh against necessity. The more important disagreement concerns functionalism and convergence. If societies confront recurring problems of coordination, coercion, constraint, and elite control, they may develop arrangements that perform comparable functions. This proposition does not entail that they will adopt identical organizations or arrive through the same sequence. It does, however, create pressure to decide which arrangements count as successful solutions.</w:t>
      </w:r>
    </w:p>
    <w:p>
      <w:pPr>
        <w:widowControl/>
        <w:spacing w:before="0" w:after="0" w:line="480" w:lineRule="auto"/>
        <w:ind w:firstLine="720"/>
        <w:jc w:val="both"/>
      </w:pPr>
      <w:r>
        <w:rPr>
          <w:rFonts w:ascii="Times New Roman" w:hAnsi="Times New Roman"/>
          <w:i w:val="0"/>
          <w:sz w:val="24"/>
        </w:rPr>
        <w:t>The expression “getting to Denmark” concentrates that problem. As a shorthand, it identifies a prosperous, stable, democratic, and well-governed order. Used diagnostically, it may help distinguish institutional capacities that economic or electoral indicators alone overlook. Used as an endpoint, it may organize historical variety by proximity to one privileged settlement. Mungiu-Pippidi's criticism of Fukuyama's classification scale and convergence evidence, Hewson's concern about universal convergence, Montanye's concern about selective explanation, and Manning's warning about the vulnerability of broad synthesis all meet at this point. Their arguments differ in method, but they ask how a theory can identify recurrent functions without selecting the desired outcome in advance.</w:t>
      </w:r>
    </w:p>
    <w:p>
      <w:pPr>
        <w:widowControl/>
        <w:spacing w:before="0" w:after="0" w:line="480" w:lineRule="auto"/>
        <w:ind w:firstLine="720"/>
        <w:jc w:val="both"/>
      </w:pPr>
      <w:r>
        <w:rPr>
          <w:rFonts w:ascii="Times New Roman" w:hAnsi="Times New Roman"/>
          <w:i w:val="0"/>
          <w:sz w:val="24"/>
        </w:rPr>
        <w:t>Path dependence and alternative sequencing offer part of the answer. Institutions emerge within inherited distributions of power, social organization, and ideas; earlier arrangements make some reforms easier and others more difficult. Borrowing does not erase these conditions because imported rules are interpreted and enforced by existing organizations. The state, law, and accountability can consequently arise in different orders and combine with different effects. Scholarship on the civilizational cases supports this plural sequencing, while scholarship on evolutionary cooperation supports shared human capacities without fixed political results. The unresolved issue is whether functional convergence merely recognizes that some recurring problems admit better and worse solutions, or whether it covertly ranks diverse histories by a common destination.</w:t>
      </w:r>
    </w:p>
    <w:p>
      <w:pPr>
        <w:widowControl/>
        <w:spacing w:before="0" w:after="0" w:line="480" w:lineRule="auto"/>
        <w:ind w:firstLine="720"/>
        <w:jc w:val="both"/>
      </w:pPr>
      <w:r>
        <w:rPr>
          <w:rFonts w:ascii="Times New Roman" w:hAnsi="Times New Roman"/>
          <w:i w:val="0"/>
          <w:sz w:val="24"/>
        </w:rPr>
        <w:t>The literature reviewed here is sufficient to establish that this question spans several fields, but not to claim a settled disciplinary verdict. Direct engagement with Fukuyama remains relatively review-heavy. Some accessible works provide substantial theory-level criticism, while others are available only through abstracts or metadata. Independent conceptual and specialist scholarship tests central parts of the framework without always addressing Fukuyama by name. This distribution of sources is itself significant: debate exists around macrohistorical method, state capacity, legal autonomy, accountability, civilizational comparison, evolutionary explanation, and convergence, but the debates are often conducted separately.</w:t>
      </w:r>
    </w:p>
    <w:p>
      <w:pPr>
        <w:widowControl/>
        <w:spacing w:before="0" w:after="0" w:line="480" w:lineRule="auto"/>
        <w:ind w:firstLine="720"/>
        <w:jc w:val="both"/>
      </w:pPr>
      <w:r>
        <w:rPr>
          <w:rFonts w:ascii="Times New Roman" w:hAnsi="Times New Roman"/>
          <w:i w:val="0"/>
          <w:sz w:val="24"/>
        </w:rPr>
        <w:t>The present study enters the conversation at that point of separation. It does not claim that no previous scholar has examined Fukuyama's political development theory, nor that the available literature proves a unique novelty claim. Its more modest contribution is to bring these conversations into a specifically philosophical reconstruction of the relationship among state capacity, rule of law, and political accountability. The inquiry asks how these institutions differ, how their functions and tensions relate, and how far their categories can support comparison across distinct historical mechanisms.</w:t>
      </w:r>
    </w:p>
    <w:p>
      <w:pPr>
        <w:widowControl/>
        <w:spacing w:before="0" w:after="0" w:line="480" w:lineRule="auto"/>
        <w:ind w:firstLine="720"/>
        <w:jc w:val="both"/>
      </w:pPr>
      <w:r>
        <w:rPr>
          <w:rFonts w:ascii="Times New Roman" w:hAnsi="Times New Roman"/>
          <w:i w:val="0"/>
          <w:sz w:val="24"/>
        </w:rPr>
        <w:t>This integrative problem requires several distinctions already visible in the literature. A common political problem is not the same as a universal institutional form. Functional similarity is not identity of mechanism. Historical sequence is not normative justification. Responsiveness is not automatically answerability or sanction. Administrative innovation is not comprehensive modernity. A supported early causal link does not establish an entire long-range sequence. By organizing the literature around these distinctions, the study can examine Fukuyama's explanatory achievement without presuming either that macrohistory is impossible or that historical diversity naturally converges on one institutional model.</w:t>
      </w:r>
    </w:p>
    <w:p>
      <w:pPr>
        <w:widowControl/>
        <w:spacing w:before="0" w:after="0" w:line="480" w:lineRule="auto"/>
        <w:ind w:firstLine="720"/>
        <w:jc w:val="both"/>
      </w:pPr>
      <w:r>
        <w:rPr>
          <w:rFonts w:ascii="Times New Roman" w:hAnsi="Times New Roman"/>
          <w:i w:val="0"/>
          <w:sz w:val="24"/>
        </w:rPr>
        <w:t>The research problem that follows is therefore evaluative but remains open at the literature-review stage. Fukuyama's triad promises a powerful vocabulary for distinguishing effective public power, legal constraint, and political responsiveness. Direct and specialist scholarship also shows where each category becomes contested and where causal confidence weakens. The subsequent chapters reconstruct the philosophical anthropology and institutional argument before assessing whether the triad can operate as a comparative diagnostic framework without becoming a universal evolutionary sequence. Chapter Two thus establishes the question and the scholarly grounds for asking it; it does not decide the final answer in advance.</w:t>
      </w:r>
    </w:p>
    <w:p>
      <w:r>
        <w:br w:type="page"/>
      </w:r>
    </w:p>
    <w:p>
      <w:pPr>
        <w:pStyle w:val="Heading1"/>
        <w:jc w:val="center"/>
      </w:pPr>
      <w:r>
        <w:rPr>
          <w:rFonts w:ascii="Times New Roman" w:hAnsi="Times New Roman"/>
          <w:i w:val="0"/>
          <w:sz w:val="28"/>
        </w:rPr>
        <w:t>CHAPTER THREE: FRANCIS FUKUYAMA AND THE PHILOSOPHICAL FOUNDATIONS OF POLITICAL ORDER</w:t>
      </w:r>
    </w:p>
    <w:p>
      <w:pPr>
        <w:pStyle w:val="Heading2"/>
      </w:pPr>
      <w:r>
        <w:rPr>
          <w:rFonts w:ascii="Times New Roman" w:hAnsi="Times New Roman"/>
          <w:i w:val="0"/>
          <w:sz w:val="24"/>
        </w:rPr>
        <w:t>3.1 Francis Fukuyama: A Detailed Biographical Overview</w:t>
      </w:r>
    </w:p>
    <w:p>
      <w:pPr>
        <w:widowControl/>
        <w:spacing w:before="0" w:after="0" w:line="480" w:lineRule="auto"/>
        <w:ind w:firstLine="720"/>
        <w:jc w:val="both"/>
      </w:pPr>
      <w:r>
        <w:rPr>
          <w:rFonts w:ascii="Times New Roman" w:hAnsi="Times New Roman"/>
          <w:i w:val="0"/>
          <w:sz w:val="24"/>
        </w:rPr>
        <w:t xml:space="preserve">Francis Fukuyama's intellectual background helps to explain the unusual range of </w:t>
      </w:r>
      <w:r>
        <w:rPr>
          <w:rFonts w:ascii="Times New Roman" w:hAnsi="Times New Roman"/>
          <w:i/>
          <w:sz w:val="24"/>
        </w:rPr>
        <w:t>The Origins of Political Order</w:t>
      </w:r>
      <w:r>
        <w:rPr>
          <w:rFonts w:ascii="Times New Roman" w:hAnsi="Times New Roman"/>
          <w:i w:val="0"/>
          <w:sz w:val="24"/>
        </w:rPr>
        <w:t>, but it does not determine the truth of its arguments. He studied classics at Cornell University and received a doctorate in political science from Harvard University. His subsequent work included service at the RAND Corporation and on the Policy Planning Staff of the United States Department of State, followed by academic appointments at George Mason University, Johns Hopkins University, and Stanford University.</w:t>
      </w:r>
      <w:r>
        <w:rPr>
          <w:rStyle w:val="FootnoteReference"/>
        </w:rPr>
        <w:footnoteReference w:id="23"/>
      </w:r>
      <w:r>
        <w:rPr>
          <w:rFonts w:ascii="Times New Roman" w:hAnsi="Times New Roman"/>
          <w:i w:val="0"/>
          <w:sz w:val="24"/>
        </w:rPr>
        <w:t xml:space="preserve"> These settings placed him at the intersection of political theory, comparative politics, public policy, and questions of institutional development.</w:t>
      </w:r>
    </w:p>
    <w:p>
      <w:pPr>
        <w:widowControl/>
        <w:spacing w:before="0" w:after="0" w:line="480" w:lineRule="auto"/>
        <w:ind w:firstLine="720"/>
        <w:jc w:val="both"/>
      </w:pPr>
      <w:r>
        <w:rPr>
          <w:rFonts w:ascii="Times New Roman" w:hAnsi="Times New Roman"/>
          <w:i w:val="0"/>
          <w:sz w:val="24"/>
        </w:rPr>
        <w:t xml:space="preserve">Fukuyama first became widely known for </w:t>
      </w:r>
      <w:r>
        <w:rPr>
          <w:rFonts w:ascii="Times New Roman" w:hAnsi="Times New Roman"/>
          <w:i/>
          <w:sz w:val="24"/>
        </w:rPr>
        <w:t>The End of History and the Last Man</w:t>
      </w:r>
      <w:r>
        <w:rPr>
          <w:rFonts w:ascii="Times New Roman" w:hAnsi="Times New Roman"/>
          <w:i w:val="0"/>
          <w:sz w:val="24"/>
        </w:rPr>
        <w:t xml:space="preserve">, which examined liberal democracy as an ideological and political horizon. His later work increasingly addressed the institutional conditions without which liberal principles cannot be effectively realized. Publications on state-building, governance, development, and the rule of law prepared the ground for the two-volume political-order project: </w:t>
      </w:r>
      <w:r>
        <w:rPr>
          <w:rFonts w:ascii="Times New Roman" w:hAnsi="Times New Roman"/>
          <w:i/>
          <w:sz w:val="24"/>
        </w:rPr>
        <w:t>The Origins of Political Order</w:t>
      </w:r>
      <w:r>
        <w:rPr>
          <w:rFonts w:ascii="Times New Roman" w:hAnsi="Times New Roman"/>
          <w:i w:val="0"/>
          <w:sz w:val="24"/>
        </w:rPr>
        <w:t xml:space="preserve"> in 2011 and </w:t>
      </w:r>
      <w:r>
        <w:rPr>
          <w:rFonts w:ascii="Times New Roman" w:hAnsi="Times New Roman"/>
          <w:i/>
          <w:sz w:val="24"/>
        </w:rPr>
        <w:t>Political Order and Political Decay</w:t>
      </w:r>
      <w:r>
        <w:rPr>
          <w:rFonts w:ascii="Times New Roman" w:hAnsi="Times New Roman"/>
          <w:i w:val="0"/>
          <w:sz w:val="24"/>
        </w:rPr>
        <w:t xml:space="preserve"> in 2014.</w:t>
      </w:r>
      <w:r>
        <w:rPr>
          <w:rStyle w:val="FootnoteReference"/>
        </w:rPr>
        <w:footnoteReference w:id="24"/>
      </w:r>
      <w:r>
        <w:rPr>
          <w:rFonts w:ascii="Times New Roman" w:hAnsi="Times New Roman"/>
          <w:i w:val="0"/>
          <w:sz w:val="24"/>
        </w:rPr>
        <w:t xml:space="preserve"> The shift is important for this study. The principal question is no longer only which regime possesses normative legitimacy, but also how states acquire capacity, how rulers become subject to law, how governments become accountable, and how these institutional achievements deteriorate. Biography is relevant here only as intellectual context. The adequacy of Fukuyama's answers must be judged by his concepts, arguments, and evidence.</w:t>
      </w:r>
    </w:p>
    <w:p>
      <w:pPr>
        <w:pStyle w:val="Heading2"/>
      </w:pPr>
      <w:r>
        <w:rPr>
          <w:rFonts w:ascii="Times New Roman" w:hAnsi="Times New Roman"/>
          <w:i w:val="0"/>
          <w:sz w:val="24"/>
        </w:rPr>
        <w:t>3.2 The Concept of Political Order</w:t>
      </w:r>
    </w:p>
    <w:p>
      <w:pPr>
        <w:widowControl/>
        <w:spacing w:before="0" w:after="0" w:line="480" w:lineRule="auto"/>
        <w:ind w:firstLine="720"/>
        <w:jc w:val="both"/>
      </w:pPr>
      <w:r>
        <w:rPr>
          <w:rFonts w:ascii="Times New Roman" w:hAnsi="Times New Roman"/>
          <w:i w:val="0"/>
          <w:sz w:val="24"/>
        </w:rPr>
        <w:t>Fukuyama treats political order as an institutional achievement rather than as the mere absence of open conflict. Markets, civil society, and democratic mobilization cannot by themselves perform all the functions of public authority. A political community requires institutions capable of making and enforcing collective decisions, maintaining order, and supplying public goods.</w:t>
      </w:r>
      <w:r>
        <w:rPr>
          <w:rStyle w:val="FootnoteReference"/>
        </w:rPr>
        <w:footnoteReference w:id="25"/>
      </w:r>
      <w:r>
        <w:rPr>
          <w:rFonts w:ascii="Times New Roman" w:hAnsi="Times New Roman"/>
          <w:i w:val="0"/>
          <w:sz w:val="24"/>
        </w:rPr>
        <w:t xml:space="preserve"> This claim does not establish how extensive state action should be or whether a particular state is legitimate. It identifies the problem that any theory of political order must confront: organized public power cannot simply be assumed away.</w:t>
      </w:r>
    </w:p>
    <w:p>
      <w:pPr>
        <w:widowControl/>
        <w:spacing w:before="0" w:after="0" w:line="480" w:lineRule="auto"/>
        <w:ind w:firstLine="720"/>
        <w:jc w:val="both"/>
      </w:pPr>
      <w:r>
        <w:rPr>
          <w:rFonts w:ascii="Times New Roman" w:hAnsi="Times New Roman"/>
          <w:i w:val="0"/>
          <w:sz w:val="24"/>
        </w:rPr>
        <w:t>His account distinguishes political development from economic and social development. These processes influence one another, but they do not necessarily advance together. Economic growth does not automatically produce an impartial administration; elections do not automatically create a capable state; and bureaucratic strength does not automatically subject rulers to law. Fukuyama therefore rejects explanations that reduce political development to one economic, cultural, or biological cause. Historical paths constrain later options, but they do not make one future inevitable.</w:t>
      </w:r>
      <w:r>
        <w:rPr>
          <w:rStyle w:val="FootnoteReference"/>
        </w:rPr>
        <w:footnoteReference w:id="26"/>
      </w:r>
      <w:r>
        <w:rPr>
          <w:rFonts w:ascii="Times New Roman" w:hAnsi="Times New Roman"/>
          <w:i w:val="0"/>
          <w:sz w:val="24"/>
        </w:rPr>
        <w:t xml:space="preserve"> Political order is consequently a multidimensional problem.</w:t>
      </w:r>
    </w:p>
    <w:p>
      <w:pPr>
        <w:widowControl/>
        <w:spacing w:before="0" w:after="0" w:line="480" w:lineRule="auto"/>
        <w:ind w:firstLine="720"/>
        <w:jc w:val="both"/>
      </w:pPr>
      <w:r>
        <w:rPr>
          <w:rFonts w:ascii="Times New Roman" w:hAnsi="Times New Roman"/>
          <w:i w:val="0"/>
          <w:sz w:val="24"/>
        </w:rPr>
        <w:t>The central expression of that multidimensional approach is Fukuyama's distinction among “the state,” “the rule of law,” and “accountable government.”</w:t>
      </w:r>
      <w:r>
        <w:rPr>
          <w:rStyle w:val="FootnoteReference"/>
        </w:rPr>
        <w:footnoteReference w:id="27"/>
      </w:r>
      <w:r>
        <w:rPr>
          <w:rFonts w:ascii="Times New Roman" w:hAnsi="Times New Roman"/>
          <w:i w:val="0"/>
          <w:sz w:val="24"/>
        </w:rPr>
        <w:t xml:space="preserve"> Each institution answers a different political question. The state concerns whether public authority can act effectively across a territory. The rule of law concerns whether rulers are bound by rules that possess meaningful authority independently of their immediate wishes. Accountable government concerns whether political power responds to governed populations or to organized social actors able to demand responsibility. These functions are related, but none is simply another name for the others. A state may be administratively capable without being legally constrained. Law may restrain rulers while administrative weakness prevents reliable implementation. Political accountability may exist procedurally while the government lacks the capacity to carry out public decisions.</w:t>
      </w:r>
    </w:p>
    <w:p>
      <w:pPr>
        <w:widowControl/>
        <w:spacing w:before="0" w:after="0" w:line="480" w:lineRule="auto"/>
        <w:ind w:firstLine="720"/>
        <w:jc w:val="both"/>
      </w:pPr>
      <w:r>
        <w:rPr>
          <w:rFonts w:ascii="Times New Roman" w:hAnsi="Times New Roman"/>
          <w:i w:val="0"/>
          <w:sz w:val="24"/>
        </w:rPr>
        <w:t>Fukuyama describes successful modern liberal democracy as a stable balance among the three institutions.</w:t>
      </w:r>
      <w:r>
        <w:rPr>
          <w:rStyle w:val="FootnoteReference"/>
        </w:rPr>
        <w:footnoteReference w:id="28"/>
      </w:r>
      <w:r>
        <w:rPr>
          <w:rFonts w:ascii="Times New Roman" w:hAnsi="Times New Roman"/>
          <w:i w:val="0"/>
          <w:sz w:val="24"/>
        </w:rPr>
        <w:t xml:space="preserve"> “Balance,” however, should not be understood as effortless harmony. State capacity concentrates power, while law and accountability restrict, direct, or challenge its exercise. Excessive checking can obstruct action, whereas capacity without effective constraint can support arbitrary government. The framework's immediate value is therefore diagnostic: it prevents democracy, legality, and administrative effectiveness from being treated as interchangeable measures of good political order. Whether these three categories constitute a universally sufficient account remains a later critical question. At this stage, they provide the conceptual structure through which Fukuyama investigates institutional development.</w:t>
      </w:r>
    </w:p>
    <w:p>
      <w:pPr>
        <w:widowControl/>
        <w:spacing w:before="0" w:after="0" w:line="480" w:lineRule="auto"/>
        <w:ind w:firstLine="720"/>
        <w:jc w:val="both"/>
      </w:pPr>
      <w:r>
        <w:rPr>
          <w:rFonts w:ascii="Times New Roman" w:hAnsi="Times New Roman"/>
          <w:i w:val="0"/>
          <w:sz w:val="24"/>
        </w:rPr>
        <w:t>This institutional framework rests on an account of human beings as naturally social yet persistently inclined toward kin preference, status competition, and group attachment. To understand why impersonal political institutions are both possible and difficult to sustain, it is therefore necessary to examine Fukuyama's philosophical anthropology.</w:t>
      </w:r>
    </w:p>
    <w:p>
      <w:pPr>
        <w:pStyle w:val="Heading2"/>
      </w:pPr>
      <w:r>
        <w:rPr>
          <w:rFonts w:ascii="Times New Roman" w:hAnsi="Times New Roman"/>
          <w:i w:val="0"/>
          <w:sz w:val="24"/>
        </w:rPr>
        <w:t>3.3 Fukuyama's Understanding of Human Nature</w:t>
      </w:r>
    </w:p>
    <w:p>
      <w:pPr>
        <w:widowControl/>
        <w:spacing w:before="0" w:after="0" w:line="480" w:lineRule="auto"/>
        <w:ind w:firstLine="720"/>
        <w:jc w:val="both"/>
      </w:pPr>
      <w:r>
        <w:rPr>
          <w:rFonts w:ascii="Times New Roman" w:hAnsi="Times New Roman"/>
          <w:i w:val="0"/>
          <w:sz w:val="24"/>
        </w:rPr>
        <w:t>Fukuyama rejects the image of human beings beginning as isolated adults who subsequently choose society. His argument is that human sociality has deep evolutionary foundations. He identifies kin selection and reciprocal altruism as two natural sources of cooperative behaviour: individuals tend to assist relatives, while repeated interaction can sustain cooperation beyond immediate genetic kin.</w:t>
      </w:r>
      <w:r>
        <w:rPr>
          <w:rStyle w:val="FootnoteReference"/>
        </w:rPr>
        <w:footnoteReference w:id="29"/>
      </w:r>
      <w:r>
        <w:rPr>
          <w:rFonts w:ascii="Times New Roman" w:hAnsi="Times New Roman"/>
          <w:i w:val="0"/>
          <w:sz w:val="24"/>
        </w:rPr>
        <w:t xml:space="preserve"> Neither mechanism is a complete political theory. Together, however, they help explain why social organization precedes the state and why early cooperation is often structured by family and repeated personal obligation.</w:t>
      </w:r>
    </w:p>
    <w:p>
      <w:pPr>
        <w:widowControl/>
        <w:spacing w:before="0" w:after="0" w:line="480" w:lineRule="auto"/>
        <w:ind w:firstLine="720"/>
        <w:jc w:val="both"/>
      </w:pPr>
      <w:r>
        <w:rPr>
          <w:rFonts w:ascii="Times New Roman" w:hAnsi="Times New Roman"/>
          <w:i w:val="0"/>
          <w:sz w:val="24"/>
        </w:rPr>
        <w:t>Fukuyama supplements these mechanisms with the human capacity to follow norms. People do not respond only to immediate material advantage; they also treat shared rules as meaningful and may enforce them against themselves and others. He further connects human status-seeking with the struggle for recognition. This allows him to explain political conduct that cannot be reduced to material calculation alone, including the defence of rank, dignity, religion, and inherited social position.</w:t>
      </w:r>
      <w:r>
        <w:rPr>
          <w:rStyle w:val="FootnoteReference"/>
        </w:rPr>
        <w:footnoteReference w:id="30"/>
      </w:r>
      <w:r>
        <w:rPr>
          <w:rFonts w:ascii="Times New Roman" w:hAnsi="Times New Roman"/>
          <w:i w:val="0"/>
          <w:sz w:val="24"/>
        </w:rPr>
        <w:t xml:space="preserve"> The connection requires care. Evidence that status motivations have evolutionary roots does not by itself establish that Hegelian recognition is reducible to biological competition. Fukuyama's account is best read as a synthesis in which evolved dispositions, cultural norms, and historically formed ideas interact.</w:t>
      </w:r>
    </w:p>
    <w:p>
      <w:pPr>
        <w:widowControl/>
        <w:spacing w:before="0" w:after="0" w:line="480" w:lineRule="auto"/>
        <w:ind w:firstLine="720"/>
        <w:jc w:val="both"/>
      </w:pPr>
      <w:r>
        <w:rPr>
          <w:rFonts w:ascii="Times New Roman" w:hAnsi="Times New Roman"/>
          <w:i w:val="0"/>
          <w:sz w:val="24"/>
        </w:rPr>
        <w:t>Contemporary research supports the broad claim that humans are an unusually cooperative and social species, but it also requires a wider range of mechanisms than a simple opposition between kin selection and reciprocity. Cooperation can depend on reputation, partner choice, punishment, signalling, learned norms, cultural transmission, and institutions. Gene–culture interaction is especially important because it explains both recurrent human capacities and substantial variation across societies.</w:t>
      </w:r>
      <w:r>
        <w:rPr>
          <w:rStyle w:val="FootnoteReference"/>
        </w:rPr>
        <w:footnoteReference w:id="31"/>
      </w:r>
      <w:r>
        <w:rPr>
          <w:rFonts w:ascii="Times New Roman" w:hAnsi="Times New Roman"/>
          <w:i w:val="0"/>
          <w:sz w:val="24"/>
        </w:rPr>
        <w:t xml:space="preserve"> Research on hunter-gatherer residence also complicates any assumption that early social groups consisted mainly of close biological relatives. Comparative evidence from foraging societies indicates flexible residence patterns and extensive relations with affines and non-kin.</w:t>
      </w:r>
      <w:r>
        <w:rPr>
          <w:rStyle w:val="FootnoteReference"/>
        </w:rPr>
        <w:footnoteReference w:id="32"/>
      </w:r>
      <w:r>
        <w:rPr>
          <w:rFonts w:ascii="Times New Roman" w:hAnsi="Times New Roman"/>
          <w:i w:val="0"/>
          <w:sz w:val="24"/>
        </w:rPr>
        <w:t xml:space="preserve"> Human sociality is therefore neither presocial individualism nor a closed biological family unit.</w:t>
      </w:r>
    </w:p>
    <w:p>
      <w:pPr>
        <w:widowControl/>
        <w:spacing w:before="0" w:after="0" w:line="480" w:lineRule="auto"/>
        <w:ind w:firstLine="720"/>
        <w:jc w:val="both"/>
      </w:pPr>
      <w:r>
        <w:rPr>
          <w:rFonts w:ascii="Times New Roman" w:hAnsi="Times New Roman"/>
          <w:i w:val="0"/>
          <w:sz w:val="24"/>
        </w:rPr>
        <w:t>This qualification strengthens rather than destroys Fukuyama's central insight. Kinship is an important infrastructure of cooperation, but it is not the only one. It can help communities coordinate care, production, defence, and mutual assistance. At the same time, obligations to relatives can conflict with rules attached to public offices. Fukuyama uses the expression “tyranny of cousins” to capture the pressure placed on officeholders to distribute resources or appointments through kin networks rather than impersonal criteria.</w:t>
      </w:r>
      <w:r>
        <w:rPr>
          <w:rStyle w:val="FootnoteReference"/>
        </w:rPr>
        <w:footnoteReference w:id="33"/>
      </w:r>
      <w:r>
        <w:rPr>
          <w:rFonts w:ascii="Times New Roman" w:hAnsi="Times New Roman"/>
          <w:i w:val="0"/>
          <w:sz w:val="24"/>
        </w:rPr>
        <w:t xml:space="preserve"> The philosophical point is not that family loyalty is inherently irrational or immoral. It is that a rule-bound public institution asks an official to distinguish obligations of office from obligations of personal relationship. Political development does not eliminate human sociality; it reorganizes and channels competing forms of it.</w:t>
      </w:r>
    </w:p>
    <w:p>
      <w:pPr>
        <w:widowControl/>
        <w:spacing w:before="0" w:after="0" w:line="480" w:lineRule="auto"/>
        <w:ind w:firstLine="720"/>
        <w:jc w:val="both"/>
      </w:pPr>
      <w:r>
        <w:rPr>
          <w:rFonts w:ascii="Times New Roman" w:hAnsi="Times New Roman"/>
          <w:i w:val="0"/>
          <w:sz w:val="24"/>
        </w:rPr>
        <w:t>Fukuyama's anthropology is therefore probabilistic rather than strictly deterministic. Evolved dispositions create tendencies and recurring problems, not fixed institutional outcomes. Kin preference does not mechanically produce patrimonial government, and norm-following does not guarantee rule of law. Similar human capacities can support different institutions because norms, environments, technologies, conflicts, and historical sequences vary. This point is essential to the governing argument of the present study: Fukuyama's anthropology helps identify recurring institutional problems, but it does not by itself prove a universal route through which those problems must be solved.</w:t>
      </w:r>
    </w:p>
    <w:p>
      <w:pPr>
        <w:widowControl/>
        <w:spacing w:before="0" w:after="0" w:line="480" w:lineRule="auto"/>
        <w:ind w:firstLine="720"/>
        <w:jc w:val="both"/>
      </w:pPr>
      <w:r>
        <w:rPr>
          <w:rFonts w:ascii="Times New Roman" w:hAnsi="Times New Roman"/>
          <w:i w:val="0"/>
          <w:sz w:val="24"/>
        </w:rPr>
        <w:t>The account also changes how the classical state of nature should be approached. If human beings were always socially embedded, an empirical story of isolated individuals would be implausible. Yet the state of nature in Hobbes, Locke, and Rousseau does not perform one uniform empirical function. A fair comparison must distinguish anthropological assumptions from structural, juridical, conjectural, and normative purposes.</w:t>
      </w:r>
    </w:p>
    <w:p>
      <w:pPr>
        <w:pStyle w:val="Heading2"/>
      </w:pPr>
      <w:r>
        <w:rPr>
          <w:rFonts w:ascii="Times New Roman" w:hAnsi="Times New Roman"/>
          <w:i w:val="0"/>
          <w:sz w:val="24"/>
        </w:rPr>
        <w:t>3.4 The State of Nature: Fukuyama in Contrast with Hobbes, Locke, and Rousseau</w:t>
      </w:r>
    </w:p>
    <w:p>
      <w:pPr>
        <w:widowControl/>
        <w:spacing w:before="0" w:after="0" w:line="480" w:lineRule="auto"/>
        <w:ind w:firstLine="720"/>
        <w:jc w:val="both"/>
      </w:pPr>
      <w:r>
        <w:rPr>
          <w:rFonts w:ascii="Times New Roman" w:hAnsi="Times New Roman"/>
          <w:i w:val="0"/>
          <w:sz w:val="24"/>
        </w:rPr>
        <w:t>The state of nature is not a single doctrine shared by Hobbes, Locke, Rousseau, and Fukuyama. All four address relations among human nature, social order, conflict, cooperation, and political authority, but they do so through different methods. Hobbes examines the structural insecurity that follows when no common power can enforce agreements. Locke describes a moral and juridical condition of free and equal persons under natural law but without an impartial common judge. Rousseau constructs a conjectural genealogy to distinguish natural capacities from traits produced by social dependence. Fukuyama proposes an empirical and comparative reconstruction based on evolutionary biology, anthropology, and history.</w:t>
      </w:r>
      <w:r>
        <w:rPr>
          <w:rStyle w:val="FootnoteReference"/>
        </w:rPr>
        <w:footnoteReference w:id="34"/>
      </w:r>
    </w:p>
    <w:p>
      <w:pPr>
        <w:widowControl/>
        <w:spacing w:before="0" w:after="0" w:line="480" w:lineRule="auto"/>
        <w:ind w:firstLine="720"/>
        <w:jc w:val="both"/>
      </w:pPr>
      <w:r>
        <w:rPr>
          <w:rFonts w:ascii="Times New Roman" w:hAnsi="Times New Roman"/>
          <w:i w:val="0"/>
          <w:sz w:val="24"/>
        </w:rPr>
        <w:t>The comparison is nevertheless philosophically useful if its limits are observed. It can show which assumptions about human sociability are open to empirical correction, which problems political authority is intended to solve, and which conclusions depend on normative rather than historical premises. It becomes misleading only when the four accounts are treated as rival scientific reports about a single prehistoric condition.</w:t>
      </w:r>
    </w:p>
    <w:p>
      <w:pPr>
        <w:pStyle w:val="Heading3"/>
      </w:pPr>
      <w:r>
        <w:rPr>
          <w:rFonts w:ascii="Times New Roman" w:hAnsi="Times New Roman"/>
          <w:i w:val="0"/>
          <w:sz w:val="24"/>
        </w:rPr>
        <w:t>3.4.1 Hobbes and the State of Nature as War</w:t>
      </w:r>
    </w:p>
    <w:p>
      <w:pPr>
        <w:widowControl/>
        <w:spacing w:before="0" w:after="0" w:line="480" w:lineRule="auto"/>
        <w:ind w:firstLine="720"/>
        <w:jc w:val="both"/>
      </w:pPr>
      <w:r>
        <w:rPr>
          <w:rFonts w:ascii="Times New Roman" w:hAnsi="Times New Roman"/>
          <w:i w:val="0"/>
          <w:sz w:val="24"/>
        </w:rPr>
        <w:t>Hobbes begins from rough equality rather than from the claim that human beings are identical. Even the physically weaker can threaten the stronger through planning or alliance, while individuals commonly hope to attain their ends. In the absence of a common authority, this equality generates insecurity through competition, diffidence, and the pursuit of reputation. The state of war does not mean uninterrupted physical combat. It describes a condition in which the known willingness to use force makes reliable security impossible.</w:t>
      </w:r>
      <w:r>
        <w:rPr>
          <w:rStyle w:val="FootnoteReference"/>
        </w:rPr>
        <w:footnoteReference w:id="35"/>
      </w:r>
    </w:p>
    <w:p>
      <w:pPr>
        <w:widowControl/>
        <w:spacing w:before="0" w:after="0" w:line="480" w:lineRule="auto"/>
        <w:ind w:firstLine="720"/>
        <w:jc w:val="both"/>
      </w:pPr>
      <w:r>
        <w:rPr>
          <w:rFonts w:ascii="Times New Roman" w:hAnsi="Times New Roman"/>
          <w:i w:val="0"/>
          <w:sz w:val="24"/>
        </w:rPr>
        <w:t>This account is often simplified into the view that human beings are naturally solitary and wholly selfish. That interpretation overlooks the laws of nature developed by Hobbes. Reason directs persons to seek peace when it can be obtained, to keep valid covenants, and to accept conditions necessary for cooperation. The problem is not the complete absence of reason or cooperative desire. It is the absence of an authority capable of making compliance sufficiently secure. A person who performs an agreement while others defect may expose himself to destruction. The covenant establishing a commonwealth therefore authorizes a representative power able to enforce peace and defence.</w:t>
      </w:r>
      <w:r>
        <w:rPr>
          <w:rStyle w:val="FootnoteReference"/>
        </w:rPr>
        <w:footnoteReference w:id="36"/>
      </w:r>
    </w:p>
    <w:p>
      <w:pPr>
        <w:widowControl/>
        <w:spacing w:before="0" w:after="0" w:line="480" w:lineRule="auto"/>
        <w:ind w:firstLine="720"/>
        <w:jc w:val="both"/>
      </w:pPr>
      <w:r>
        <w:rPr>
          <w:rFonts w:ascii="Times New Roman" w:hAnsi="Times New Roman"/>
          <w:i w:val="0"/>
          <w:sz w:val="24"/>
        </w:rPr>
        <w:t>Fukuyama is right to challenge any literal picture of human prehistory populated by detached individuals. Evolved human beings lived in social groups and possessed cooperative capacities before formal states. Yet this anthropological point does not remove Hobbes's structural question. Groups as well as individuals can confront insecurity when no superior authority can guarantee agreements. Hobbes's argument can therefore survive the rejection of presocial individualism because its central concern is the relation between enforceable authority and stable peace, not a scientific chronology of the first human community.</w:t>
      </w:r>
    </w:p>
    <w:p>
      <w:pPr>
        <w:pStyle w:val="Heading3"/>
      </w:pPr>
      <w:r>
        <w:rPr>
          <w:rFonts w:ascii="Times New Roman" w:hAnsi="Times New Roman"/>
          <w:i w:val="0"/>
          <w:sz w:val="24"/>
        </w:rPr>
        <w:t>3.4.2 Locke and the State of Nature as Rational Freedom</w:t>
      </w:r>
    </w:p>
    <w:p>
      <w:pPr>
        <w:widowControl/>
        <w:spacing w:before="0" w:after="0" w:line="480" w:lineRule="auto"/>
        <w:ind w:firstLine="720"/>
        <w:jc w:val="both"/>
      </w:pPr>
      <w:r>
        <w:rPr>
          <w:rFonts w:ascii="Times New Roman" w:hAnsi="Times New Roman"/>
          <w:i w:val="0"/>
          <w:sz w:val="24"/>
        </w:rPr>
        <w:t>Locke's state of nature differs fundamentally from Hobbes's state of war. It is a condition of freedom and equality governed by natural law. Individuals are morally obligated not to harm others in their life, liberty, health, or possessions, and each possesses a limited executive power to punish violations.</w:t>
      </w:r>
      <w:r>
        <w:rPr>
          <w:rStyle w:val="FootnoteReference"/>
        </w:rPr>
        <w:footnoteReference w:id="37"/>
      </w:r>
      <w:r>
        <w:rPr>
          <w:rFonts w:ascii="Times New Roman" w:hAnsi="Times New Roman"/>
          <w:i w:val="0"/>
          <w:sz w:val="24"/>
        </w:rPr>
        <w:t xml:space="preserve"> The state of nature can therefore contain moral duties, family relations, exchange, cooperation, and property. The state of war arises when force is used without right; it is not identical with natural freedom.</w:t>
      </w:r>
    </w:p>
    <w:p>
      <w:pPr>
        <w:widowControl/>
        <w:spacing w:before="0" w:after="0" w:line="480" w:lineRule="auto"/>
        <w:ind w:firstLine="720"/>
        <w:jc w:val="both"/>
      </w:pPr>
      <w:r>
        <w:rPr>
          <w:rFonts w:ascii="Times New Roman" w:hAnsi="Times New Roman"/>
          <w:i w:val="0"/>
          <w:sz w:val="24"/>
        </w:rPr>
        <w:t>Property illustrates the normative purpose of Locke's construction. Individuals may appropriate from the common world through labour, subject to moral limits, before the creation of political government. Political society is later formed by consent because the enjoyment of rights remains insecure where individuals judge and enforce their own cases. Government remedies the lack of settled public law, impartial adjudication, and reliable enforcement. Its authority is consequently limited by the purposes for which people entrust power to it.</w:t>
      </w:r>
      <w:r>
        <w:rPr>
          <w:rStyle w:val="FootnoteReference"/>
        </w:rPr>
        <w:footnoteReference w:id="38"/>
      </w:r>
    </w:p>
    <w:p>
      <w:pPr>
        <w:widowControl/>
        <w:spacing w:before="0" w:after="0" w:line="480" w:lineRule="auto"/>
        <w:ind w:firstLine="720"/>
        <w:jc w:val="both"/>
      </w:pPr>
      <w:r>
        <w:rPr>
          <w:rFonts w:ascii="Times New Roman" w:hAnsi="Times New Roman"/>
          <w:i w:val="0"/>
          <w:sz w:val="24"/>
        </w:rPr>
        <w:t>Fukuyama's critique of the presocial individual must therefore be qualified when applied to Locke. Locke's persons are not without morality or every social relation before political society. His distinction is between natural and political authority, not necessarily between isolation and all community. Evolutionary anthropology may show that real human beings never began as independent proprietors deliberating outside social institutions. It does not by itself answer Locke's juridical question: under what conditions can one person acquire legitimate political authority over another? Fukuyama supplies a genealogy of institutional emergence, while Locke supplies an argument concerning rights, consent, and political trust.</w:t>
      </w:r>
    </w:p>
    <w:p>
      <w:pPr>
        <w:pStyle w:val="Heading3"/>
      </w:pPr>
      <w:r>
        <w:rPr>
          <w:rFonts w:ascii="Times New Roman" w:hAnsi="Times New Roman"/>
          <w:i w:val="0"/>
          <w:sz w:val="24"/>
        </w:rPr>
        <w:t>3.4.3 Rousseau and the Noble Savage</w:t>
      </w:r>
    </w:p>
    <w:p>
      <w:pPr>
        <w:widowControl/>
        <w:spacing w:before="0" w:after="0" w:line="480" w:lineRule="auto"/>
        <w:ind w:firstLine="720"/>
        <w:jc w:val="both"/>
      </w:pPr>
      <w:r>
        <w:rPr>
          <w:rFonts w:ascii="Times New Roman" w:hAnsi="Times New Roman"/>
          <w:i w:val="0"/>
          <w:sz w:val="24"/>
        </w:rPr>
        <w:t xml:space="preserve">The inherited heading “the noble savage” is useful only as shorthand. Rousseau does not simply describe an innocent prehistoric society and present it as verified history. In the </w:t>
      </w:r>
      <w:r>
        <w:rPr>
          <w:rFonts w:ascii="Times New Roman" w:hAnsi="Times New Roman"/>
          <w:i/>
          <w:sz w:val="24"/>
        </w:rPr>
        <w:t>Discourse on the Origin and Foundations of Inequality</w:t>
      </w:r>
      <w:r>
        <w:rPr>
          <w:rFonts w:ascii="Times New Roman" w:hAnsi="Times New Roman"/>
          <w:i w:val="0"/>
          <w:sz w:val="24"/>
        </w:rPr>
        <w:t>, he explicitly proceeds through conjecture in order to separate original human capacities from qualities acquired through social development.</w:t>
      </w:r>
      <w:r>
        <w:rPr>
          <w:rStyle w:val="FootnoteReference"/>
        </w:rPr>
        <w:footnoteReference w:id="39"/>
      </w:r>
      <w:r>
        <w:rPr>
          <w:rFonts w:ascii="Times New Roman" w:hAnsi="Times New Roman"/>
          <w:i w:val="0"/>
          <w:sz w:val="24"/>
        </w:rPr>
        <w:t xml:space="preserve"> Natural human beings are depicted as relatively solitary, guided by self-preservation and pity, and lacking many developed moral, linguistic, and comparative relations. This condition is neither Hobbesian war nor a complete political ideal.</w:t>
      </w:r>
    </w:p>
    <w:p>
      <w:pPr>
        <w:widowControl/>
        <w:spacing w:before="0" w:after="0" w:line="480" w:lineRule="auto"/>
        <w:ind w:firstLine="720"/>
        <w:jc w:val="both"/>
      </w:pPr>
      <w:r>
        <w:rPr>
          <w:rFonts w:ascii="Times New Roman" w:hAnsi="Times New Roman"/>
          <w:i w:val="0"/>
          <w:sz w:val="24"/>
        </w:rPr>
        <w:t xml:space="preserve">Rousseau's central concern is transformation. Perfectibility permits human capacities and forms of dependence to change. The development of cooperation, tools, settled relations, comparison, property, and social esteem alters both material life and psychology. Inequality becomes politically significant when institutions stabilize dependence and allow advantages to be converted into durable domination. In the </w:t>
      </w:r>
      <w:r>
        <w:rPr>
          <w:rFonts w:ascii="Times New Roman" w:hAnsi="Times New Roman"/>
          <w:i/>
          <w:sz w:val="24"/>
        </w:rPr>
        <w:t>Discourse</w:t>
      </w:r>
      <w:r>
        <w:rPr>
          <w:rFonts w:ascii="Times New Roman" w:hAnsi="Times New Roman"/>
          <w:i w:val="0"/>
          <w:sz w:val="24"/>
        </w:rPr>
        <w:t>, the apparent political compact may protect the holdings of the rich rather than institute legitimate freedom. A genealogy of political society is therefore not automatically a justification of it.</w:t>
      </w:r>
    </w:p>
    <w:p>
      <w:pPr>
        <w:widowControl/>
        <w:spacing w:before="0" w:after="0" w:line="480" w:lineRule="auto"/>
        <w:ind w:firstLine="720"/>
        <w:jc w:val="both"/>
      </w:pPr>
      <w:r>
        <w:rPr>
          <w:rFonts w:ascii="Times New Roman" w:hAnsi="Times New Roman"/>
          <w:i w:val="0"/>
          <w:sz w:val="24"/>
        </w:rPr>
        <w:t>Fukuyama's evolutionary evidence places real pressure on a literal claim that early humans normally lived in complete solitude. His criticism is nevertheless incomplete if Rousseau's conjecture is treated only as an obsolete anthropological report. Rousseau abstracts from developed society to ask which features of inequality and dependence are natural and which are historically produced. The empirical credibility of particular stages matters, but the philosophical force of the argument also lies in exposing contingency. Ironically, this aim overlaps with Fukuyama's own insistence that contemporary institutions are historical achievements rather than direct expressions of an unchanging nature.</w:t>
      </w:r>
    </w:p>
    <w:p>
      <w:pPr>
        <w:pStyle w:val="Heading3"/>
      </w:pPr>
      <w:r>
        <w:rPr>
          <w:rFonts w:ascii="Times New Roman" w:hAnsi="Times New Roman"/>
          <w:i w:val="0"/>
          <w:sz w:val="24"/>
        </w:rPr>
        <w:t>3.4.4 Fukuyama and the Evolutionary State of Nature</w:t>
      </w:r>
    </w:p>
    <w:p>
      <w:pPr>
        <w:widowControl/>
        <w:spacing w:before="0" w:after="0" w:line="480" w:lineRule="auto"/>
        <w:ind w:firstLine="720"/>
        <w:jc w:val="both"/>
      </w:pPr>
      <w:r>
        <w:rPr>
          <w:rFonts w:ascii="Times New Roman" w:hAnsi="Times New Roman"/>
          <w:i w:val="0"/>
          <w:sz w:val="24"/>
        </w:rPr>
        <w:t>Fukuyama replaces the image of solitary beginnings with an evolutionary genealogy of socially embedded humans. Family and small-group organization precede centralized political authority. Cooperation is supported by kinship, reciprocity, shared norms, reputation, religion, and status relations. Larger identities and organizations emerge historically rather than through a single original social contract. On this account, the state is not created at one moment by independent individuals; it develops through multiple pressures that include conflict, religion, economic change, administration, leadership, and environmental conditions.</w:t>
      </w:r>
      <w:r>
        <w:rPr>
          <w:rStyle w:val="FootnoteReference"/>
        </w:rPr>
        <w:footnoteReference w:id="40"/>
      </w:r>
    </w:p>
    <w:p>
      <w:pPr>
        <w:widowControl/>
        <w:spacing w:before="0" w:after="0" w:line="480" w:lineRule="auto"/>
        <w:ind w:firstLine="720"/>
        <w:jc w:val="both"/>
      </w:pPr>
      <w:r>
        <w:rPr>
          <w:rFonts w:ascii="Times New Roman" w:hAnsi="Times New Roman"/>
          <w:i w:val="0"/>
          <w:sz w:val="24"/>
        </w:rPr>
        <w:t>This approach allows Fukuyama to distinguish family or band organization from tribal organization. He treats tribes as historically constructed lineage systems rather than the timeless original form of humanity. Agriculture, ancestor worship, religious belief, and increased social scale can extend or reshape the language of kinship. Yet the terminology requires qualification. Contemporary political anthropology questions the use of “band,” “tribe,” “chiefdom,” and “state” as steps on a universal ladder. The categories can still identify differences in scale, hierarchy, administration, and authority, but they should function as revisable ideal types rather than mandatory stages.</w:t>
      </w:r>
    </w:p>
    <w:p>
      <w:pPr>
        <w:widowControl/>
        <w:spacing w:before="0" w:after="0" w:line="480" w:lineRule="auto"/>
        <w:ind w:firstLine="720"/>
        <w:jc w:val="both"/>
      </w:pPr>
      <w:r>
        <w:rPr>
          <w:rFonts w:ascii="Times New Roman" w:hAnsi="Times New Roman"/>
          <w:i w:val="0"/>
          <w:sz w:val="24"/>
        </w:rPr>
        <w:t>Fukuyama also recognizes that statelessness is not equivalent to total disorder. Tribal societies may possess property rules, customary law, mechanisms of retaliation, and organized violence without centralized government.</w:t>
      </w:r>
      <w:r>
        <w:rPr>
          <w:rStyle w:val="FootnoteReference"/>
        </w:rPr>
        <w:footnoteReference w:id="41"/>
      </w:r>
      <w:r>
        <w:rPr>
          <w:rFonts w:ascii="Times New Roman" w:hAnsi="Times New Roman"/>
          <w:i w:val="0"/>
          <w:sz w:val="24"/>
        </w:rPr>
        <w:t xml:space="preserve"> This point complicates an easy opposition between a Hobbesian chaos and the state. It suggests that the decisive institutional question is not whether social order exists at all, but how authority is organized, how widely rules apply, and whether coercion and administration are centralized. The transition to a state involves a new concentration of territorial authority and hierarchy, not the first appearance of every norm or cooperative practice.</w:t>
      </w:r>
    </w:p>
    <w:p>
      <w:pPr>
        <w:widowControl/>
        <w:spacing w:before="0" w:after="0" w:line="480" w:lineRule="auto"/>
        <w:ind w:firstLine="720"/>
        <w:jc w:val="both"/>
      </w:pPr>
      <w:r>
        <w:rPr>
          <w:rFonts w:ascii="Times New Roman" w:hAnsi="Times New Roman"/>
          <w:i w:val="0"/>
          <w:sz w:val="24"/>
        </w:rPr>
        <w:t>The strongest part of Fukuyama's alternative is therefore empirical and classificatory. Humans are naturally social; kinship is neither an optional contract nor a remnant external to politics; and political organization develops through collective processes rather than isolated choice. The weaker part is the inference from recurrent problems to broad developmental transitions. Warfare, religion, and kinship reorganization can contribute to political scaling, but none is necessary or sufficient in every case. Current anthropology supports a plural-mechanism account more readily than a universal evolutionary sequence.</w:t>
      </w:r>
    </w:p>
    <w:p>
      <w:pPr>
        <w:pStyle w:val="Heading3"/>
      </w:pPr>
      <w:r>
        <w:rPr>
          <w:rFonts w:ascii="Times New Roman" w:hAnsi="Times New Roman"/>
          <w:i w:val="0"/>
          <w:sz w:val="24"/>
        </w:rPr>
        <w:t>3.4.5 Comparative Analysis</w:t>
      </w:r>
    </w:p>
    <w:p>
      <w:pPr>
        <w:widowControl/>
        <w:spacing w:before="0" w:after="0" w:line="480" w:lineRule="auto"/>
        <w:ind w:firstLine="720"/>
        <w:jc w:val="both"/>
      </w:pPr>
      <w:r>
        <w:rPr>
          <w:rFonts w:ascii="Times New Roman" w:hAnsi="Times New Roman"/>
          <w:i w:val="0"/>
          <w:sz w:val="24"/>
        </w:rPr>
        <w:t>The four accounts can now be compared without treating them as interchangeable histories. Hobbes asks why peace remains insecure without a common enforcing authority. Locke asks how legitimate political authority can arise among persons who are already morally free and equal. Rousseau asks how historically acquired dependence and inequality come to appear natural. Fukuyama asks how evolved social beings actually developed increasingly complex political institutions. Their questions overlap, but their conclusions are supported by different kinds of reasons.</w:t>
      </w:r>
    </w:p>
    <w:p>
      <w:pPr>
        <w:widowControl/>
        <w:spacing w:before="0" w:after="0" w:line="480" w:lineRule="auto"/>
        <w:ind w:firstLine="720"/>
        <w:jc w:val="both"/>
      </w:pPr>
      <w:r>
        <w:rPr>
          <w:rFonts w:ascii="Times New Roman" w:hAnsi="Times New Roman"/>
          <w:i w:val="0"/>
          <w:sz w:val="24"/>
        </w:rPr>
        <w:t>Fukuyama's evidence most clearly defeats a literal anthropology of naturally isolated individuals. It also shows that kinship, norms, cooperation, and group identity must be incorporated into any credible genealogy of political institutions. This correction matters because theories that begin from independent individuals may conceal the inherited social structures through which real people act. It is especially valuable for explaining why public institutions repeatedly confront personal and kin-based obligations.</w:t>
      </w:r>
    </w:p>
    <w:p>
      <w:pPr>
        <w:widowControl/>
        <w:spacing w:before="0" w:after="0" w:line="480" w:lineRule="auto"/>
        <w:ind w:firstLine="720"/>
        <w:jc w:val="both"/>
      </w:pPr>
      <w:r>
        <w:rPr>
          <w:rFonts w:ascii="Times New Roman" w:hAnsi="Times New Roman"/>
          <w:i w:val="0"/>
          <w:sz w:val="24"/>
        </w:rPr>
        <w:t>The correction does not, however, refute the classical arguments as a whole. Hobbes's relationship between common authority and secure compliance can be reconstructed without a prehistoric population of solitary adults. Locke's natural condition establishes moral equality and the limits of legitimate government, not merely a chronological report. Rousseau's conjectural method tests the contingency of inequality and social psychology. Empirical evidence can challenge assumptions embedded in these arguments, but their normative conclusions must be assessed through their own premises concerning authority, rights, freedom, and legitimacy.</w:t>
      </w:r>
    </w:p>
    <w:p>
      <w:pPr>
        <w:widowControl/>
        <w:spacing w:before="0" w:after="0" w:line="480" w:lineRule="auto"/>
        <w:ind w:firstLine="720"/>
        <w:jc w:val="both"/>
      </w:pPr>
      <w:r>
        <w:rPr>
          <w:rFonts w:ascii="Times New Roman" w:hAnsi="Times New Roman"/>
          <w:i w:val="0"/>
          <w:sz w:val="24"/>
        </w:rPr>
        <w:t>The comparison therefore yields a two-sided result. Fukuyama improves the empirical account of human sociality and places kinship at the centre of political development. The contract and conjectural traditions, however, disclose questions his genealogy cannot answer by itself. An explanation of how the state emerged does not establish when its coercive power is legitimate. A description of evolved cooperation does not determine which laws are just. The historical development of accountability does not by itself specify who ought to count as the people or what rulers owe them.</w:t>
      </w:r>
    </w:p>
    <w:p>
      <w:pPr>
        <w:widowControl/>
        <w:spacing w:before="0" w:after="0" w:line="480" w:lineRule="auto"/>
        <w:ind w:firstLine="720"/>
        <w:jc w:val="both"/>
      </w:pPr>
      <w:r>
        <w:rPr>
          <w:rFonts w:ascii="Times New Roman" w:hAnsi="Times New Roman"/>
          <w:i w:val="0"/>
          <w:sz w:val="24"/>
        </w:rPr>
        <w:t>This distinction prepares the inquiry into the institutions of state. Chapter Four can draw on Fukuyama's genealogy to examine the mechanisms through which centralized authority, autonomous law, and political accountability developed. It must also retain the philosophical lesson of the present comparison: institutional origins, institutional functions, and normative justification are related questions, but they are not the same question.</w:t>
      </w:r>
    </w:p>
    <w:p>
      <w:r>
        <w:br w:type="page"/>
      </w:r>
    </w:p>
    <w:p>
      <w:pPr>
        <w:pStyle w:val="Heading1"/>
        <w:jc w:val="center"/>
      </w:pPr>
      <w:r>
        <w:rPr>
          <w:rFonts w:ascii="Times New Roman" w:hAnsi="Times New Roman"/>
          <w:i w:val="0"/>
          <w:sz w:val="28"/>
        </w:rPr>
        <w:t>CHAPTER FOUR: THE INSTITUTIONS OF STATE IN FUKUYAMA'S ORIGINS OF POLITICAL ORDER</w:t>
      </w:r>
    </w:p>
    <w:p>
      <w:pPr>
        <w:pStyle w:val="Heading2"/>
      </w:pPr>
      <w:r>
        <w:rPr>
          <w:rFonts w:ascii="Times New Roman" w:hAnsi="Times New Roman"/>
          <w:i w:val="0"/>
          <w:sz w:val="24"/>
        </w:rPr>
        <w:t>4.1 The Concept of the State</w:t>
      </w:r>
    </w:p>
    <w:p>
      <w:pPr>
        <w:widowControl/>
        <w:spacing w:before="0" w:after="0" w:line="480" w:lineRule="auto"/>
        <w:ind w:firstLine="720"/>
        <w:jc w:val="both"/>
      </w:pPr>
      <w:r>
        <w:rPr>
          <w:rFonts w:ascii="Times New Roman" w:hAnsi="Times New Roman"/>
          <w:i w:val="0"/>
          <w:sz w:val="24"/>
        </w:rPr>
        <w:t>Fukuyama's theory begins by distinguishing the state from the society it governs and from the institutions that constrain it. A state is a centralized and hierarchical organization exercising authority across a territory and claiming a legitimate monopoly over coercion. Government refers to the personnel and agencies that act through this organization; a regime concerns the rules governing access to and exercise of power. Neither democracy nor accountability is included in statehood itself. A centralized autocracy may possess a state, while an electoral regime may still lack the administrative ability to implement its decisions.</w:t>
      </w:r>
      <w:r>
        <w:rPr>
          <w:rStyle w:val="FootnoteReference"/>
        </w:rPr>
        <w:footnoteReference w:id="42"/>
      </w:r>
    </w:p>
    <w:p>
      <w:pPr>
        <w:widowControl/>
        <w:spacing w:before="0" w:after="0" w:line="480" w:lineRule="auto"/>
        <w:ind w:firstLine="720"/>
        <w:jc w:val="both"/>
      </w:pPr>
      <w:r>
        <w:rPr>
          <w:rFonts w:ascii="Times New Roman" w:hAnsi="Times New Roman"/>
          <w:i w:val="0"/>
          <w:sz w:val="24"/>
        </w:rPr>
        <w:t>This definition also separates states from kinship orders and tribal societies. Such societies can possess norms, property, authority, and organized violence, but they lack the same concentration of territorial coercion and administrative hierarchy. State formation therefore does not mark the beginning of all social order. It marks a change in the scale and organization of authority: offices and commands increasingly claim jurisdiction over persons because they inhabit a territory, not only because they belong to a lineage.</w:t>
      </w:r>
      <w:r>
        <w:rPr>
          <w:rStyle w:val="FootnoteReference"/>
        </w:rPr>
        <w:footnoteReference w:id="43"/>
      </w:r>
    </w:p>
    <w:p>
      <w:pPr>
        <w:widowControl/>
        <w:spacing w:before="0" w:after="0" w:line="480" w:lineRule="auto"/>
        <w:ind w:firstLine="720"/>
        <w:jc w:val="both"/>
      </w:pPr>
      <w:r>
        <w:rPr>
          <w:rFonts w:ascii="Times New Roman" w:hAnsi="Times New Roman"/>
          <w:i w:val="0"/>
          <w:sz w:val="24"/>
        </w:rPr>
        <w:t>Statehood must in turn be distinguished from state capacity. A political organization may claim authority but be unable to tax, enforce rules, administer territory, or deliver public goods consistently. Fukuyama's account of the modern state adds a rational division of labour, technical expertise, and comparatively impersonal administration. Officials should act through offices and public rules rather than treating authority as household property.</w:t>
      </w:r>
      <w:r>
        <w:rPr>
          <w:rStyle w:val="FootnoteReference"/>
        </w:rPr>
        <w:footnoteReference w:id="44"/>
      </w:r>
      <w:r>
        <w:rPr>
          <w:rFonts w:ascii="Times New Roman" w:hAnsi="Times New Roman"/>
          <w:i w:val="0"/>
          <w:sz w:val="24"/>
        </w:rPr>
        <w:t xml:space="preserve"> Impersonality is an ideal type, not the absence of interests or relationships. The distinction is between public criteria attached to office and the appropriation of office for personal or familial use.</w:t>
      </w:r>
    </w:p>
    <w:p>
      <w:pPr>
        <w:widowControl/>
        <w:spacing w:before="0" w:after="0" w:line="480" w:lineRule="auto"/>
        <w:ind w:firstLine="720"/>
        <w:jc w:val="both"/>
      </w:pPr>
      <w:r>
        <w:rPr>
          <w:rFonts w:ascii="Times New Roman" w:hAnsi="Times New Roman"/>
          <w:i w:val="0"/>
          <w:sz w:val="24"/>
        </w:rPr>
        <w:t>The state is consequently only the first dimension of political order. Coercive and administrative strength does not entail that rulers are subject to autonomous law or answerable to society. Conversely, legal restraints and elections cannot substitute for an organization capable of execution. This separation between power, legal constraint, and accountability supplies the conceptual basis for Fukuyama's historical comparisons.</w:t>
      </w:r>
    </w:p>
    <w:p>
      <w:pPr>
        <w:pStyle w:val="Heading2"/>
      </w:pPr>
      <w:r>
        <w:rPr>
          <w:rFonts w:ascii="Times New Roman" w:hAnsi="Times New Roman"/>
          <w:i w:val="0"/>
          <w:sz w:val="24"/>
        </w:rPr>
        <w:t>4.2 State Building and Political Development</w:t>
      </w:r>
    </w:p>
    <w:p>
      <w:pPr>
        <w:widowControl/>
        <w:spacing w:before="0" w:after="0" w:line="480" w:lineRule="auto"/>
        <w:ind w:firstLine="720"/>
        <w:jc w:val="both"/>
      </w:pPr>
      <w:r>
        <w:rPr>
          <w:rFonts w:ascii="Times New Roman" w:hAnsi="Times New Roman"/>
          <w:i w:val="0"/>
          <w:sz w:val="24"/>
        </w:rPr>
        <w:t>State building is the historical construction of centralized political institutions; it is not synonymous with every form of political development. Centralization concerns the concentration of authority. Bureaucratization concerns the organization of specialized offices. Capacity concerns how effectively those institutions perform their functions. Impersonality concerns whether office is governed by public rules rather than personal possession. These features may advance unevenly.</w:t>
      </w:r>
    </w:p>
    <w:p>
      <w:pPr>
        <w:widowControl/>
        <w:spacing w:before="0" w:after="0" w:line="480" w:lineRule="auto"/>
        <w:ind w:firstLine="720"/>
        <w:jc w:val="both"/>
      </w:pPr>
      <w:r>
        <w:rPr>
          <w:rFonts w:ascii="Times New Roman" w:hAnsi="Times New Roman"/>
          <w:i w:val="0"/>
          <w:sz w:val="24"/>
        </w:rPr>
        <w:t>Fukuyama rejects a single universal cause of state formation. Warfare can reward rulers who mobilize larger armies, taxation, record keeping, and administrative control. Yet war is neither necessary nor sufficient: conflict can fragment political order, and centralized states can arise through other combinations of geography, economic change, religious legitimation, borrowing, and leadership. Volume II makes this qualification explicit and acknowledges that successful war-and-state cases were deliberately selected to illuminate mechanisms rather than prove a universal law.</w:t>
      </w:r>
      <w:r>
        <w:rPr>
          <w:rStyle w:val="FootnoteReference"/>
        </w:rPr>
        <w:footnoteReference w:id="45"/>
      </w:r>
    </w:p>
    <w:p>
      <w:pPr>
        <w:widowControl/>
        <w:spacing w:before="0" w:after="0" w:line="480" w:lineRule="auto"/>
        <w:ind w:firstLine="720"/>
        <w:jc w:val="both"/>
      </w:pPr>
      <w:r>
        <w:rPr>
          <w:rFonts w:ascii="Times New Roman" w:hAnsi="Times New Roman"/>
          <w:i w:val="0"/>
          <w:sz w:val="24"/>
        </w:rPr>
        <w:t>Religion and ideas also matter because political actors interpret interests through legitimating beliefs. Religious communities may widen solidarity beyond descent, authorize rulers, or sustain law beyond immediate political command. Material pressures remain important, but they do not mechanically determine which institutional response follows. Institutional borrowing, unintended consequences, and arrangements that persist for reasons different from those that produced them further complicate a linear account.</w:t>
      </w:r>
      <w:r>
        <w:rPr>
          <w:rStyle w:val="FootnoteReference"/>
        </w:rPr>
        <w:footnoteReference w:id="46"/>
      </w:r>
    </w:p>
    <w:p>
      <w:pPr>
        <w:widowControl/>
        <w:spacing w:before="0" w:after="0" w:line="480" w:lineRule="auto"/>
        <w:ind w:firstLine="720"/>
        <w:jc w:val="both"/>
      </w:pPr>
      <w:r>
        <w:rPr>
          <w:rFonts w:ascii="Times New Roman" w:hAnsi="Times New Roman"/>
          <w:i w:val="0"/>
          <w:sz w:val="24"/>
        </w:rPr>
        <w:t>Kinship is similarly ambivalent. It supplies trust, obligation, and collective organization, yet it may obstruct territorial administration when offices and resources are distributed through lineage. State building often reorganizes the political dominance of kin groups rather than eliminating kin relations. The comparative question is therefore how different societies concentrated authority and created officials whose conduct was at least partly detached from inherited personal obligations.</w:t>
      </w:r>
    </w:p>
    <w:p>
      <w:pPr>
        <w:pStyle w:val="Heading2"/>
      </w:pPr>
      <w:r>
        <w:rPr>
          <w:rFonts w:ascii="Times New Roman" w:hAnsi="Times New Roman"/>
          <w:i w:val="0"/>
          <w:sz w:val="24"/>
        </w:rPr>
        <w:t>4.3 The Chinese Model of State Formation</w:t>
      </w:r>
    </w:p>
    <w:p>
      <w:pPr>
        <w:widowControl/>
        <w:spacing w:before="0" w:after="0" w:line="480" w:lineRule="auto"/>
        <w:ind w:firstLine="720"/>
        <w:jc w:val="both"/>
      </w:pPr>
      <w:r>
        <w:rPr>
          <w:rFonts w:ascii="Times New Roman" w:hAnsi="Times New Roman"/>
          <w:i w:val="0"/>
          <w:sz w:val="24"/>
        </w:rPr>
        <w:t>China is Fukuyama's clearest example of a “state-first” path. He argues that prolonged conflict during the Eastern Zhou and Warring States periods placed intense pressure on rulers to mobilize soldiers, revenue, and population. Qin brought centralizing techniques to an exceptional level, and Han preserved much of the territorial-administrative structure while modifying its ideological basis. The result was an unusually early centralized bureaucracy without an autonomous rule of law or institutionalized downward accountability.</w:t>
      </w:r>
      <w:r>
        <w:rPr>
          <w:rStyle w:val="FootnoteReference"/>
        </w:rPr>
        <w:footnoteReference w:id="47"/>
      </w:r>
    </w:p>
    <w:p>
      <w:pPr>
        <w:widowControl/>
        <w:spacing w:before="0" w:after="0" w:line="480" w:lineRule="auto"/>
        <w:ind w:firstLine="720"/>
        <w:jc w:val="both"/>
      </w:pPr>
      <w:r>
        <w:rPr>
          <w:rFonts w:ascii="Times New Roman" w:hAnsi="Times New Roman"/>
          <w:i w:val="0"/>
          <w:sz w:val="24"/>
        </w:rPr>
        <w:t>Calling this the first “modern” state is defensible only under Fukuyama's restricted administrative definition. It refers to centralization, territorial reach, division of labour, and movement toward rule-bound office. It does not imply liberal government, constitutional supremacy, democracy, national citizenship, or comprehensively modern society. Specialist scholarship broadly supports early centralization and substantial bureaucratic technique while disputing the exact maturity, impersonality, and chronology of the system.</w:t>
      </w:r>
      <w:r>
        <w:rPr>
          <w:rStyle w:val="FootnoteReference"/>
        </w:rPr>
        <w:footnoteReference w:id="48"/>
      </w:r>
    </w:p>
    <w:p>
      <w:pPr>
        <w:pStyle w:val="Heading3"/>
      </w:pPr>
      <w:r>
        <w:rPr>
          <w:rFonts w:ascii="Times New Roman" w:hAnsi="Times New Roman"/>
          <w:i w:val="0"/>
          <w:sz w:val="24"/>
        </w:rPr>
        <w:t>4.3.1 Kinship and the Emergence of Political Institutions</w:t>
      </w:r>
    </w:p>
    <w:p>
      <w:pPr>
        <w:widowControl/>
        <w:spacing w:before="0" w:after="0" w:line="480" w:lineRule="auto"/>
        <w:ind w:firstLine="720"/>
        <w:jc w:val="both"/>
      </w:pPr>
      <w:r>
        <w:rPr>
          <w:rFonts w:ascii="Times New Roman" w:hAnsi="Times New Roman"/>
          <w:i w:val="0"/>
          <w:sz w:val="24"/>
        </w:rPr>
        <w:t>Fukuyama reconstructs early Zhou authority as embedded in lineage relations. Offices, lands, and political loyalty were tied to aristocratic families and delegated personal bonds. Intensified warfare rewarded reforms that weakened hereditary aristocratic power, registered populations, reorganized territory, and made service more directly dependent on rulers. The institutional change was not the disappearance of families. It was a reduction in the capacity of lineage alone to determine political jurisdiction and office.</w:t>
      </w:r>
      <w:r>
        <w:rPr>
          <w:rStyle w:val="FootnoteReference"/>
        </w:rPr>
        <w:footnoteReference w:id="49"/>
      </w:r>
    </w:p>
    <w:p>
      <w:pPr>
        <w:widowControl/>
        <w:spacing w:before="0" w:after="0" w:line="480" w:lineRule="auto"/>
        <w:ind w:firstLine="720"/>
        <w:jc w:val="both"/>
      </w:pPr>
      <w:r>
        <w:rPr>
          <w:rFonts w:ascii="Times New Roman" w:hAnsi="Times New Roman"/>
          <w:i w:val="0"/>
          <w:sz w:val="24"/>
        </w:rPr>
        <w:t>This distinction matters for impersonality. A territorial office is impersonal to the extent that its authority and duties follow public rules rather than the official's family position. Yet kin networks continued to shape elite recruitment and political influence, and later powerful families competed with the imperial centre. Kinship could facilitate administration through trusted networks while also enabling capture. China thus illustrates both the achievement and fragility of impersonal rule.</w:t>
      </w:r>
    </w:p>
    <w:p>
      <w:pPr>
        <w:pStyle w:val="Heading3"/>
      </w:pPr>
      <w:r>
        <w:rPr>
          <w:rFonts w:ascii="Times New Roman" w:hAnsi="Times New Roman"/>
          <w:i w:val="0"/>
          <w:sz w:val="24"/>
        </w:rPr>
        <w:t>4.3.2 Legalism and Bureaucratic Administration</w:t>
      </w:r>
    </w:p>
    <w:p>
      <w:pPr>
        <w:widowControl/>
        <w:spacing w:before="0" w:after="0" w:line="480" w:lineRule="auto"/>
        <w:ind w:firstLine="720"/>
        <w:jc w:val="both"/>
      </w:pPr>
      <w:r>
        <w:rPr>
          <w:rFonts w:ascii="Times New Roman" w:hAnsi="Times New Roman"/>
          <w:i w:val="0"/>
          <w:sz w:val="24"/>
        </w:rPr>
        <w:t>Legalism gave institutional form to centralization by emphasizing uniform commands, rewards and punishments, administrative monitoring, and the subordination of hereditary privilege to the ruler. Population registration, taxation, military organization, standardized administration, and official hierarchy increased the state's capacity to make society legible and mobilize resources.</w:t>
      </w:r>
      <w:r>
        <w:rPr>
          <w:rStyle w:val="FootnoteReference"/>
        </w:rPr>
        <w:footnoteReference w:id="50"/>
      </w:r>
      <w:r>
        <w:rPr>
          <w:rFonts w:ascii="Times New Roman" w:hAnsi="Times New Roman"/>
          <w:i w:val="0"/>
          <w:sz w:val="24"/>
        </w:rPr>
        <w:t xml:space="preserve"> Recruitment and performance could become more relevant than aristocratic birth, although it would be inaccurate to describe Qin or early Han administration as fully meritocratic in the modern sense.</w:t>
      </w:r>
    </w:p>
    <w:p>
      <w:pPr>
        <w:widowControl/>
        <w:spacing w:before="0" w:after="0" w:line="480" w:lineRule="auto"/>
        <w:ind w:firstLine="720"/>
        <w:jc w:val="both"/>
      </w:pPr>
      <w:r>
        <w:rPr>
          <w:rFonts w:ascii="Times New Roman" w:hAnsi="Times New Roman"/>
          <w:i w:val="0"/>
          <w:sz w:val="24"/>
        </w:rPr>
        <w:t>Legalist government represents rule by law rather than Fukuyama's rule of law. Rules were instruments through which the sovereign governed officials and subjects; they did not constitute an autonomous body of law superior to the ruler. Administrative rationalization therefore demonstrates why a capable state must be analytically separated from legal constraint. A government may apply general commands effectively while leaving the highest political authority legally unbound.</w:t>
      </w:r>
    </w:p>
    <w:p>
      <w:pPr>
        <w:pStyle w:val="Heading3"/>
      </w:pPr>
      <w:r>
        <w:rPr>
          <w:rFonts w:ascii="Times New Roman" w:hAnsi="Times New Roman"/>
          <w:i w:val="0"/>
          <w:sz w:val="24"/>
        </w:rPr>
        <w:t>4.3.3 The Han Synthesis and Political Stability</w:t>
      </w:r>
    </w:p>
    <w:p>
      <w:pPr>
        <w:widowControl/>
        <w:spacing w:before="0" w:after="0" w:line="480" w:lineRule="auto"/>
        <w:ind w:firstLine="720"/>
        <w:jc w:val="both"/>
      </w:pPr>
      <w:r>
        <w:rPr>
          <w:rFonts w:ascii="Times New Roman" w:hAnsi="Times New Roman"/>
          <w:i w:val="0"/>
          <w:sz w:val="24"/>
        </w:rPr>
        <w:t>The Han dynasty retained much of Qin's centralized structure but joined it to Confucian sources of education, morality, and legitimacy. Fukuyama treats this synthesis as more durable than coercive Legalism alone because it combined administrative institutions with norms capable of shaping officials and justifying rule. Stability depended on accommodation rather than a pure doctrinal victory.</w:t>
      </w:r>
      <w:r>
        <w:rPr>
          <w:rStyle w:val="FootnoteReference"/>
        </w:rPr>
        <w:footnoteReference w:id="51"/>
      </w:r>
    </w:p>
    <w:p>
      <w:pPr>
        <w:widowControl/>
        <w:spacing w:before="0" w:after="0" w:line="480" w:lineRule="auto"/>
        <w:ind w:firstLine="720"/>
        <w:jc w:val="both"/>
      </w:pPr>
      <w:r>
        <w:rPr>
          <w:rFonts w:ascii="Times New Roman" w:hAnsi="Times New Roman"/>
          <w:i w:val="0"/>
          <w:sz w:val="24"/>
        </w:rPr>
        <w:t>The synthesis was never a permanent equilibrium. Hereditary rank, elite families, personal loyalties, and unequal access to office qualified administrative impersonality. Over time, powerful households acquired resources and influence that competed with the centre. The same case that demonstrates early bureaucratic capacity therefore anticipates Fukuyama's concept of repatrimonialization: impersonal offices remain vulnerable to appropriation by durable personal interests.</w:t>
      </w:r>
    </w:p>
    <w:p>
      <w:pPr>
        <w:pStyle w:val="Heading2"/>
      </w:pPr>
      <w:r>
        <w:rPr>
          <w:rFonts w:ascii="Times New Roman" w:hAnsi="Times New Roman"/>
          <w:i w:val="0"/>
          <w:sz w:val="24"/>
        </w:rPr>
        <w:t>4.4 The Indian Path: Religion, Caste, the Absence of a Centralized State and Political Organization</w:t>
      </w:r>
    </w:p>
    <w:p>
      <w:pPr>
        <w:widowControl/>
        <w:spacing w:before="0" w:after="0" w:line="480" w:lineRule="auto"/>
        <w:ind w:firstLine="720"/>
        <w:jc w:val="both"/>
      </w:pPr>
      <w:r>
        <w:rPr>
          <w:rFonts w:ascii="Times New Roman" w:hAnsi="Times New Roman"/>
          <w:i w:val="0"/>
          <w:sz w:val="24"/>
        </w:rPr>
        <w:t>The inherited phrase “absence of a centralized state” cannot be accepted as an unqualified historical description. Ancient India experienced substantial state formation, most clearly under the Mauryas, whose rule extended across much of the subcontinent. The relevant contrast concerns the uneven reach and durability of central institutions, not an absence of states. Evidence suggests that Mauryan administration adapted to local conditions and that central control was strongest near political cores.</w:t>
      </w:r>
      <w:r>
        <w:rPr>
          <w:rStyle w:val="FootnoteReference"/>
        </w:rPr>
        <w:footnoteReference w:id="52"/>
      </w:r>
    </w:p>
    <w:p>
      <w:pPr>
        <w:widowControl/>
        <w:spacing w:before="0" w:after="0" w:line="480" w:lineRule="auto"/>
        <w:ind w:firstLine="720"/>
        <w:jc w:val="both"/>
      </w:pPr>
      <w:r>
        <w:rPr>
          <w:rFonts w:ascii="Times New Roman" w:hAnsi="Times New Roman"/>
          <w:i w:val="0"/>
          <w:sz w:val="24"/>
        </w:rPr>
        <w:t>Fukuyama's argument is that social and normative organization retained a degree of autonomy from political rulers. Varna provided a Brahmanical normative classification, while jati referred to more numerous and historically variable social groups. Dharma placed royal duties within a moral order that rulers did not simply create at will. Brahmin authority, religious learning, local custom, and socially embedded rules could therefore organize life beyond a unitary central administration.</w:t>
      </w:r>
      <w:r>
        <w:rPr>
          <w:rStyle w:val="FootnoteReference"/>
        </w:rPr>
        <w:footnoteReference w:id="53"/>
      </w:r>
    </w:p>
    <w:p>
      <w:pPr>
        <w:widowControl/>
        <w:spacing w:before="0" w:after="0" w:line="480" w:lineRule="auto"/>
        <w:ind w:firstLine="720"/>
        <w:jc w:val="both"/>
      </w:pPr>
      <w:r>
        <w:rPr>
          <w:rFonts w:ascii="Times New Roman" w:hAnsi="Times New Roman"/>
          <w:i w:val="0"/>
          <w:sz w:val="24"/>
        </w:rPr>
        <w:t>Specialist evidence supports parts of this picture while complicating its causal direction. Brahmanical influence on statecraft changed over time rather than existing in one timeless form. Royal grants helped create tax privileges, property rights, and limited jurisdictional immunities for Brahmin beneficiaries. Political authority therefore did not merely confront an already independent religious order; rulers helped institutionalize it.</w:t>
      </w:r>
      <w:r>
        <w:rPr>
          <w:rStyle w:val="FootnoteReference"/>
        </w:rPr>
        <w:footnoteReference w:id="54"/>
      </w:r>
      <w:r>
        <w:rPr>
          <w:rFonts w:ascii="Times New Roman" w:hAnsi="Times New Roman"/>
          <w:i w:val="0"/>
          <w:sz w:val="24"/>
        </w:rPr>
        <w:t xml:space="preserve"> The relationship was mutually shaping.</w:t>
      </w:r>
    </w:p>
    <w:p>
      <w:pPr>
        <w:widowControl/>
        <w:spacing w:before="0" w:after="0" w:line="480" w:lineRule="auto"/>
        <w:ind w:firstLine="720"/>
        <w:jc w:val="both"/>
      </w:pPr>
      <w:r>
        <w:rPr>
          <w:rFonts w:ascii="Times New Roman" w:hAnsi="Times New Roman"/>
          <w:i w:val="0"/>
          <w:sz w:val="24"/>
        </w:rPr>
        <w:t>The secure conclusion is consequently narrower than “religion caused a weak state.” India combined extensive political organization with durable and partly autonomous social orders, and central penetration varied by region and period. It is plausible that social autonomy limited some forms of durable centralization, but the relative weight of religion and caste remains underdetermined beside communications, ecology, agrarian organization, warfare, and political strategy. The Indian case is most useful as a warning that state and society need not develop through China's sequence.</w:t>
      </w:r>
    </w:p>
    <w:p>
      <w:pPr>
        <w:pStyle w:val="Heading2"/>
      </w:pPr>
      <w:r>
        <w:rPr>
          <w:rFonts w:ascii="Times New Roman" w:hAnsi="Times New Roman"/>
          <w:i w:val="0"/>
          <w:sz w:val="24"/>
        </w:rPr>
        <w:t>4.5 The Islamic Exit from Tribalism: Slavery, Religion, Kinship and the Foundations of Islamic Political Order</w:t>
      </w:r>
    </w:p>
    <w:p>
      <w:pPr>
        <w:widowControl/>
        <w:spacing w:before="0" w:after="0" w:line="480" w:lineRule="auto"/>
        <w:ind w:firstLine="720"/>
        <w:jc w:val="both"/>
      </w:pPr>
      <w:r>
        <w:rPr>
          <w:rFonts w:ascii="Times New Roman" w:hAnsi="Times New Roman"/>
          <w:i w:val="0"/>
          <w:sz w:val="24"/>
        </w:rPr>
        <w:t>Fukuyama identifies two mechanisms through which Islamic political orders could extend loyalty beyond inherited lineage. The religious community supplied an identity not reducible to tribe, while rulers recruited military and administrative slaves detached by force from their original social settings. Abbasid, Mamluk, and Ottoman institutions differed, but military slavery could provide rulers with trained servants whose position depended less directly on local hereditary aristocracies.</w:t>
      </w:r>
      <w:r>
        <w:rPr>
          <w:rStyle w:val="FootnoteReference"/>
        </w:rPr>
        <w:footnoteReference w:id="55"/>
      </w:r>
    </w:p>
    <w:p>
      <w:pPr>
        <w:widowControl/>
        <w:spacing w:before="0" w:after="0" w:line="480" w:lineRule="auto"/>
        <w:ind w:firstLine="720"/>
        <w:jc w:val="both"/>
      </w:pPr>
      <w:r>
        <w:rPr>
          <w:rFonts w:ascii="Times New Roman" w:hAnsi="Times New Roman"/>
          <w:i w:val="0"/>
          <w:sz w:val="24"/>
        </w:rPr>
        <w:t>The mechanism was inseparable from coercion. Enslaved soldiers and administrators were not impersonal officials in the full Weberian sense; their loyalty was often personal to a ruler or household. Mamluk and Ottoman systems developed factions, patronage, households, marriage ties, and economic interests of their own. The institutional effect was therefore not the abolition of personal dependence but its deliberate reorganization.</w:t>
      </w:r>
    </w:p>
    <w:p>
      <w:pPr>
        <w:widowControl/>
        <w:spacing w:before="0" w:after="0" w:line="480" w:lineRule="auto"/>
        <w:ind w:firstLine="720"/>
        <w:jc w:val="both"/>
      </w:pPr>
      <w:r>
        <w:rPr>
          <w:rFonts w:ascii="Times New Roman" w:hAnsi="Times New Roman"/>
          <w:i w:val="0"/>
          <w:sz w:val="24"/>
        </w:rPr>
        <w:t>Fukuyama interprets later marriage, inheritance, office purchase, and multigenerational elite reproduction as repatrimonialization. Specialist scholarship confirms changing recruitment and the growth of powerful households but complicates a simple movement from achievement to decline. Family embedding could represent adaptation as well as capture, and forms varied across polities and periods.</w:t>
      </w:r>
      <w:r>
        <w:rPr>
          <w:rStyle w:val="FootnoteReference"/>
        </w:rPr>
        <w:footnoteReference w:id="56"/>
      </w:r>
      <w:r>
        <w:rPr>
          <w:rFonts w:ascii="Times New Roman" w:hAnsi="Times New Roman"/>
          <w:i w:val="0"/>
          <w:sz w:val="24"/>
        </w:rPr>
        <w:t xml:space="preserve"> Military slavery remains a striking anti-lineage technology, but it had multiple effects and cannot serve as a universal solution to patrimonialism.</w:t>
      </w:r>
    </w:p>
    <w:p>
      <w:pPr>
        <w:pStyle w:val="Heading2"/>
      </w:pPr>
      <w:r>
        <w:rPr>
          <w:rFonts w:ascii="Times New Roman" w:hAnsi="Times New Roman"/>
          <w:i w:val="0"/>
          <w:sz w:val="24"/>
        </w:rPr>
        <w:t>4.6 Comparative Reflections on State Formation</w:t>
      </w:r>
    </w:p>
    <w:p>
      <w:pPr>
        <w:widowControl/>
        <w:spacing w:before="0" w:after="0" w:line="480" w:lineRule="auto"/>
        <w:ind w:firstLine="720"/>
        <w:jc w:val="both"/>
      </w:pPr>
      <w:r>
        <w:rPr>
          <w:rFonts w:ascii="Times New Roman" w:hAnsi="Times New Roman"/>
          <w:i w:val="0"/>
          <w:sz w:val="24"/>
        </w:rPr>
        <w:t>China, India, and Islamic political orders confront a recurrent problem: how can authority operate beyond immediate kin groups and personal obligation? Their responses were not identical. Warring States China used military and administrative competition to weaken aristocratic lineage control and construct territorial bureaucracy. Indian polities combined real state formation with social and normative orders that retained considerable autonomy and were also sustained by royal action. Islamic rulers used religious solidarity and coerced recruitment to bypass some inherited networks while creating new military households.</w:t>
      </w:r>
    </w:p>
    <w:p>
      <w:pPr>
        <w:widowControl/>
        <w:spacing w:before="0" w:after="0" w:line="480" w:lineRule="auto"/>
        <w:ind w:firstLine="720"/>
        <w:jc w:val="both"/>
      </w:pPr>
      <w:r>
        <w:rPr>
          <w:rFonts w:ascii="Times New Roman" w:hAnsi="Times New Roman"/>
          <w:i w:val="0"/>
          <w:sz w:val="24"/>
        </w:rPr>
        <w:t>War, religion, bureaucracy, and kinship therefore change roles across the cases. War is central to Fukuyama's Chinese narrative but does not explain India or Islamic military organization in the same manner. Religion may legitimate state authority, organize society beyond it, or create broader loyalties. Bureaucracy may weaken hereditary privilege yet remain penetrated by elite families. Kinship can supply collective capacity before the state and later compete with rules of office.</w:t>
      </w:r>
    </w:p>
    <w:p>
      <w:pPr>
        <w:widowControl/>
        <w:spacing w:before="0" w:after="0" w:line="480" w:lineRule="auto"/>
        <w:ind w:firstLine="720"/>
        <w:jc w:val="both"/>
      </w:pPr>
      <w:r>
        <w:rPr>
          <w:rFonts w:ascii="Times New Roman" w:hAnsi="Times New Roman"/>
          <w:i w:val="0"/>
          <w:sz w:val="24"/>
        </w:rPr>
        <w:t>The comparison supports Fukuyama's claim that impersonal administration is a distinctive institutional achievement. It also limits any universal sequence. Similar problems of scale, loyalty, extraction, and elite control generated different combinations of coercion, belief, administration, and social autonomy. The cases are therefore best treated as comparative mechanisms rather than stages through which every society must pass. This conclusion prepares the transition from the creation of state power to the second institutional question: how can law acquire enough autonomy to bind the power that the state has concentrated?</w:t>
      </w:r>
    </w:p>
    <w:p>
      <w:pPr>
        <w:pStyle w:val="Heading2"/>
      </w:pPr>
      <w:r>
        <w:rPr>
          <w:rFonts w:ascii="Times New Roman" w:hAnsi="Times New Roman"/>
          <w:i w:val="0"/>
          <w:sz w:val="24"/>
        </w:rPr>
        <w:t>4.7 The Rule of Law in Fukuyama's Theory</w:t>
      </w:r>
    </w:p>
    <w:p>
      <w:pPr>
        <w:widowControl/>
        <w:spacing w:before="0" w:after="0" w:line="480" w:lineRule="auto"/>
        <w:ind w:firstLine="720"/>
        <w:jc w:val="both"/>
      </w:pPr>
      <w:r>
        <w:rPr>
          <w:rFonts w:ascii="Times New Roman" w:hAnsi="Times New Roman"/>
          <w:i w:val="0"/>
          <w:sz w:val="24"/>
        </w:rPr>
        <w:t>Fukuyama's rule of law is not the mere existence of rules or courts. It requires a body of law regarded as legitimate and superior to the immediate wishes of the ruler. Rule by law occurs when political authority uses commands and legal procedures as instruments of government while remaining able to alter or disregard them at will. Rule of law introduces an autonomous standard against which the ruler's conduct can itself be judged.</w:t>
      </w:r>
      <w:r>
        <w:rPr>
          <w:rStyle w:val="FootnoteReference"/>
        </w:rPr>
        <w:footnoteReference w:id="57"/>
      </w:r>
    </w:p>
    <w:p>
      <w:pPr>
        <w:widowControl/>
        <w:spacing w:before="0" w:after="0" w:line="480" w:lineRule="auto"/>
        <w:ind w:firstLine="720"/>
        <w:jc w:val="both"/>
      </w:pPr>
      <w:r>
        <w:rPr>
          <w:rFonts w:ascii="Times New Roman" w:hAnsi="Times New Roman"/>
          <w:i w:val="0"/>
          <w:sz w:val="24"/>
        </w:rPr>
        <w:t>This autonomy need not initially take the form of a modern written constitution or democratic judiciary. Religious law, customary law, corporate jurisdiction, and professional legal interpretation may all constrain political authority. Legal rationality—the systematization and professional administration of rules—is also distinct from legal supremacy. A highly rationalized code can remain an instrument of sovereign command.</w:t>
      </w:r>
    </w:p>
    <w:p>
      <w:pPr>
        <w:widowControl/>
        <w:spacing w:before="0" w:after="0" w:line="480" w:lineRule="auto"/>
        <w:ind w:firstLine="720"/>
        <w:jc w:val="both"/>
      </w:pPr>
      <w:r>
        <w:rPr>
          <w:rFonts w:ascii="Times New Roman" w:hAnsi="Times New Roman"/>
          <w:i w:val="0"/>
          <w:sz w:val="24"/>
        </w:rPr>
        <w:t>Law may strengthen the state as well as limit it. English royal justice, for example, extended public authority while making its exercise more regular and legitimate. Predictable legal rules can support taxation, property, adjudication, and cooperation. The relation between state and law is therefore not simply zero-sum: autonomous law restrains arbitrary action, while credible legality can increase the state's ability to govern.</w:t>
      </w:r>
      <w:r>
        <w:rPr>
          <w:rStyle w:val="FootnoteReference"/>
        </w:rPr>
        <w:footnoteReference w:id="58"/>
      </w:r>
    </w:p>
    <w:p>
      <w:pPr>
        <w:pStyle w:val="Heading3"/>
      </w:pPr>
      <w:r>
        <w:rPr>
          <w:rFonts w:ascii="Times New Roman" w:hAnsi="Times New Roman"/>
          <w:i w:val="0"/>
          <w:sz w:val="24"/>
        </w:rPr>
        <w:t>4.7.1 The Papal Revolution and the Emergence of Legal Rationality</w:t>
      </w:r>
    </w:p>
    <w:p>
      <w:pPr>
        <w:widowControl/>
        <w:spacing w:before="0" w:after="0" w:line="480" w:lineRule="auto"/>
        <w:ind w:firstLine="720"/>
        <w:jc w:val="both"/>
      </w:pPr>
      <w:r>
        <w:rPr>
          <w:rFonts w:ascii="Times New Roman" w:hAnsi="Times New Roman"/>
          <w:i w:val="0"/>
          <w:sz w:val="24"/>
        </w:rPr>
        <w:t>Fukuyama treats the Gregorian reforms and the so-called Papal Revolution as decisive because they strengthened the Western Church as a corporate authority distinct from secular rulers. Disputes over investiture concerned who could appoint church officials, but their institutional consequence was wider: ecclesiastical offices, jurisdiction, and law claimed a source of authority not reducible to royal command.</w:t>
      </w:r>
      <w:r>
        <w:rPr>
          <w:rStyle w:val="FootnoteReference"/>
        </w:rPr>
        <w:footnoteReference w:id="59"/>
      </w:r>
    </w:p>
    <w:p>
      <w:pPr>
        <w:widowControl/>
        <w:spacing w:before="0" w:after="0" w:line="480" w:lineRule="auto"/>
        <w:ind w:firstLine="720"/>
        <w:jc w:val="both"/>
      </w:pPr>
      <w:r>
        <w:rPr>
          <w:rFonts w:ascii="Times New Roman" w:hAnsi="Times New Roman"/>
          <w:i w:val="0"/>
          <w:sz w:val="24"/>
        </w:rPr>
        <w:t>The consolidation of canon law and professional legal study contributed to a jurisdictional dualism in which church and secular authorities made competing claims. This did not produce liberal democracy, nor did it immediately establish modern constitutional government. It made conceptually and institutionally visible the possibility that rulers could confront an organized legal authority they did not wholly control.</w:t>
      </w:r>
    </w:p>
    <w:p>
      <w:pPr>
        <w:widowControl/>
        <w:spacing w:before="0" w:after="0" w:line="480" w:lineRule="auto"/>
        <w:ind w:firstLine="720"/>
        <w:jc w:val="both"/>
      </w:pPr>
      <w:r>
        <w:rPr>
          <w:rFonts w:ascii="Times New Roman" w:hAnsi="Times New Roman"/>
          <w:i w:val="0"/>
          <w:sz w:val="24"/>
        </w:rPr>
        <w:t>Specialist scholarship supports significant transformation while tracing legal and ecclesiastical antecedents before the eleventh century and later developments after it. The Papal Revolution should therefore be treated as an acceleration and reorganization of legal autonomy, not a single-event “big bang.”</w:t>
      </w:r>
      <w:r>
        <w:rPr>
          <w:rStyle w:val="FootnoteReference"/>
        </w:rPr>
        <w:footnoteReference w:id="60"/>
      </w:r>
      <w:r>
        <w:rPr>
          <w:rFonts w:ascii="Times New Roman" w:hAnsi="Times New Roman"/>
          <w:i w:val="0"/>
          <w:sz w:val="24"/>
        </w:rPr>
        <w:t xml:space="preserve"> Its importance lies in differentiation: law, office, and corporate religious authority acquired institutional identities that could resist incorporation into the ruler's household.</w:t>
      </w:r>
    </w:p>
    <w:p>
      <w:pPr>
        <w:pStyle w:val="Heading3"/>
      </w:pPr>
      <w:r>
        <w:rPr>
          <w:rFonts w:ascii="Times New Roman" w:hAnsi="Times New Roman"/>
          <w:i w:val="0"/>
          <w:sz w:val="24"/>
        </w:rPr>
        <w:t>4.7.2 Christianity, Kinship, and Western Institutional Development</w:t>
      </w:r>
    </w:p>
    <w:p>
      <w:pPr>
        <w:widowControl/>
        <w:spacing w:before="0" w:after="0" w:line="480" w:lineRule="auto"/>
        <w:ind w:firstLine="720"/>
        <w:jc w:val="both"/>
      </w:pPr>
      <w:r>
        <w:rPr>
          <w:rFonts w:ascii="Times New Roman" w:hAnsi="Times New Roman"/>
          <w:i w:val="0"/>
          <w:sz w:val="24"/>
        </w:rPr>
        <w:t>Fukuyama also assigns Western Christianity a role in reorganizing kinship. Church regulation addressed consanguinity and affinity, monogamy, indissolubility, consent, remarriage, and related family practices. Jack Goody argued that such policies weakened extended kin organizations and encouraged arrangements centred more heavily on the conjugal family and individual property. Later cross-regional research has found an association between longer exposure to the Western Church's marriage programme and less intensive kinship.</w:t>
      </w:r>
      <w:r>
        <w:rPr>
          <w:rStyle w:val="FootnoteReference"/>
        </w:rPr>
        <w:footnoteReference w:id="61"/>
      </w:r>
    </w:p>
    <w:p>
      <w:pPr>
        <w:widowControl/>
        <w:spacing w:before="0" w:after="0" w:line="480" w:lineRule="auto"/>
        <w:ind w:firstLine="720"/>
        <w:jc w:val="both"/>
      </w:pPr>
      <w:r>
        <w:rPr>
          <w:rFonts w:ascii="Times New Roman" w:hAnsi="Times New Roman"/>
          <w:i w:val="0"/>
          <w:sz w:val="24"/>
        </w:rPr>
        <w:t>The causal chain must be separated into stages. It is well established that ecclesiastical institutions formulated distinctive marriage rules. It is reasonably supported that these rules, where enforced, contributed to changes in marriage and kinship. Property and inheritance consequences are plausible but varied. The further claim that kinship reorganization produced impersonal political institutions is more difficult to isolate from urbanization, commerce, state formation, legal development, and regional household patterns.</w:t>
      </w:r>
    </w:p>
    <w:p>
      <w:pPr>
        <w:widowControl/>
        <w:spacing w:before="0" w:after="0" w:line="480" w:lineRule="auto"/>
        <w:ind w:firstLine="720"/>
        <w:jc w:val="both"/>
      </w:pPr>
      <w:r>
        <w:rPr>
          <w:rFonts w:ascii="Times New Roman" w:hAnsi="Times New Roman"/>
          <w:i w:val="0"/>
          <w:sz w:val="24"/>
        </w:rPr>
        <w:t>Kinship did not disappear from medieval or modern Europe. Families and lineages adapted, and enforcement of church rules varied by place, class, and period. The strongest defensible formulation is therefore that church regulation contributed to weakening or reorganizing some intensive kin structures and thereby altered the social environment in which corporations and impersonal institutions developed. It did not independently create the modern state or rule of law. This distinction illustrates a wider danger in macrohistory: evidence for an early institutional link does not automatically verify every later step in a long functional chain.</w:t>
      </w:r>
    </w:p>
    <w:p>
      <w:pPr>
        <w:pStyle w:val="Heading2"/>
      </w:pPr>
      <w:r>
        <w:rPr>
          <w:rFonts w:ascii="Times New Roman" w:hAnsi="Times New Roman"/>
          <w:i w:val="0"/>
          <w:sz w:val="24"/>
        </w:rPr>
        <w:t>4.8 The Origins of Political Accountability</w:t>
      </w:r>
    </w:p>
    <w:p>
      <w:pPr>
        <w:widowControl/>
        <w:spacing w:before="0" w:after="0" w:line="480" w:lineRule="auto"/>
        <w:ind w:firstLine="720"/>
        <w:jc w:val="both"/>
      </w:pPr>
      <w:r>
        <w:rPr>
          <w:rFonts w:ascii="Times New Roman" w:hAnsi="Times New Roman"/>
          <w:i w:val="0"/>
          <w:sz w:val="24"/>
        </w:rPr>
        <w:t>Fukuyama defines accountable government more broadly than electoral democracy. At its most general, accountability means that rulers regard themselves as responsible to the people they govern and place public interests above their own. It can be moral, institutional, or procedural. Elections are a particularly important modern mechanism because they allow citizens to select and remove rulers, but accountability can begin through organized social powers that compel consultation, explanation, bargaining, or restraint.</w:t>
      </w:r>
      <w:r>
        <w:rPr>
          <w:rStyle w:val="FootnoteReference"/>
        </w:rPr>
        <w:footnoteReference w:id="62"/>
      </w:r>
    </w:p>
    <w:p>
      <w:pPr>
        <w:widowControl/>
        <w:spacing w:before="0" w:after="0" w:line="480" w:lineRule="auto"/>
        <w:ind w:firstLine="720"/>
        <w:jc w:val="both"/>
      </w:pPr>
      <w:r>
        <w:rPr>
          <w:rFonts w:ascii="Times New Roman" w:hAnsi="Times New Roman"/>
          <w:i w:val="0"/>
          <w:sz w:val="24"/>
        </w:rPr>
        <w:t>This broad usage distinguishes several concepts that should not be collapsed. Responsiveness concerns whether government acts in relation to social needs or preferences. Answerability requires officials to explain and justify conduct. Sanctions concern consequences imposed after judgment. Representation concerns whose interests or voices are institutionally present. Participation concerns involvement in political decision-making. Electoral democracy combines some of these mechanisms but does not guarantee that government will be capable or legally constrained.</w:t>
      </w:r>
    </w:p>
    <w:p>
      <w:pPr>
        <w:widowControl/>
        <w:spacing w:before="0" w:after="0" w:line="480" w:lineRule="auto"/>
        <w:ind w:firstLine="720"/>
        <w:jc w:val="both"/>
      </w:pPr>
      <w:r>
        <w:rPr>
          <w:rFonts w:ascii="Times New Roman" w:hAnsi="Times New Roman"/>
          <w:i w:val="0"/>
          <w:sz w:val="24"/>
        </w:rPr>
        <w:t>European accountability, in Fukuyama's account, emerged partly because state consolidation was late and rulers confronted organized nobles, towns, churches, local bodies, and representative estates. Taxation and war created bargaining pressures, while law supplied shared rules and legitimacy. England combined parliamentary survival, common law, local organization, and fiscal bargaining in a way that constrained and also strengthened the state.</w:t>
      </w:r>
      <w:r>
        <w:rPr>
          <w:rStyle w:val="FootnoteReference"/>
        </w:rPr>
        <w:footnoteReference w:id="63"/>
      </w:r>
      <w:r>
        <w:rPr>
          <w:rFonts w:ascii="Times New Roman" w:hAnsi="Times New Roman"/>
          <w:i w:val="0"/>
          <w:sz w:val="24"/>
        </w:rPr>
        <w:t xml:space="preserve"> These arrangements were socially restricted; elite constraint was not yet equal citizenship.</w:t>
      </w:r>
    </w:p>
    <w:p>
      <w:pPr>
        <w:widowControl/>
        <w:spacing w:before="0" w:after="0" w:line="480" w:lineRule="auto"/>
        <w:ind w:firstLine="720"/>
        <w:jc w:val="both"/>
      </w:pPr>
      <w:r>
        <w:rPr>
          <w:rFonts w:ascii="Times New Roman" w:hAnsi="Times New Roman"/>
          <w:i w:val="0"/>
          <w:sz w:val="24"/>
        </w:rPr>
        <w:t>Narrower scholarship defines accountability as an actor-forum relationship involving information, questioning, judgment, and possible consequences.</w:t>
      </w:r>
      <w:r>
        <w:rPr>
          <w:rStyle w:val="FootnoteReference"/>
        </w:rPr>
        <w:footnoteReference w:id="64"/>
      </w:r>
      <w:r>
        <w:rPr>
          <w:rFonts w:ascii="Times New Roman" w:hAnsi="Times New Roman"/>
          <w:i w:val="0"/>
          <w:sz w:val="24"/>
        </w:rPr>
        <w:t xml:space="preserve"> By that standard, a ruler's internal sense of responsibility is not sufficient. Fukuyama has not simply forgotten sanctions; he deliberately uses substantive accountability to capture public-regarding responsiveness across different regimes. The benefit is comparative range. The cost is that benevolence, responsiveness, constraint, and enforceable accountability can approach one another too closely unless their mechanisms are specified.</w:t>
      </w:r>
    </w:p>
    <w:p>
      <w:pPr>
        <w:pStyle w:val="Heading2"/>
      </w:pPr>
      <w:r>
        <w:rPr>
          <w:rFonts w:ascii="Times New Roman" w:hAnsi="Times New Roman"/>
          <w:i w:val="0"/>
          <w:sz w:val="24"/>
        </w:rPr>
        <w:t>4.9 The Relationship between State, Law, and Accountability</w:t>
      </w:r>
    </w:p>
    <w:p>
      <w:pPr>
        <w:widowControl/>
        <w:spacing w:before="0" w:after="0" w:line="480" w:lineRule="auto"/>
        <w:ind w:firstLine="720"/>
        <w:jc w:val="both"/>
      </w:pPr>
      <w:r>
        <w:rPr>
          <w:rFonts w:ascii="Times New Roman" w:hAnsi="Times New Roman"/>
          <w:i w:val="0"/>
          <w:sz w:val="24"/>
        </w:rPr>
        <w:t>The triad's principal value lies in institutional differentiation. The state concentrates and executes power. Rule of law subjects power to norms not wholly controlled by incumbents. Accountability connects the use of power to governed interests or organized social actors. None of these functions entails the other two. Early imperial China illustrates capacity without autonomous legal constraint or downward accountability. Medieval Europe illustrates legal and social constraints that could coexist with fragmented capacity. Oligarchic constitutional orders may limit rulers without making government broadly responsive.</w:t>
      </w:r>
    </w:p>
    <w:p>
      <w:pPr>
        <w:widowControl/>
        <w:spacing w:before="0" w:after="0" w:line="480" w:lineRule="auto"/>
        <w:ind w:firstLine="720"/>
        <w:jc w:val="both"/>
      </w:pPr>
      <w:r>
        <w:rPr>
          <w:rFonts w:ascii="Times New Roman" w:hAnsi="Times New Roman"/>
          <w:i w:val="0"/>
          <w:sz w:val="24"/>
        </w:rPr>
        <w:t>The institutions can reinforce one another. Law can make state action more predictable and legitimate. Accountability can provide information, correct abuse, and build consent for taxation. State capacity can make rights and public decisions effective rather than merely declaratory. Yet the same institutions can conflict. Extensive veto points may prevent adaptation; concentrated capacity may evade constraint; privileged social actors may use accountability mechanisms to protect rents rather than the public.</w:t>
      </w:r>
    </w:p>
    <w:p>
      <w:pPr>
        <w:widowControl/>
        <w:spacing w:before="0" w:after="0" w:line="480" w:lineRule="auto"/>
        <w:ind w:firstLine="720"/>
        <w:jc w:val="both"/>
      </w:pPr>
      <w:r>
        <w:rPr>
          <w:rFonts w:ascii="Times New Roman" w:hAnsi="Times New Roman"/>
          <w:i w:val="0"/>
          <w:sz w:val="24"/>
        </w:rPr>
        <w:t>Fukuyama's language of balance should therefore be understood as managed tension rather than a measurable equilibrium. He does not supply a formula identifying the correct quantity of state power, legal autonomy, and accountability for every society. The framework instead asks three persistent questions: can authority act, is it bound, and to whom must it respond?</w:t>
      </w:r>
      <w:r>
        <w:rPr>
          <w:rStyle w:val="FootnoteReference"/>
        </w:rPr>
        <w:footnoteReference w:id="65"/>
      </w:r>
      <w:r>
        <w:rPr>
          <w:rFonts w:ascii="Times New Roman" w:hAnsi="Times New Roman"/>
          <w:i w:val="0"/>
          <w:sz w:val="24"/>
        </w:rPr>
        <w:t xml:space="preserve"> This makes the triad a powerful comparative diagnostic. It permits institutional failures to be distinguished without assuming that all three institutions emerged together or through the same sequence.</w:t>
      </w:r>
    </w:p>
    <w:p>
      <w:pPr>
        <w:widowControl/>
        <w:spacing w:before="0" w:after="0" w:line="480" w:lineRule="auto"/>
        <w:ind w:firstLine="720"/>
        <w:jc w:val="both"/>
      </w:pPr>
      <w:r>
        <w:rPr>
          <w:rFonts w:ascii="Times New Roman" w:hAnsi="Times New Roman"/>
          <w:i w:val="0"/>
          <w:sz w:val="24"/>
        </w:rPr>
        <w:t>The diagnostic strength also reveals a limit that Chapter Five will evaluate more fully. Historical societies contain mixed and changing arrangements, whereas the triad classifies them through broad functional categories. The categories clarify what institutions do, but they can compress variation in how legal authority, social constraint, and administrative capacity are organized. Before that issue is evaluated, the account must explain how differentiated institutions deteriorate.</w:t>
      </w:r>
    </w:p>
    <w:p>
      <w:pPr>
        <w:pStyle w:val="Heading2"/>
      </w:pPr>
      <w:r>
        <w:rPr>
          <w:rFonts w:ascii="Times New Roman" w:hAnsi="Times New Roman"/>
          <w:i w:val="0"/>
          <w:sz w:val="24"/>
        </w:rPr>
        <w:t>4.10 Political Development, Decay and Repatrimonialization</w:t>
      </w:r>
    </w:p>
    <w:p>
      <w:pPr>
        <w:widowControl/>
        <w:spacing w:before="0" w:after="0" w:line="480" w:lineRule="auto"/>
        <w:ind w:firstLine="720"/>
        <w:jc w:val="both"/>
      </w:pPr>
      <w:r>
        <w:rPr>
          <w:rFonts w:ascii="Times New Roman" w:hAnsi="Times New Roman"/>
          <w:i w:val="0"/>
          <w:sz w:val="24"/>
        </w:rPr>
        <w:t>Political development does not permanently secure institutional achievement. Fukuyama identifies two broad mechanisms of decay. The first is institutional rigidity: rules and organizations formed under one set of conditions fail to adapt when circumstances change. The second is elite capture or repatrimonialization: offices created for public purposes are redirected toward the interests of insiders, families, clients, or organized groups.</w:t>
      </w:r>
      <w:r>
        <w:rPr>
          <w:rStyle w:val="FootnoteReference"/>
        </w:rPr>
        <w:footnoteReference w:id="66"/>
      </w:r>
    </w:p>
    <w:p>
      <w:pPr>
        <w:widowControl/>
        <w:spacing w:before="0" w:after="0" w:line="480" w:lineRule="auto"/>
        <w:ind w:firstLine="720"/>
        <w:jc w:val="both"/>
      </w:pPr>
      <w:r>
        <w:rPr>
          <w:rFonts w:ascii="Times New Roman" w:hAnsi="Times New Roman"/>
          <w:i w:val="0"/>
          <w:sz w:val="24"/>
        </w:rPr>
        <w:t>These mechanisms can overlap but should not be treated as circular definitions of every disappointing outcome. An institution is rigid when inherited rules obstruct the functions for which it is maintained, not merely because an observer dislikes its policy. Capture occurs when privileged access converts public authority into durable private advantage. Repatrimonialization in a modern state need not reproduce literal household government. It may operate through patronage, clientelism, subsidies, regulatory privilege, or appointment practices that preserve formal bureaucracy while redirecting its benefits.</w:t>
      </w:r>
      <w:r>
        <w:rPr>
          <w:rStyle w:val="FootnoteReference"/>
        </w:rPr>
        <w:footnoteReference w:id="67"/>
      </w:r>
    </w:p>
    <w:p>
      <w:pPr>
        <w:widowControl/>
        <w:spacing w:before="0" w:after="0" w:line="480" w:lineRule="auto"/>
        <w:ind w:firstLine="720"/>
        <w:jc w:val="both"/>
      </w:pPr>
      <w:r>
        <w:rPr>
          <w:rFonts w:ascii="Times New Roman" w:hAnsi="Times New Roman"/>
          <w:i w:val="0"/>
          <w:sz w:val="24"/>
        </w:rPr>
        <w:t>The argument returns to Chapter Three's account of human sociality. Kin preference and reciprocal loyalty create recurrent pressures, but they do not biologically determine corruption or decay. Public/private distinctions, professional norms, legal enforcement, and organizational incentives can channel those tendencies. Decay is therefore an institutional and political process, not the inevitable victory of an unchanging human nature.</w:t>
      </w:r>
    </w:p>
    <w:p>
      <w:pPr>
        <w:widowControl/>
        <w:spacing w:before="0" w:after="0" w:line="480" w:lineRule="auto"/>
        <w:ind w:firstLine="720"/>
        <w:jc w:val="both"/>
      </w:pPr>
      <w:r>
        <w:rPr>
          <w:rFonts w:ascii="Times New Roman" w:hAnsi="Times New Roman"/>
          <w:i w:val="0"/>
          <w:sz w:val="24"/>
        </w:rPr>
        <w:t>Nor is every adaptation evidence of decay. Family networks, informal discretion, or changes in recruitment may sometimes help an institution function. The analytical test is whether change undermines public purposes, capacity, legal constraint, or accountability. This qualification is especially important in the Han and Ottoman cases, where elite embedding can be interpreted as both capture and institutional adjustment.</w:t>
      </w:r>
    </w:p>
    <w:p>
      <w:pPr>
        <w:pStyle w:val="Heading2"/>
      </w:pPr>
      <w:r>
        <w:rPr>
          <w:rFonts w:ascii="Times New Roman" w:hAnsi="Times New Roman"/>
          <w:i w:val="0"/>
          <w:sz w:val="24"/>
        </w:rPr>
        <w:t>4.11 Political Order and Political Decay in Modern History</w:t>
      </w:r>
    </w:p>
    <w:p>
      <w:pPr>
        <w:widowControl/>
        <w:spacing w:before="0" w:after="0" w:line="480" w:lineRule="auto"/>
        <w:ind w:firstLine="720"/>
        <w:jc w:val="both"/>
      </w:pPr>
      <w:r>
        <w:rPr>
          <w:rFonts w:ascii="Times New Roman" w:hAnsi="Times New Roman"/>
          <w:i w:val="0"/>
          <w:sz w:val="24"/>
        </w:rPr>
        <w:t xml:space="preserve">Volume II extends rather than replaces the theory developed in </w:t>
      </w:r>
      <w:r>
        <w:rPr>
          <w:rFonts w:ascii="Times New Roman" w:hAnsi="Times New Roman"/>
          <w:i/>
          <w:sz w:val="24"/>
        </w:rPr>
        <w:t>The Origins of Political Order</w:t>
      </w:r>
      <w:r>
        <w:rPr>
          <w:rFonts w:ascii="Times New Roman" w:hAnsi="Times New Roman"/>
          <w:i w:val="0"/>
          <w:sz w:val="24"/>
        </w:rPr>
        <w:t>. Modern economic growth, mass mobilization, technology, and international competition alter the setting of institutional development. Contemporary societies therefore need not repeat China's, India's, the Ottoman Empire's, or Western Europe's historical sequence. The earlier cases identify mechanisms and contrasts, not a compulsory roadmap.</w:t>
      </w:r>
      <w:r>
        <w:rPr>
          <w:rStyle w:val="FootnoteReference"/>
        </w:rPr>
        <w:footnoteReference w:id="68"/>
      </w:r>
    </w:p>
    <w:p>
      <w:pPr>
        <w:widowControl/>
        <w:spacing w:before="0" w:after="0" w:line="480" w:lineRule="auto"/>
        <w:ind w:firstLine="720"/>
        <w:jc w:val="both"/>
      </w:pPr>
      <w:r>
        <w:rPr>
          <w:rFonts w:ascii="Times New Roman" w:hAnsi="Times New Roman"/>
          <w:i w:val="0"/>
          <w:sz w:val="24"/>
        </w:rPr>
        <w:t>The companion volume clarifies state capacity by distinguishing it from scope and by emphasizing bureaucratic autonomy. Effective officials require expertise and insulation from some short-term interference, yet excessive autonomy can weaken democratic control. The same arrangement can thus protect competence and create a principal-agent problem. Institutional design concerns degrees and relationships, not the simple maximization of one value.</w:t>
      </w:r>
      <w:r>
        <w:rPr>
          <w:rStyle w:val="FootnoteReference"/>
        </w:rPr>
        <w:footnoteReference w:id="69"/>
      </w:r>
    </w:p>
    <w:p>
      <w:pPr>
        <w:widowControl/>
        <w:spacing w:before="0" w:after="0" w:line="480" w:lineRule="auto"/>
        <w:ind w:firstLine="720"/>
        <w:jc w:val="both"/>
      </w:pPr>
      <w:r>
        <w:rPr>
          <w:rFonts w:ascii="Times New Roman" w:hAnsi="Times New Roman"/>
          <w:i w:val="0"/>
          <w:sz w:val="24"/>
        </w:rPr>
        <w:t>Modern corruption also illustrates continuity with patrimonialism. Public resources may be appropriated through formally legal institutions, campaign systems, interest groups, or clientelistic exchange. Democratic procedures do not eliminate insider capture. Conversely, responsiveness may exist without binding downward accountability, as Fukuyama's later discussion of China acknowledges. Protest, consultation, and performance incentives can influence rulers without giving citizens a reliable power to sanction them.</w:t>
      </w:r>
      <w:r>
        <w:rPr>
          <w:rStyle w:val="FootnoteReference"/>
        </w:rPr>
        <w:footnoteReference w:id="70"/>
      </w:r>
    </w:p>
    <w:p>
      <w:pPr>
        <w:widowControl/>
        <w:spacing w:before="0" w:after="0" w:line="480" w:lineRule="auto"/>
        <w:ind w:firstLine="720"/>
        <w:jc w:val="both"/>
      </w:pPr>
      <w:r>
        <w:rPr>
          <w:rFonts w:ascii="Times New Roman" w:hAnsi="Times New Roman"/>
          <w:i w:val="0"/>
          <w:sz w:val="24"/>
        </w:rPr>
        <w:t>The modern extension is most valuable when it shows imbalance rather than supplies another universal sequence. Courts, veto points, participation, and detailed legal mandates can constrain abuse while also obstructing coherent action. Bureaucratic discretion can promote adaptation while threatening accountability. Volume II consequently turns “balance” from a static endpoint into a continuing problem of institutional adjustment.</w:t>
      </w:r>
    </w:p>
    <w:p>
      <w:pPr>
        <w:pStyle w:val="Heading2"/>
      </w:pPr>
      <w:r>
        <w:rPr>
          <w:rFonts w:ascii="Times New Roman" w:hAnsi="Times New Roman"/>
          <w:i w:val="0"/>
          <w:sz w:val="24"/>
        </w:rPr>
        <w:t>4.12 Philosophical Implications of Fukuyama's Theory of Political Institutions</w:t>
      </w:r>
    </w:p>
    <w:p>
      <w:pPr>
        <w:widowControl/>
        <w:spacing w:before="0" w:after="0" w:line="480" w:lineRule="auto"/>
        <w:ind w:firstLine="720"/>
        <w:jc w:val="both"/>
      </w:pPr>
      <w:r>
        <w:rPr>
          <w:rFonts w:ascii="Times New Roman" w:hAnsi="Times New Roman"/>
          <w:i w:val="0"/>
          <w:sz w:val="24"/>
        </w:rPr>
        <w:t>The first implication of Fukuyama's theory is that political order is multidimensional. Capacity, legal constraint, and accountability are distinct political goods. A government can improve along one dimension while deteriorating along another. This blocks the assumption that elections, legality, or administrative strength alone provide an adequate measure of political development.</w:t>
      </w:r>
    </w:p>
    <w:p>
      <w:pPr>
        <w:widowControl/>
        <w:spacing w:before="0" w:after="0" w:line="480" w:lineRule="auto"/>
        <w:ind w:firstLine="720"/>
        <w:jc w:val="both"/>
      </w:pPr>
      <w:r>
        <w:rPr>
          <w:rFonts w:ascii="Times New Roman" w:hAnsi="Times New Roman"/>
          <w:i w:val="0"/>
          <w:sz w:val="24"/>
        </w:rPr>
        <w:t>Second, institutions mediate enduring human tendencies rather than eliminating them. Kin loyalty, status, norm-following, and reciprocal obligation can support collective organization or facilitate private capture. Impersonality is therefore not an escape from human sociality. It is a rule-governed arrangement that determines which relationships may legitimately influence public office.</w:t>
      </w:r>
    </w:p>
    <w:p>
      <w:pPr>
        <w:widowControl/>
        <w:spacing w:before="0" w:after="0" w:line="480" w:lineRule="auto"/>
        <w:ind w:firstLine="720"/>
        <w:jc w:val="both"/>
      </w:pPr>
      <w:r>
        <w:rPr>
          <w:rFonts w:ascii="Times New Roman" w:hAnsi="Times New Roman"/>
          <w:i w:val="0"/>
          <w:sz w:val="24"/>
        </w:rPr>
        <w:t>Third, recurrent political problems do not establish a universal historical solution. China, India, Islamic political orders, and Western Europe confronted questions of scale, loyalty, authority, law, and elite control through different combinations of war, religion, administration, social organization, and corporate autonomy. Functional comparison is possible because the problems overlap. Historical plurality matters because solutions and sequences differ.</w:t>
      </w:r>
    </w:p>
    <w:p>
      <w:pPr>
        <w:widowControl/>
        <w:spacing w:before="0" w:after="0" w:line="480" w:lineRule="auto"/>
        <w:ind w:firstLine="720"/>
        <w:jc w:val="both"/>
      </w:pPr>
      <w:r>
        <w:rPr>
          <w:rFonts w:ascii="Times New Roman" w:hAnsi="Times New Roman"/>
          <w:i w:val="0"/>
          <w:sz w:val="24"/>
        </w:rPr>
        <w:t>Fourth, institutional differentiation produces permanent tension. A capable state may threaten freedom; legal restraint may obstruct necessary action; accountability may correct abuse or empower narrow interests. Fukuyama's triad does not abolish these conflicts. Its philosophical value lies in making them visible and preventing one institutional virtue from being mistaken for political order as a whole.</w:t>
      </w:r>
    </w:p>
    <w:p>
      <w:pPr>
        <w:widowControl/>
        <w:spacing w:before="0" w:after="0" w:line="480" w:lineRule="auto"/>
        <w:ind w:firstLine="720"/>
        <w:jc w:val="both"/>
      </w:pPr>
      <w:r>
        <w:rPr>
          <w:rFonts w:ascii="Times New Roman" w:hAnsi="Times New Roman"/>
          <w:i w:val="0"/>
          <w:sz w:val="24"/>
        </w:rPr>
        <w:t>Fifth, political development is reversible without being cyclical destiny. Rigidity, environmental mismatch, and insider capture can weaken particular institutions. Human agency remains central because actors design, borrow, reinterpret, defend, and reform institutional arrangements. Fukuyama's evolutionary language therefore describes variation, competition, learning, and possible convergence, not biological inevitability.</w:t>
      </w:r>
      <w:r>
        <w:rPr>
          <w:rStyle w:val="FootnoteReference"/>
        </w:rPr>
        <w:footnoteReference w:id="71"/>
      </w:r>
    </w:p>
    <w:p>
      <w:pPr>
        <w:widowControl/>
        <w:spacing w:before="0" w:after="0" w:line="480" w:lineRule="auto"/>
        <w:ind w:firstLine="720"/>
        <w:jc w:val="both"/>
      </w:pPr>
      <w:r>
        <w:rPr>
          <w:rFonts w:ascii="Times New Roman" w:hAnsi="Times New Roman"/>
          <w:i w:val="0"/>
          <w:sz w:val="24"/>
        </w:rPr>
        <w:t>Finally, historical explanation does not automatically yield normative justification. The fact that a state emerged through war does not justify its coercion. The historical autonomy of law does not establish the justice of every inherited rule. The emergence of accountability among organized elites does not determine who ought to be represented. Fukuyama explains how differentiated institutions became possible; political philosophy must still evaluate the purposes they should serve.</w:t>
      </w:r>
    </w:p>
    <w:p>
      <w:pPr>
        <w:widowControl/>
        <w:spacing w:before="0" w:after="0" w:line="480" w:lineRule="auto"/>
        <w:ind w:firstLine="720"/>
        <w:jc w:val="both"/>
      </w:pPr>
      <w:r>
        <w:rPr>
          <w:rFonts w:ascii="Times New Roman" w:hAnsi="Times New Roman"/>
          <w:i w:val="0"/>
          <w:sz w:val="24"/>
        </w:rPr>
        <w:t>These implications establish the theory that Chapter Five will assess. The triad is a strong diagnostic framework because it distinguishes power, constraint, and responsiveness and reveals their changing relationships. The critical question is how far its functional categories can travel before they compress the historical diversity that made the comparison possible.</w:t>
      </w:r>
    </w:p>
    <w:p>
      <w:r>
        <w:br w:type="page"/>
      </w:r>
    </w:p>
    <w:p>
      <w:pPr>
        <w:pStyle w:val="Heading1"/>
        <w:jc w:val="center"/>
      </w:pPr>
      <w:r>
        <w:rPr>
          <w:rFonts w:ascii="Times New Roman" w:hAnsi="Times New Roman"/>
          <w:i w:val="0"/>
          <w:sz w:val="28"/>
        </w:rPr>
        <w:t>CHAPTER FIVE: CRITICAL EVALUATION AND CONCLUSION</w:t>
      </w:r>
    </w:p>
    <w:p>
      <w:pPr>
        <w:pStyle w:val="Heading2"/>
      </w:pPr>
      <w:r>
        <w:rPr>
          <w:rFonts w:ascii="Times New Roman" w:hAnsi="Times New Roman"/>
          <w:i w:val="0"/>
          <w:sz w:val="24"/>
        </w:rPr>
        <w:t>5.1 Strengths of Fukuyama's Theory of Political Order</w:t>
      </w:r>
    </w:p>
    <w:p>
      <w:pPr>
        <w:widowControl/>
        <w:spacing w:before="0" w:after="0" w:line="480" w:lineRule="auto"/>
        <w:ind w:firstLine="720"/>
        <w:jc w:val="both"/>
      </w:pPr>
      <w:r>
        <w:rPr>
          <w:rFonts w:ascii="Times New Roman" w:hAnsi="Times New Roman"/>
          <w:i w:val="0"/>
          <w:sz w:val="24"/>
        </w:rPr>
        <w:t>The strongest feature of Fukuyama's theory is its refusal to identify political order with a single institutional virtue. A government may be democratic but administratively weak, legally constrained but incapable of enforcing rights, or powerful without meaningful limits on its rulers. By separating state capacity, rule of law, and political accountability, Fukuyama supplies a vocabulary for explaining these combinations rather than ranking every polity on one scale.</w:t>
      </w:r>
      <w:r>
        <w:rPr>
          <w:rStyle w:val="FootnoteReference"/>
        </w:rPr>
        <w:footnoteReference w:id="72"/>
      </w:r>
      <w:r>
        <w:rPr>
          <w:rFonts w:ascii="Times New Roman" w:hAnsi="Times New Roman"/>
          <w:i w:val="0"/>
          <w:sz w:val="24"/>
        </w:rPr>
        <w:t xml:space="preserve"> This differentiation is philosophically important because it prevents effectiveness, legality, and responsiveness from silently substituting for one another. It also exposes genuine conflicts among political goods. The power needed to implement law may become a source of arbitrary rule; legal and political checks that prevent arbitrariness may also obstruct coordinated action. The framework is therefore valuable not because it promises harmony, but because it identifies the tensions that any adequate account of political order must confront.</w:t>
      </w:r>
    </w:p>
    <w:p>
      <w:pPr>
        <w:widowControl/>
        <w:spacing w:before="0" w:after="0" w:line="480" w:lineRule="auto"/>
        <w:ind w:firstLine="720"/>
        <w:jc w:val="both"/>
      </w:pPr>
      <w:r>
        <w:rPr>
          <w:rFonts w:ascii="Times New Roman" w:hAnsi="Times New Roman"/>
          <w:i w:val="0"/>
          <w:sz w:val="24"/>
        </w:rPr>
        <w:t>This diagnostic value is strengthened by Fukuyama's historical method. Political institutions are not treated as devices that can simply be selected from an abstract menu. They are products of conflict, social organization, religious authority, inherited norms, administrative experimentation, and unintended consequences. The Chinese, Indian, Islamic, and Western European comparisons demonstrate that similar political problems may be addressed in different orders and by different mechanisms. Early Chinese rulers constructed considerable territorial and administrative capacity before autonomous law or representative accountability developed. In India, extensive states coexisted with durable normative and social orders whose authority was not reducible to royal command. Islamic military slavery reorganized recruitment and loyalty through coercive institutions that bypassed some inherited ties while creating new households. Western Europe's divided jurisdictions strengthened forms of law and corporate constraint before state consolidation was complete.</w:t>
      </w:r>
      <w:r>
        <w:rPr>
          <w:rStyle w:val="FootnoteReference"/>
        </w:rPr>
        <w:footnoteReference w:id="73"/>
      </w:r>
      <w:r>
        <w:rPr>
          <w:rFonts w:ascii="Times New Roman" w:hAnsi="Times New Roman"/>
          <w:i w:val="0"/>
          <w:sz w:val="24"/>
        </w:rPr>
        <w:t xml:space="preserve"> These are not interchangeable routes, and Fukuyama is at his best when comparison reveals the consequences of their differences.</w:t>
      </w:r>
    </w:p>
    <w:p>
      <w:pPr>
        <w:widowControl/>
        <w:spacing w:before="0" w:after="0" w:line="480" w:lineRule="auto"/>
        <w:ind w:firstLine="720"/>
        <w:jc w:val="both"/>
      </w:pPr>
      <w:r>
        <w:rPr>
          <w:rFonts w:ascii="Times New Roman" w:hAnsi="Times New Roman"/>
          <w:i w:val="0"/>
          <w:sz w:val="24"/>
        </w:rPr>
        <w:t>The historical account also improves political philosophy by placing institutions within human social life. Chapter Three showed that Fukuyama rejects both isolated individualism as a literal human beginning and biological reductionism as an adequate account of political development. Kin loyalty, reciprocity, status, norm-following, and group attachment are persistent resources of cooperation as well as pressures on public office. Institutions do not abolish these dispositions. They organize the terms under which personal obligations may influence public authority. This insight gives impersonality a more precise meaning. Impersonal administration is not the absence of social relations or human motives; it is an achievement in which office, rule, and public purpose have priority over family or client demands in specified decisions.</w:t>
      </w:r>
      <w:r>
        <w:rPr>
          <w:rStyle w:val="FootnoteReference"/>
        </w:rPr>
        <w:footnoteReference w:id="74"/>
      </w:r>
      <w:r>
        <w:rPr>
          <w:rFonts w:ascii="Times New Roman" w:hAnsi="Times New Roman"/>
          <w:i w:val="0"/>
          <w:sz w:val="24"/>
        </w:rPr>
        <w:t xml:space="preserve"> The same anthropology helps explain why patrimonial pressures recur without making their victory inevitable.</w:t>
      </w:r>
    </w:p>
    <w:p>
      <w:pPr>
        <w:widowControl/>
        <w:spacing w:before="0" w:after="0" w:line="480" w:lineRule="auto"/>
        <w:ind w:firstLine="720"/>
        <w:jc w:val="both"/>
      </w:pPr>
      <w:r>
        <w:rPr>
          <w:rFonts w:ascii="Times New Roman" w:hAnsi="Times New Roman"/>
          <w:i w:val="0"/>
          <w:sz w:val="24"/>
        </w:rPr>
        <w:t>A related strength is explanatory pluralism. Fukuyama assigns importance to warfare, religious ideas, material incentives, geography, institutional borrowing, leadership, and social structure, but he does not consistently reduce development to any one of them. War may stimulate extraction and administration without being sufficient or necessary for state formation. Religious institutions may legitimate rulers, organize law, or create autonomous authority, but religion does not operate through one political mechanism. Kinship can facilitate cooperation and administration as well as patronage and capture. This pluralism makes the theory less elegant than a single-cause model, but more responsive to the actual diversity of political formation. It also permits ideas to be causally important without detaching them from organizations and material conditions.</w:t>
      </w:r>
      <w:r>
        <w:rPr>
          <w:rStyle w:val="FootnoteReference"/>
        </w:rPr>
        <w:footnoteReference w:id="75"/>
      </w:r>
    </w:p>
    <w:p>
      <w:pPr>
        <w:widowControl/>
        <w:spacing w:before="0" w:after="0" w:line="480" w:lineRule="auto"/>
        <w:ind w:firstLine="720"/>
        <w:jc w:val="both"/>
      </w:pPr>
      <w:r>
        <w:rPr>
          <w:rFonts w:ascii="Times New Roman" w:hAnsi="Times New Roman"/>
          <w:i w:val="0"/>
          <w:sz w:val="24"/>
        </w:rPr>
        <w:t>Fukuyama further recognizes sequencing and reversibility. State capacity, law, and accountability need not arise together, and the order of their development affects later possibilities. Yet no institutional achievement is permanently secured. Rules may become rigid when circumstances change; elites may redirect public institutions toward private advantage; and formally modern organizations may be repatrimonialized. The conceptual connection between formation and decay is a major contribution. A theory that explained only institutional origins would risk treating development as an accomplished destination. Fukuyama instead asks how the same institutions that solve coordination problems generate new forms of power, dependence, and capture.</w:t>
      </w:r>
      <w:r>
        <w:rPr>
          <w:rStyle w:val="FootnoteReference"/>
        </w:rPr>
        <w:footnoteReference w:id="76"/>
      </w:r>
    </w:p>
    <w:p>
      <w:pPr>
        <w:widowControl/>
        <w:spacing w:before="0" w:after="0" w:line="480" w:lineRule="auto"/>
        <w:ind w:firstLine="720"/>
        <w:jc w:val="both"/>
      </w:pPr>
      <w:r>
        <w:rPr>
          <w:rFonts w:ascii="Times New Roman" w:hAnsi="Times New Roman"/>
          <w:i w:val="0"/>
          <w:sz w:val="24"/>
        </w:rPr>
        <w:t>These strengths explain why the triad should not be discarded merely because particular classifications or causal chains are disputed. Hewson's description of Fukuyama's evolutionary account as probabilistic, and Manning's characterization of the project as a middle-range effort between abstract theory and historical particularism, capture its best methodological ambition.</w:t>
      </w:r>
      <w:r>
        <w:rPr>
          <w:rStyle w:val="FootnoteReference"/>
        </w:rPr>
        <w:footnoteReference w:id="77"/>
      </w:r>
      <w:r>
        <w:rPr>
          <w:rFonts w:ascii="Times New Roman" w:hAnsi="Times New Roman"/>
          <w:i w:val="0"/>
          <w:sz w:val="24"/>
        </w:rPr>
        <w:t xml:space="preserve"> It seeks recurring mechanisms without claiming that every society moves through one fixed series of stages. Its broad categories make institutional comparison possible; its historical narrative shows that those categories are never instantiated in a social vacuum. The critical issue is consequently not whether abstraction occurs. Every comparative theory abstracts. The issue is whether the abstraction preserves the differences needed to explain the cases being compared.</w:t>
      </w:r>
    </w:p>
    <w:p>
      <w:pPr>
        <w:pStyle w:val="Heading2"/>
      </w:pPr>
      <w:r>
        <w:rPr>
          <w:rFonts w:ascii="Times New Roman" w:hAnsi="Times New Roman"/>
          <w:i w:val="0"/>
          <w:sz w:val="24"/>
        </w:rPr>
        <w:t>5.2 Critique of Fukuyama's Conception of State Institutions</w:t>
      </w:r>
    </w:p>
    <w:p>
      <w:pPr>
        <w:widowControl/>
        <w:spacing w:before="0" w:after="0" w:line="480" w:lineRule="auto"/>
        <w:ind w:firstLine="720"/>
        <w:jc w:val="both"/>
      </w:pPr>
      <w:r>
        <w:rPr>
          <w:rFonts w:ascii="Times New Roman" w:hAnsi="Times New Roman"/>
          <w:i w:val="0"/>
          <w:sz w:val="24"/>
        </w:rPr>
        <w:t>The principal limitation of Fukuyama's theory appears when its functional categories are asked to carry more explanatory weight than their internal distinctions can sustain. The objection is not that China, India, Islamic political orders, or Western Europe fail to reproduce pure ideal types. Ideal types are useful precisely because historical institutions are mixed. The stronger objection asks when a category that initially clarifies a political function begins to conceal differences relevant to the explanation. Four limit tests—the breadth of accountability, the classification of Chinese modernity, the treatment of India, and the Christian kinship sequence—show why the answer must be given case by case.</w:t>
      </w:r>
    </w:p>
    <w:p>
      <w:pPr>
        <w:widowControl/>
        <w:spacing w:before="0" w:after="0" w:line="480" w:lineRule="auto"/>
        <w:ind w:firstLine="720"/>
        <w:jc w:val="both"/>
      </w:pPr>
      <w:r>
        <w:rPr>
          <w:rFonts w:ascii="Times New Roman" w:hAnsi="Times New Roman"/>
          <w:i w:val="0"/>
          <w:sz w:val="24"/>
        </w:rPr>
        <w:t>Fukuyama deliberately uses accountability more broadly than theories that require an actor to provide information and justification to a forum capable of judgment and consequences. His substantive category includes rulers who understand themselves as responsible to public interests, as well as governments constrained through consultation, organized social power, or elections.</w:t>
      </w:r>
      <w:r>
        <w:rPr>
          <w:rStyle w:val="FootnoteReference"/>
        </w:rPr>
        <w:footnoteReference w:id="78"/>
      </w:r>
      <w:r>
        <w:rPr>
          <w:rFonts w:ascii="Times New Roman" w:hAnsi="Times New Roman"/>
          <w:i w:val="0"/>
          <w:sz w:val="24"/>
        </w:rPr>
        <w:t xml:space="preserve"> This breadth has a real advantage. A definition restricted to competitive elections would miss historically important mechanisms through which rulers responded to subjects, estates, towns, churches, or organized elites. It would also encourage the false conclusion that every non-electoral order is wholly unaccountable.</w:t>
      </w:r>
    </w:p>
    <w:p>
      <w:pPr>
        <w:widowControl/>
        <w:spacing w:before="0" w:after="0" w:line="480" w:lineRule="auto"/>
        <w:ind w:firstLine="720"/>
        <w:jc w:val="both"/>
      </w:pPr>
      <w:r>
        <w:rPr>
          <w:rFonts w:ascii="Times New Roman" w:hAnsi="Times New Roman"/>
          <w:i w:val="0"/>
          <w:sz w:val="24"/>
        </w:rPr>
        <w:t>The cost is reduced discrimination. Responsiveness concerns whether power attends to social demands; answerability concerns explanation and justification; sanctions concern enforceable consequences; representation concerns whose interests are institutionally present. A ruler may be responsive without having to answer to an independent forum, and may answer without facing removal or punishment. Bovens's actor–forum model makes this distinction especially clear.</w:t>
      </w:r>
      <w:r>
        <w:rPr>
          <w:rStyle w:val="FootnoteReference"/>
        </w:rPr>
        <w:footnoteReference w:id="79"/>
      </w:r>
      <w:r>
        <w:rPr>
          <w:rFonts w:ascii="Times New Roman" w:hAnsi="Times New Roman"/>
          <w:i w:val="0"/>
          <w:sz w:val="24"/>
        </w:rPr>
        <w:t xml:space="preserve"> Fukuyama can respond that political history requires a vocabulary broad enough to capture incomplete and non-electoral constraints. That response defeats the claim that he simply forgot sanctions, but it does not show that all these relations should bear the same name. The concept remains most useful when qualified by its mechanism: substantive responsiveness, elite constraint, answerability, downward sanction, or electoral accountability. Without such disaggregation, accountability risks becoming a general term for public-regarding government.</w:t>
      </w:r>
    </w:p>
    <w:p>
      <w:pPr>
        <w:widowControl/>
        <w:spacing w:before="0" w:after="0" w:line="480" w:lineRule="auto"/>
        <w:ind w:firstLine="720"/>
        <w:jc w:val="both"/>
      </w:pPr>
      <w:r>
        <w:rPr>
          <w:rFonts w:ascii="Times New Roman" w:hAnsi="Times New Roman"/>
          <w:i w:val="0"/>
          <w:sz w:val="24"/>
        </w:rPr>
        <w:t>The classification of early China presents a parallel problem. Fukuyama's description of Qin and Han China as the first modern state is coherent under a restricted Weberian criterion: centralized territorial authority administered through increasingly impersonal rules and officials recruited beyond hereditary aristocracy.</w:t>
      </w:r>
      <w:r>
        <w:rPr>
          <w:rStyle w:val="FootnoteReference"/>
        </w:rPr>
        <w:footnoteReference w:id="80"/>
      </w:r>
      <w:r>
        <w:rPr>
          <w:rFonts w:ascii="Times New Roman" w:hAnsi="Times New Roman"/>
          <w:i w:val="0"/>
          <w:sz w:val="24"/>
        </w:rPr>
        <w:t xml:space="preserve"> Specialist evidence supports early bureaucratic monarchy, extensive registration and extraction, and a remarkable degree of administrative reach. The objection therefore cannot be that nothing institutionally distinctive occurred. Nor does the absence of liberal rights, elections, or autonomous rule of law refute a definition that does not include them.</w:t>
      </w:r>
    </w:p>
    <w:p>
      <w:pPr>
        <w:widowControl/>
        <w:spacing w:before="0" w:after="0" w:line="480" w:lineRule="auto"/>
        <w:ind w:firstLine="720"/>
        <w:jc w:val="both"/>
      </w:pPr>
      <w:r>
        <w:rPr>
          <w:rFonts w:ascii="Times New Roman" w:hAnsi="Times New Roman"/>
          <w:i w:val="0"/>
          <w:sz w:val="24"/>
        </w:rPr>
        <w:t>The difficulty lies in the surplus meanings carried by the word “modern.” Administrative modernity is not constitutional, liberal, democratic, social, economic, or national modernity. Even within the administrative dimension, Qin and Han institutions retained hereditary rank, elite-family competition, personal loyalty, and uneven recruitment. Calling the system modern can isolate a real innovation while encouraging readers to import properties that the stipulated definition excludes. A well-informed Fukuyamian may reply that terminological discipline is the reader's responsibility and that “administratively modern” permits comparison across conventional period boundaries. This reply substantially limits the objection. The residual criticism is not inconsistency but classificatory risk: a provocative label may do more rhetorical work than the qualified historical criterion warrants. The defensible conclusion is that early China was administratively modern under Fukuyama's restricted criteria, not that it instantiated the wider institutional complex normally associated with political modernity.</w:t>
      </w:r>
      <w:r>
        <w:rPr>
          <w:rStyle w:val="FootnoteReference"/>
        </w:rPr>
        <w:footnoteReference w:id="81"/>
      </w:r>
    </w:p>
    <w:p>
      <w:pPr>
        <w:widowControl/>
        <w:spacing w:before="0" w:after="0" w:line="480" w:lineRule="auto"/>
        <w:ind w:firstLine="720"/>
        <w:jc w:val="both"/>
      </w:pPr>
      <w:r>
        <w:rPr>
          <w:rFonts w:ascii="Times New Roman" w:hAnsi="Times New Roman"/>
          <w:i w:val="0"/>
          <w:sz w:val="24"/>
        </w:rPr>
        <w:t>India tests the explanatory force of civilizational contrast. Fukuyama identifies an important pattern: extensive political authority coexisted with durable religious and social rules that rulers did not wholly create or control. Yet the evidence does not justify treating India as lacking centralized states, nor does it establish Brahmanical authority or caste as the primary cause of weaker or less durable centralization. Mauryan rule was extensive but regionally uneven; royal patronage also helped constitute Brahmin privilege; and chronology, ecology, communications, war, and agrarian organization remain rival or interacting mechanisms.</w:t>
      </w:r>
      <w:r>
        <w:rPr>
          <w:rStyle w:val="FootnoteReference"/>
        </w:rPr>
        <w:footnoteReference w:id="82"/>
      </w:r>
      <w:r>
        <w:rPr>
          <w:rFonts w:ascii="Times New Roman" w:hAnsi="Times New Roman"/>
          <w:i w:val="0"/>
          <w:sz w:val="24"/>
        </w:rPr>
        <w:t xml:space="preserve"> Fukuyama can reasonably answer that macrohistory compares dominant institutional tendencies rather than denying every exception. That defence preserves the contrast between relatively autonomous social order and Chinese state-centred rule. It does not, however, establish the direction or weight of causation. The Indian case therefore supports a comparative observation more securely than a civilizational causal hierarchy.</w:t>
      </w:r>
    </w:p>
    <w:p>
      <w:pPr>
        <w:widowControl/>
        <w:spacing w:before="0" w:after="0" w:line="480" w:lineRule="auto"/>
        <w:ind w:firstLine="720"/>
        <w:jc w:val="both"/>
      </w:pPr>
      <w:r>
        <w:rPr>
          <w:rFonts w:ascii="Times New Roman" w:hAnsi="Times New Roman"/>
          <w:i w:val="0"/>
          <w:sz w:val="24"/>
        </w:rPr>
        <w:t>The Christian kinship argument exposes the same problem across a longer chain. Ecclesiastical authorities promulgated distinctive rules concerning marriage, consanguinity, inheritance, and family formation. Historical and cross-regional scholarship gives qualified support to the proposition that prolonged exposure to this programme was associated with weaker intensive kinship. It is further plausible that altered kin organization affected property, corporate life, and the environment in which impersonal institutions developed.</w:t>
      </w:r>
      <w:r>
        <w:rPr>
          <w:rStyle w:val="FootnoteReference"/>
        </w:rPr>
        <w:footnoteReference w:id="83"/>
      </w:r>
      <w:r>
        <w:rPr>
          <w:rFonts w:ascii="Times New Roman" w:hAnsi="Times New Roman"/>
          <w:i w:val="0"/>
          <w:sz w:val="24"/>
        </w:rPr>
        <w:t xml:space="preserve"> Each step, however, introduces variation in enforcement, region, class, household form, and competing causes. Kinship persisted and changed rather than disappearing.</w:t>
      </w:r>
    </w:p>
    <w:p>
      <w:pPr>
        <w:widowControl/>
        <w:spacing w:before="0" w:after="0" w:line="480" w:lineRule="auto"/>
        <w:ind w:firstLine="720"/>
        <w:jc w:val="both"/>
      </w:pPr>
      <w:r>
        <w:rPr>
          <w:rFonts w:ascii="Times New Roman" w:hAnsi="Times New Roman"/>
          <w:i w:val="0"/>
          <w:sz w:val="24"/>
        </w:rPr>
        <w:t>Fukuyama's strongest response is methodological. Macrohistory cannot demand experimental isolation for every social transformation. It must synthesize specialist findings and trace mechanisms whose effects unfold across long periods. This response is persuasive against the demand for impossible certainty. Still, the degree of confidence appropriate to an early link cannot simply be transferred to a distant political outcome. Church regulation of marriage is better established than Church-caused kinship weakening; kinship reorganization is better supported than its sufficiency for individualism or impersonal politics. Macrohistorical breadth is legitimate, but causal confidence should decrease as distance and the number of intervening mechanisms increase.</w:t>
      </w:r>
    </w:p>
    <w:p>
      <w:pPr>
        <w:widowControl/>
        <w:spacing w:before="0" w:after="0" w:line="480" w:lineRule="auto"/>
        <w:ind w:firstLine="720"/>
        <w:jc w:val="both"/>
      </w:pPr>
      <w:r>
        <w:rPr>
          <w:rFonts w:ascii="Times New Roman" w:hAnsi="Times New Roman"/>
          <w:i w:val="0"/>
          <w:sz w:val="24"/>
        </w:rPr>
        <w:t>These limit tests identify a general weakness without turning the chapter into a prosecution. Fukuyama's categories continue to clarify administrative capacity, legal autonomy, social constraint, and public responsiveness. The criticisms succeed only where classification substitutes for specification or where a long sequence is narrated with the confidence appropriate to its strongest component link. They do not show that ideal types are useless or that one historical complication destroys the theory. They show that the theory must distinguish conceptual stipulation from ordinary meaning, comparative pattern from causal priority, and plausible mechanism from demonstrated chain.</w:t>
      </w:r>
    </w:p>
    <w:p>
      <w:pPr>
        <w:widowControl/>
        <w:spacing w:before="0" w:after="0" w:line="480" w:lineRule="auto"/>
        <w:ind w:firstLine="720"/>
        <w:jc w:val="both"/>
      </w:pPr>
      <w:r>
        <w:rPr>
          <w:rFonts w:ascii="Times New Roman" w:hAnsi="Times New Roman"/>
          <w:i w:val="0"/>
          <w:sz w:val="24"/>
        </w:rPr>
        <w:t>A final boundary concerns normativity. State capacity, legal constraint, and accountability identify functions relevant to political order, but successful performance does not by itself settle justice, rights, democratic equality, representation, distribution, legitimate coercion, or political obligation. A capable state can pursue unjust purposes; an inherited law can be stable without being legitimate; a government can answer effectively to a narrow constituency. Fukuyama may respond, correctly, that a theory of political development need not provide a complete normative philosophy. The point is therefore a scope boundary before it is a defect. The framework explains important conditions under which public power operates, while the ends and justification of that power require additional argument. The next sections ask whether this bounded framework nevertheless directs diverse histories toward a privileged developmental endpoint.</w:t>
      </w:r>
    </w:p>
    <w:p>
      <w:pPr>
        <w:pStyle w:val="Heading2"/>
      </w:pPr>
      <w:r>
        <w:rPr>
          <w:rFonts w:ascii="Times New Roman" w:hAnsi="Times New Roman"/>
          <w:i w:val="0"/>
          <w:sz w:val="24"/>
        </w:rPr>
        <w:t>5.3 The Problem of Historical Determinism</w:t>
      </w:r>
    </w:p>
    <w:p>
      <w:pPr>
        <w:widowControl/>
        <w:spacing w:before="0" w:after="0" w:line="480" w:lineRule="auto"/>
        <w:ind w:firstLine="720"/>
        <w:jc w:val="both"/>
      </w:pPr>
      <w:r>
        <w:rPr>
          <w:rFonts w:ascii="Times New Roman" w:hAnsi="Times New Roman"/>
          <w:i w:val="0"/>
          <w:sz w:val="24"/>
        </w:rPr>
        <w:t>Strict historical determinism is not a fair description of Fukuyama's theory. Determinism would require political outcomes to follow necessarily from antecedent conditions or a fixed law of development. Fukuyama instead emphasizes contingency, multiple causes, different institutional sequences, borrowing, unintended consequences, unsuccessful transitions, agency, and reversibility. He states that inherited paths constrain possibilities without determining societies' futures, and his evolutionary analogy relies on variation, selection, and adaptation rather than a programmed destination.</w:t>
      </w:r>
      <w:r>
        <w:rPr>
          <w:rStyle w:val="FootnoteReference"/>
        </w:rPr>
        <w:footnoteReference w:id="84"/>
      </w:r>
      <w:r>
        <w:rPr>
          <w:rFonts w:ascii="Times New Roman" w:hAnsi="Times New Roman"/>
          <w:i w:val="0"/>
          <w:sz w:val="24"/>
        </w:rPr>
        <w:t xml:space="preserve"> Volume II makes the point more explicit by distinguishing purposive political change from random biological mutation and by allowing both divergence and possible convergence.</w:t>
      </w:r>
      <w:r>
        <w:rPr>
          <w:rStyle w:val="FootnoteReference"/>
        </w:rPr>
        <w:footnoteReference w:id="85"/>
      </w:r>
      <w:r>
        <w:rPr>
          <w:rFonts w:ascii="Times New Roman" w:hAnsi="Times New Roman"/>
          <w:i w:val="0"/>
          <w:sz w:val="24"/>
        </w:rPr>
        <w:t xml:space="preserve"> The claim that his theory simply makes every society pass through one necessary series of stages must therefore be rejected.</w:t>
      </w:r>
    </w:p>
    <w:p>
      <w:pPr>
        <w:widowControl/>
        <w:spacing w:before="0" w:after="0" w:line="480" w:lineRule="auto"/>
        <w:ind w:firstLine="720"/>
        <w:jc w:val="both"/>
      </w:pPr>
      <w:r>
        <w:rPr>
          <w:rFonts w:ascii="Times New Roman" w:hAnsi="Times New Roman"/>
          <w:i w:val="0"/>
          <w:sz w:val="24"/>
        </w:rPr>
        <w:t>Rejecting determinism does not remove every concern generated by the inherited section heading. Determinism, teleology, functionalism, convergence, retrospective selection, and path dependence are different propositions. Path dependence means that earlier choices and structures constrain later options; it does not make those options singular. Functional explanation identifies an institution partly through the political problem it solves; it does not by itself claim that the institution had to emerge. Convergence predicts or interprets movement toward similar solutions; it can remain probabilistic. Teleology is stronger where history is organized by an endpoint that supplies direction or evaluative meaning. Retrospective selection occurs when successful cases are chosen and interpreted through the outcome they eventually achieved.</w:t>
      </w:r>
    </w:p>
    <w:p>
      <w:pPr>
        <w:widowControl/>
        <w:spacing w:before="0" w:after="0" w:line="480" w:lineRule="auto"/>
        <w:ind w:firstLine="720"/>
        <w:jc w:val="both"/>
      </w:pPr>
      <w:r>
        <w:rPr>
          <w:rFonts w:ascii="Times New Roman" w:hAnsi="Times New Roman"/>
          <w:i w:val="0"/>
          <w:sz w:val="24"/>
        </w:rPr>
        <w:t>The strongest criticism concerns the interaction among the last three. Fukuyama begins from recurrent problems—coercion, scale, legal constraint, elite capture, and responsiveness—and identifies institutional arrangements that solve them comparatively well. “Getting to Denmark” condenses those arrangements into a benchmark of prosperity, stability, democracy, and effective government. The benchmark can guide diagnosis without predicting that every society will reach it. Yet it can also influence case selection and classification: histories become intelligible according to whether they produced the state, rule of law, and accountability in recognizable forms. Fukuyama's disclosed use of successful state-building cases in one comparative exercise illustrates the danger. Selection may reveal a mechanism, but it cannot by itself establish how frequently the mechanism operates or why apparently unsuccessful alternatives should be classified as failures.</w:t>
      </w:r>
      <w:r>
        <w:rPr>
          <w:rStyle w:val="FootnoteReference"/>
        </w:rPr>
        <w:footnoteReference w:id="86"/>
      </w:r>
    </w:p>
    <w:p>
      <w:pPr>
        <w:widowControl/>
        <w:spacing w:before="0" w:after="0" w:line="480" w:lineRule="auto"/>
        <w:ind w:firstLine="720"/>
        <w:jc w:val="both"/>
      </w:pPr>
      <w:r>
        <w:rPr>
          <w:rFonts w:ascii="Times New Roman" w:hAnsi="Times New Roman"/>
          <w:i w:val="0"/>
          <w:sz w:val="24"/>
        </w:rPr>
        <w:t>Direct scholarship reinforces this bounded concern. Hewson accepts the probabilistic character of Fukuyama's biological account while questioning universal convergence and the triad's ability to capture later political innovation. Mungiu-Pippidi argues that the two-volume theory displays multiple paths but lacks a fully persuasive classification scale and evidential basis for convergence. Melleuish's accessible abstract similarly identifies a universal evolutionary model as the target of historical criticism, although the full premises of his argument have not been verified and are not attributed here.</w:t>
      </w:r>
      <w:r>
        <w:rPr>
          <w:rStyle w:val="FootnoteReference"/>
        </w:rPr>
        <w:footnoteReference w:id="87"/>
      </w:r>
      <w:r>
        <w:rPr>
          <w:rFonts w:ascii="Times New Roman" w:hAnsi="Times New Roman"/>
          <w:i w:val="0"/>
          <w:sz w:val="24"/>
        </w:rPr>
        <w:t xml:space="preserve"> These criticisms do not demonstrate hidden necessity. They question how historical variety is organized and what warrants movement from recurring functions to a common endpoint.</w:t>
      </w:r>
    </w:p>
    <w:p>
      <w:pPr>
        <w:widowControl/>
        <w:spacing w:before="0" w:after="0" w:line="480" w:lineRule="auto"/>
        <w:ind w:firstLine="720"/>
        <w:jc w:val="both"/>
      </w:pPr>
      <w:r>
        <w:rPr>
          <w:rFonts w:ascii="Times New Roman" w:hAnsi="Times New Roman"/>
          <w:i w:val="0"/>
          <w:sz w:val="24"/>
        </w:rPr>
        <w:t>Fukuyama's strongest response is substantial. Recurrent solutions to recurrent political problems do not imply that history is predetermined. Some arrangements may enable collective action, constrain predation, and correct rulers more effectively than others. Societies can discover, borrow, combine, or lose these arrangements through contingent processes. Evolutionary comparison can accordingly study variation and selection while recognizing extinction, maladaptation, and divergence. Macrohistory would lose much of its explanatory purpose if every institutional form were treated as incomparable merely because it arose in a unique context.</w:t>
      </w:r>
    </w:p>
    <w:p>
      <w:pPr>
        <w:widowControl/>
        <w:spacing w:before="0" w:after="0" w:line="480" w:lineRule="auto"/>
        <w:ind w:firstLine="720"/>
        <w:jc w:val="both"/>
      </w:pPr>
      <w:r>
        <w:rPr>
          <w:rFonts w:ascii="Times New Roman" w:hAnsi="Times New Roman"/>
          <w:i w:val="0"/>
          <w:sz w:val="24"/>
        </w:rPr>
        <w:t>That response defeats the determinism charge and limits the teleology objection, but it leaves a residual question. Is the endpoint only an analytical benchmark, or does it quietly decide which historical changes count as development before their mechanisms have been assessed? The evidence supports a bounded verdict. Fukuyama is not strictly deterministic, and convergence need not mean inevitable uniformity. His framework nevertheless contains functionalist and convergence-oriented pressures that can encourage retrospective interpretation. The proper safeguard is to treat the triad as a set of comparative questions rather than a destination against which every history is ranked.</w:t>
      </w:r>
    </w:p>
    <w:p>
      <w:pPr>
        <w:pStyle w:val="Heading2"/>
      </w:pPr>
      <w:r>
        <w:rPr>
          <w:rFonts w:ascii="Times New Roman" w:hAnsi="Times New Roman"/>
          <w:i w:val="0"/>
          <w:sz w:val="24"/>
        </w:rPr>
        <w:t>5.4 Universalism and Alternative Paths to Political Development</w:t>
      </w:r>
    </w:p>
    <w:p>
      <w:pPr>
        <w:widowControl/>
        <w:spacing w:before="0" w:after="0" w:line="480" w:lineRule="auto"/>
        <w:ind w:firstLine="720"/>
        <w:jc w:val="both"/>
      </w:pPr>
      <w:r>
        <w:rPr>
          <w:rFonts w:ascii="Times New Roman" w:hAnsi="Times New Roman"/>
          <w:i w:val="0"/>
          <w:sz w:val="24"/>
        </w:rPr>
        <w:t>The determinism analysis permits a more exact treatment of universalism. Four claims must be separated: human societies may confront widespread political problems; some institutional functions may recur; identical institutional forms may be universally required; and all societies may follow a universal historical sequence. The first proposition is highly plausible. Problems of collective action, coercion, legitimacy, coordination, elite capture, and responsiveness arise wherever durable public authority is organized. The second is defensible at an appropriate level of abstraction: political orders need some means of acting, regulating power, and relating rulers to governed interests. Neither proposition entails universal forms or sequences.</w:t>
      </w:r>
    </w:p>
    <w:p>
      <w:pPr>
        <w:widowControl/>
        <w:spacing w:before="0" w:after="0" w:line="480" w:lineRule="auto"/>
        <w:ind w:firstLine="720"/>
        <w:jc w:val="both"/>
      </w:pPr>
      <w:r>
        <w:rPr>
          <w:rFonts w:ascii="Times New Roman" w:hAnsi="Times New Roman"/>
          <w:i w:val="0"/>
          <w:sz w:val="24"/>
        </w:rPr>
        <w:t>The comparative cases establish the distinction. China developed centralized administration through warfare, territorial reform, and bureaucratic innovation without first developing autonomous rule of law. India combined large-scale rule with durable social and religious authorities whose relationship to the state varied across time and region. Islamic rulers used religious community, military slavery, and household organization to reconstruct political loyalty, with centralizing and repatrimonializing effects. Western Europe developed divided jurisdictions, corporate bodies, and legal constraints before achieving uniformly strong territorial states.</w:t>
      </w:r>
      <w:r>
        <w:rPr>
          <w:rStyle w:val="FootnoteReference"/>
        </w:rPr>
        <w:footnoteReference w:id="88"/>
      </w:r>
      <w:r>
        <w:rPr>
          <w:rFonts w:ascii="Times New Roman" w:hAnsi="Times New Roman"/>
          <w:i w:val="0"/>
          <w:sz w:val="24"/>
        </w:rPr>
        <w:t xml:space="preserve"> These cases do not express timeless civilizational essences. They demonstrate that capacity, constraint, and responsiveness can be institutionalized through different organizations and causal sequences.</w:t>
      </w:r>
    </w:p>
    <w:p>
      <w:pPr>
        <w:widowControl/>
        <w:spacing w:before="0" w:after="0" w:line="480" w:lineRule="auto"/>
        <w:ind w:firstLine="720"/>
        <w:jc w:val="both"/>
      </w:pPr>
      <w:r>
        <w:rPr>
          <w:rFonts w:ascii="Times New Roman" w:hAnsi="Times New Roman"/>
          <w:i w:val="0"/>
          <w:sz w:val="24"/>
        </w:rPr>
        <w:t>Fukuyama can defend his categories as ideal types. An ideal type is not refuted because no society perfectly instantiates it. Its purpose is to isolate a feature—administrative capacity, legal supremacy, answerability—that mixed historical cases combine in different degrees. On this view, the triad allows comparison precisely because it does not require an English parliament, a Chinese bureaucracy, or a particular ecclesiastical jurisdiction to be reproduced everywhere. The same function can be realized through more than one form.</w:t>
      </w:r>
    </w:p>
    <w:p>
      <w:pPr>
        <w:widowControl/>
        <w:spacing w:before="0" w:after="0" w:line="480" w:lineRule="auto"/>
        <w:ind w:firstLine="720"/>
        <w:jc w:val="both"/>
      </w:pPr>
      <w:r>
        <w:rPr>
          <w:rFonts w:ascii="Times New Roman" w:hAnsi="Times New Roman"/>
          <w:i w:val="0"/>
          <w:sz w:val="24"/>
        </w:rPr>
        <w:t>This defence must be taken seriously. The criticism that reality is more complicated than theory is trivial unless the omitted complexity changes the explanation. The stronger test asks whether the abstraction preserves causal differences. Calling both moral responsiveness and electoral removal “accountability,” for example, may identify a shared orientation toward governed interests, but it can obscure who demands an account and what happens when rulers refuse. Calling Qin/Han China modern may identify administrative innovation while concealing forms of hereditary and personal power relevant to impersonality. Describing Church policy as kinship weakening may conceal regional variation and the difference between dismantling lineages and reorganizing family relations. In such cases, abstraction clarifies one function while risking the erasure of the mechanism that produced or limited it.</w:t>
      </w:r>
    </w:p>
    <w:p>
      <w:pPr>
        <w:widowControl/>
        <w:spacing w:before="0" w:after="0" w:line="480" w:lineRule="auto"/>
        <w:ind w:firstLine="720"/>
        <w:jc w:val="both"/>
      </w:pPr>
      <w:r>
        <w:rPr>
          <w:rFonts w:ascii="Times New Roman" w:hAnsi="Times New Roman"/>
          <w:i w:val="0"/>
          <w:sz w:val="24"/>
        </w:rPr>
        <w:t>The appropriate universalism is therefore layered. Political problems may be widespread; functions can be compared; forms remain plural; sequences remain contingent. This position retains Fukuyama's most important comparative insight while rejecting the inference that similar problems require identical institutional packages. It also reframes convergence. Political orders may converge functionally in limited respects—such as developing professional administration—while diverging in legal authority, democratic control, social organization, or normative purpose. Convergence along one dimension does not establish convergence of political order as a whole.</w:t>
      </w:r>
    </w:p>
    <w:p>
      <w:pPr>
        <w:widowControl/>
        <w:spacing w:before="0" w:after="0" w:line="480" w:lineRule="auto"/>
        <w:ind w:firstLine="720"/>
        <w:jc w:val="both"/>
      </w:pPr>
      <w:r>
        <w:rPr>
          <w:rFonts w:ascii="Times New Roman" w:hAnsi="Times New Roman"/>
          <w:i w:val="0"/>
          <w:sz w:val="24"/>
        </w:rPr>
        <w:t>Historical plurality consequently matters to philosophy, not only to descriptive history. Different mechanisms distribute power and responsibility differently even when they perform related functions. A bureaucracy created through military competition, a legal order sustained by religious jurisdiction, and accountability won through bargaining among organized estates each carry distinct relations of coercion, membership, and exclusion. The triad remains useful when it enables those differences to be compared. It becomes misleading when the functional label is treated as the complete explanation. Universal political problems support diagnostic comparison; they do not prove a universal institutional form or evolutionary sequence.</w:t>
      </w:r>
    </w:p>
    <w:p>
      <w:pPr>
        <w:pStyle w:val="Heading2"/>
      </w:pPr>
      <w:r>
        <w:rPr>
          <w:rFonts w:ascii="Times New Roman" w:hAnsi="Times New Roman"/>
          <w:i w:val="0"/>
          <w:sz w:val="24"/>
        </w:rPr>
        <w:t>5.5 Relevance of Fukuyama's Theory to Contemporary Political Philosophy</w:t>
      </w:r>
    </w:p>
    <w:p>
      <w:pPr>
        <w:widowControl/>
        <w:spacing w:before="0" w:after="0" w:line="480" w:lineRule="auto"/>
        <w:ind w:firstLine="720"/>
        <w:jc w:val="both"/>
      </w:pPr>
      <w:r>
        <w:rPr>
          <w:rFonts w:ascii="Times New Roman" w:hAnsi="Times New Roman"/>
          <w:i w:val="0"/>
          <w:sz w:val="24"/>
        </w:rPr>
        <w:t>Fukuyama's framework remains relevant because it changes the questions asked about contemporary political order. The presence of elections does not answer whether a state can implement collective decisions. Formal legality does not establish that law effectively binds incumbents. Administrative strength does not show that public power responds to the governed. The triad therefore directs inquiry beyond the single question whether a regime is democratic. It asks: can the state act, is its action legally bound, to whom must it respond, are offices administered impersonally, and can its institutions adapt without being captured?</w:t>
      </w:r>
      <w:r>
        <w:rPr>
          <w:rStyle w:val="FootnoteReference"/>
        </w:rPr>
        <w:footnoteReference w:id="89"/>
      </w:r>
    </w:p>
    <w:p>
      <w:pPr>
        <w:widowControl/>
        <w:spacing w:before="0" w:after="0" w:line="480" w:lineRule="auto"/>
        <w:ind w:firstLine="720"/>
        <w:jc w:val="both"/>
      </w:pPr>
      <w:r>
        <w:rPr>
          <w:rFonts w:ascii="Times New Roman" w:hAnsi="Times New Roman"/>
          <w:i w:val="0"/>
          <w:sz w:val="24"/>
        </w:rPr>
        <w:t>These questions reveal several conceptual pathologies without requiring a new empirical case study. Capacity without constraint can make arbitrary policy effective. Constraint without capacity can render rights and public decisions merely declaratory. Electoral accountability without professional administration can produce mandates that the state cannot carry out. Administrative autonomy can protect expertise while weakening downward control. Legalization and veto points can prevent abuse while also making adaptation difficult. Democratic procedure can coexist with patrimonial capture when public office is allocated through personal or client relations. The value of the framework lies in distinguishing these combinations rather than assigning all of them the same diagnosis.</w:t>
      </w:r>
    </w:p>
    <w:p>
      <w:pPr>
        <w:widowControl/>
        <w:spacing w:before="0" w:after="0" w:line="480" w:lineRule="auto"/>
        <w:ind w:firstLine="720"/>
        <w:jc w:val="both"/>
      </w:pPr>
      <w:r>
        <w:rPr>
          <w:rFonts w:ascii="Times New Roman" w:hAnsi="Times New Roman"/>
          <w:i w:val="0"/>
          <w:sz w:val="24"/>
        </w:rPr>
        <w:t>The theory is equally relevant to debates about institutional reform. Fukuyama's historical account warns against transferring a formal institution while ignoring the sequence and social relations that sustain it. A civil-service rule, court, election, or anti-corruption office may perform differently where administrative capacity, organized social power, and informal obligation differ. This does not prohibit institutional borrowing; Fukuyama explicitly treats borrowing and learning as sources of change. It requires reform arguments to specify mechanisms rather than infer results from institutional names.</w:t>
      </w:r>
    </w:p>
    <w:p>
      <w:pPr>
        <w:widowControl/>
        <w:spacing w:before="0" w:after="0" w:line="480" w:lineRule="auto"/>
        <w:ind w:firstLine="720"/>
        <w:jc w:val="both"/>
      </w:pPr>
      <w:r>
        <w:rPr>
          <w:rFonts w:ascii="Times New Roman" w:hAnsi="Times New Roman"/>
          <w:i w:val="0"/>
          <w:sz w:val="24"/>
        </w:rPr>
        <w:t>The contemporary relevance is nevertheless bounded by the normative limit already identified. The triad does not by itself decide how much capacity is legitimate, which rights law should protect, who deserves political standing, how resources should be distributed, or what equality requires. Even the language of balance does not supply a formula for resolving conflict among effectiveness, restraint, and participation. Fukuyama can answer that institutions capable of action and correction are conditions for pursuing many normative purposes, not substitutes for those purposes. That answer is persuasive. Rights require implementation; democratic choices require administration; and public power requires limits. But necessary institutional conditions do not determine the ends for which they should be used.</w:t>
      </w:r>
    </w:p>
    <w:p>
      <w:pPr>
        <w:widowControl/>
        <w:spacing w:before="0" w:after="0" w:line="480" w:lineRule="auto"/>
        <w:ind w:firstLine="720"/>
        <w:jc w:val="both"/>
      </w:pPr>
      <w:r>
        <w:rPr>
          <w:rFonts w:ascii="Times New Roman" w:hAnsi="Times New Roman"/>
          <w:i w:val="0"/>
          <w:sz w:val="24"/>
        </w:rPr>
        <w:t>The framework's enduring relevance is thus diagnostic and agenda-setting. It identifies dimensions along which political orders can fail and shows why improvement on one dimension may create pressure on another. It also directs attention to decay as maladaptation and public capture rather than only constitutional breakdown. Contemporary political philosophy gains from these distinctions while retaining responsibility for questions of justice, legitimacy, equality, and obligation that the developmental framework does not settle. The governing thesis emerges from this result: the triad remains powerful when it structures inquiry, but becomes too ambitious when treated as a universal historical destination or a complete account of political value.</w:t>
      </w:r>
    </w:p>
    <w:p>
      <w:pPr>
        <w:pStyle w:val="Heading2"/>
      </w:pPr>
      <w:r>
        <w:rPr>
          <w:rFonts w:ascii="Times New Roman" w:hAnsi="Times New Roman"/>
          <w:i w:val="0"/>
          <w:sz w:val="24"/>
        </w:rPr>
        <w:t>5.6 Summary</w:t>
      </w:r>
    </w:p>
    <w:p>
      <w:pPr>
        <w:widowControl/>
        <w:spacing w:before="0" w:after="0" w:line="480" w:lineRule="auto"/>
        <w:ind w:firstLine="720"/>
        <w:jc w:val="both"/>
      </w:pPr>
      <w:r>
        <w:rPr>
          <w:rFonts w:ascii="Times New Roman" w:hAnsi="Times New Roman"/>
          <w:i w:val="0"/>
          <w:sz w:val="24"/>
        </w:rPr>
        <w:t>This investigation has found that Fukuyama's most important contribution is the differentiation of political power into three problems that are too often collapsed. State capacity concerns whether public authority can act; rule of law concerns whether rulers are subject to authoritative rules; political accountability concerns the relation between rulers and those whose interests their power affects. These dimensions interact, but success in one does not guarantee success in the others. Their differentiation makes it possible to diagnose capable despotism, legally constrained weakness, ineffective democracy, elite capture, and obstructive institutional excess without treating them as one undivided failure.</w:t>
      </w:r>
    </w:p>
    <w:p>
      <w:pPr>
        <w:widowControl/>
        <w:spacing w:before="0" w:after="0" w:line="480" w:lineRule="auto"/>
        <w:ind w:firstLine="720"/>
        <w:jc w:val="both"/>
      </w:pPr>
      <w:r>
        <w:rPr>
          <w:rFonts w:ascii="Times New Roman" w:hAnsi="Times New Roman"/>
          <w:i w:val="0"/>
          <w:sz w:val="24"/>
        </w:rPr>
        <w:t>The historical inquiry also established that political institutions arise from socially embedded and path-dependent processes. Human beings are naturally social, but kinship, reciprocity, norms, and status do not mechanically determine one political order. Warfare, religious authority, administration, material interests, legal organization, borrowing, and agency combine differently across cases. China, India, Islamic political orders, and Western Europe therefore illuminate alternative mechanisms and sequences rather than successive stages on a common ladder.</w:t>
      </w:r>
    </w:p>
    <w:p>
      <w:pPr>
        <w:widowControl/>
        <w:spacing w:before="0" w:after="0" w:line="480" w:lineRule="auto"/>
        <w:ind w:firstLine="720"/>
        <w:jc w:val="both"/>
      </w:pPr>
      <w:r>
        <w:rPr>
          <w:rFonts w:ascii="Times New Roman" w:hAnsi="Times New Roman"/>
          <w:i w:val="0"/>
          <w:sz w:val="24"/>
        </w:rPr>
        <w:t>Several stronger formulations were rejected. The evidence does not support strict historical determinism, a necessary universal sequence, comprehensively modern ancient China, stateless India, the simple destruction of kinship by the Western Church, or the equation of every responsiveness mechanism with enforceable accountability. Nor can institutional origins or successful functions establish political legitimacy by themselves. These rejections do not empty Fukuyama's theory of content. They identify where its claims must be narrowed.</w:t>
      </w:r>
    </w:p>
    <w:p>
      <w:pPr>
        <w:widowControl/>
        <w:spacing w:before="0" w:after="0" w:line="480" w:lineRule="auto"/>
        <w:ind w:firstLine="720"/>
        <w:jc w:val="both"/>
      </w:pPr>
      <w:r>
        <w:rPr>
          <w:rFonts w:ascii="Times New Roman" w:hAnsi="Times New Roman"/>
          <w:i w:val="0"/>
          <w:sz w:val="24"/>
        </w:rPr>
        <w:t>What remains defensible is substantial. The triad captures recurring functions of political order and reveals their permanent tensions. Fukuyama's historical approach explains why institutional achievements are difficult to construct, why their sequence matters, and why they remain vulnerable to rigidity and capture. His ideal types permit comparison across mixed cases. Their limit appears when a shared functional label replaces analysis of the distinct mechanism, or when a plausible sequence is presented with more confidence than its distant causal links allow.</w:t>
      </w:r>
    </w:p>
    <w:p>
      <w:pPr>
        <w:widowControl/>
        <w:spacing w:before="0" w:after="0" w:line="480" w:lineRule="auto"/>
        <w:ind w:firstLine="720"/>
        <w:jc w:val="both"/>
      </w:pPr>
      <w:r>
        <w:rPr>
          <w:rFonts w:ascii="Times New Roman" w:hAnsi="Times New Roman"/>
          <w:i w:val="0"/>
          <w:sz w:val="24"/>
        </w:rPr>
        <w:t>The result is neither unqualified endorsement nor wholesale rejection. Fukuyama provides a persuasive diagnostic vocabulary and an ambitious account of institutional formation and decay. The comparison requires historical qualification, conceptual disaggregation, and independent normative judgment. Once those controls are imposed, the framework remains philosophically valuable without being accepted as a universal evolutionary map.</w:t>
      </w:r>
    </w:p>
    <w:p>
      <w:pPr>
        <w:pStyle w:val="Heading2"/>
      </w:pPr>
      <w:r>
        <w:rPr>
          <w:rFonts w:ascii="Times New Roman" w:hAnsi="Times New Roman"/>
          <w:i w:val="0"/>
          <w:sz w:val="24"/>
        </w:rPr>
        <w:t>5.7 Conclusion</w:t>
      </w:r>
    </w:p>
    <w:p>
      <w:pPr>
        <w:widowControl/>
        <w:spacing w:before="0" w:after="0" w:line="480" w:lineRule="auto"/>
        <w:ind w:firstLine="720"/>
        <w:jc w:val="both"/>
      </w:pPr>
      <w:r>
        <w:rPr>
          <w:rFonts w:ascii="Times New Roman" w:hAnsi="Times New Roman"/>
          <w:i w:val="0"/>
          <w:sz w:val="24"/>
        </w:rPr>
        <w:t>The central problem of this study was how Fukuyama explains the emergence, differentiation, interaction, and decay of the state, rule of law, and political accountability, and whether that explanation is philosophically adequate. The answer is qualified. Fukuyama explains political order by connecting evolved human sociality to historically produced institutions. States concentrate territorial power; autonomous law limits the immediate will of rulers; accountability relates government to organized social interests and, in its modern procedural form, to citizens capable of sanction. These institutions emerge separately, combine unevenly, and remain exposed to maladaptation and repatrimonialization.</w:t>
      </w:r>
    </w:p>
    <w:p>
      <w:pPr>
        <w:widowControl/>
        <w:spacing w:before="0" w:after="0" w:line="480" w:lineRule="auto"/>
        <w:ind w:firstLine="720"/>
        <w:jc w:val="both"/>
      </w:pPr>
      <w:r>
        <w:rPr>
          <w:rFonts w:ascii="Times New Roman" w:hAnsi="Times New Roman"/>
          <w:i w:val="0"/>
          <w:sz w:val="24"/>
        </w:rPr>
        <w:t>This account is philosophically strongest as a method of diagnosis. It asks three questions that no theory of political order can safely merge: can authority act, is it bound, and to whom does it respond? The questions expose why democratic procedure cannot substitute for administrative capacity, why state strength cannot substitute for legal restraint, and why law cannot substitute for political responsiveness. They also show that institutional balance is not a final equilibrium. It is an unstable relationship requiring continuing adjustment, because each political good can correct or obstruct the others.</w:t>
      </w:r>
    </w:p>
    <w:p>
      <w:pPr>
        <w:widowControl/>
        <w:spacing w:before="0" w:after="0" w:line="480" w:lineRule="auto"/>
        <w:ind w:firstLine="720"/>
        <w:jc w:val="both"/>
      </w:pPr>
      <w:r>
        <w:rPr>
          <w:rFonts w:ascii="Times New Roman" w:hAnsi="Times New Roman"/>
          <w:i w:val="0"/>
          <w:sz w:val="24"/>
        </w:rPr>
        <w:t>The framework's limits emerge from the same comparative ambition that gives it value. Administrative modernity, accountability, weakened kinship, and institutional convergence are useful abstractions, but each can gather together arrangements whose causal and normative differences matter. Early Chinese administration supports a restricted classification, not a complete modernity claim. Indian political history supports comparison between state and social authority, not a simple absence of centralization or a proven religious master cause. Church rules support a qualified kinship mechanism, not an independently demonstrated route to impersonal politics. Broad accountability preserves historical range, but must distinguish responsiveness from answerability and sanction.</w:t>
      </w:r>
    </w:p>
    <w:p>
      <w:pPr>
        <w:widowControl/>
        <w:spacing w:before="0" w:after="0" w:line="480" w:lineRule="auto"/>
        <w:ind w:firstLine="720"/>
        <w:jc w:val="both"/>
      </w:pPr>
      <w:r>
        <w:rPr>
          <w:rFonts w:ascii="Times New Roman" w:hAnsi="Times New Roman"/>
          <w:i w:val="0"/>
          <w:sz w:val="24"/>
        </w:rPr>
        <w:t>Historical plurality is therefore not an inconvenience to be removed from the theory. It is evidence about how political functions are realized. Societies may confront recurring problems of capacity, constraint, coordination, legitimacy, responsiveness, and capture without resolving them through identical organizations or sequences. Ideal types clarify these problems when they isolate comparable functions; they distort when they erase differences required to explain outcomes. The appropriate conclusion is not cultural incomparability, but disciplined comparison at the level the evidence can sustain.</w:t>
      </w:r>
    </w:p>
    <w:p>
      <w:pPr>
        <w:widowControl/>
        <w:spacing w:before="0" w:after="0" w:line="480" w:lineRule="auto"/>
        <w:ind w:firstLine="720"/>
        <w:jc w:val="both"/>
      </w:pPr>
      <w:r>
        <w:rPr>
          <w:rFonts w:ascii="Times New Roman" w:hAnsi="Times New Roman"/>
          <w:i w:val="0"/>
          <w:sz w:val="24"/>
        </w:rPr>
        <w:t>Fukuyama's theory is consequently not strictly deterministic. Its recognition of contingency, path dependence, agency, borrowing, multiple causes, and reversibility rules out that charge. The surviving concern is subtler: functional comparison and convergence language can orient historical diversity toward a privileged image of successful order. Treating the triad as a diagnostic framework resolves much of this tension. It allows institutions to be compared without asserting that all histories move toward one form or that performance along the three dimensions exhausts political value.</w:t>
      </w:r>
    </w:p>
    <w:p>
      <w:pPr>
        <w:widowControl/>
        <w:spacing w:before="0" w:after="0" w:line="480" w:lineRule="auto"/>
        <w:ind w:firstLine="720"/>
        <w:jc w:val="both"/>
      </w:pPr>
      <w:r>
        <w:rPr>
          <w:rFonts w:ascii="Times New Roman" w:hAnsi="Times New Roman"/>
          <w:i w:val="0"/>
          <w:sz w:val="24"/>
        </w:rPr>
        <w:t>The philosophical contribution of this study is this bounded reconstruction. Political order should be evaluated through differentiated relations among effective public power, legal constraint, and responsiveness, while the historical forms of those relations remain open to plural explanation. Their emergence does not establish their justice, and their functionality does not settle rights, equality, distribution, representation, obligation, or legitimate coercion. Yet normative purposes cannot be realized securely where states cannot act, law cannot bind, or rulers cannot be corrected. Fukuyama's triad thus identifies indispensable questions without supplying every answer. Its enduring value lies not in providing a universal destination for political history, but in clarifying the institutional tensions through which political communities pursue, lose, and reconstruct order.</w:t>
      </w:r>
    </w:p>
    <w:p>
      <w:r>
        <w:br w:type="page"/>
      </w:r>
    </w:p>
    <w:p>
      <w:pPr>
        <w:pStyle w:val="Heading1"/>
        <w:jc w:val="center"/>
      </w:pPr>
      <w:r>
        <w:rPr>
          <w:rFonts w:ascii="Times New Roman" w:hAnsi="Times New Roman"/>
          <w:i w:val="0"/>
          <w:sz w:val="28"/>
        </w:rPr>
        <w:t>BIBLIOGRAPHY</w:t>
      </w:r>
    </w:p>
    <w:p>
      <w:pPr>
        <w:spacing w:line="240" w:lineRule="auto" w:before="0" w:after="240"/>
        <w:ind w:left="720" w:hanging="720"/>
        <w:jc w:val="left"/>
      </w:pPr>
      <w:r>
        <w:rPr>
          <w:rFonts w:ascii="Times New Roman" w:hAnsi="Times New Roman"/>
          <w:i w:val="0"/>
          <w:sz w:val="24"/>
        </w:rPr>
        <w:t xml:space="preserve">Bovens, Mark. “Analysing and Assessing Accountability: A Conceptual Framework.” </w:t>
      </w:r>
      <w:r>
        <w:rPr>
          <w:rFonts w:ascii="Times New Roman" w:hAnsi="Times New Roman"/>
          <w:i/>
          <w:sz w:val="24"/>
        </w:rPr>
        <w:t>European Law Journal</w:t>
      </w:r>
      <w:r>
        <w:rPr>
          <w:rFonts w:ascii="Times New Roman" w:hAnsi="Times New Roman"/>
          <w:i w:val="0"/>
          <w:sz w:val="24"/>
        </w:rPr>
        <w:t xml:space="preserve"> 13, no. 4 (2007): 447–468. https://doi.org/10.1111/j.1468-0386.2007.00378.x.</w:t>
      </w:r>
    </w:p>
    <w:p>
      <w:pPr>
        <w:spacing w:line="240" w:lineRule="auto" w:before="0" w:after="240"/>
        <w:ind w:left="720" w:hanging="720"/>
        <w:jc w:val="left"/>
      </w:pPr>
      <w:r>
        <w:rPr>
          <w:rFonts w:ascii="Times New Roman" w:hAnsi="Times New Roman"/>
          <w:i w:val="0"/>
          <w:sz w:val="24"/>
        </w:rPr>
        <w:t xml:space="preserve">Fukuyama, Francis. “Macro Theory and the Study of Political Development.” </w:t>
      </w:r>
      <w:r>
        <w:rPr>
          <w:rFonts w:ascii="Times New Roman" w:hAnsi="Times New Roman"/>
          <w:i/>
          <w:sz w:val="24"/>
        </w:rPr>
        <w:t>Scandinavian Political Studies</w:t>
      </w:r>
      <w:r>
        <w:rPr>
          <w:rFonts w:ascii="Times New Roman" w:hAnsi="Times New Roman"/>
          <w:i w:val="0"/>
          <w:sz w:val="24"/>
        </w:rPr>
        <w:t xml:space="preserve"> 39, no. 3 (2016): 207–225. https://doi.org/10.1111/1467-9477.12064.</w:t>
      </w:r>
    </w:p>
    <w:p>
      <w:pPr>
        <w:spacing w:line="240" w:lineRule="auto" w:before="0" w:after="240"/>
        <w:ind w:left="720" w:hanging="720"/>
        <w:jc w:val="left"/>
      </w:pPr>
      <w:r>
        <w:rPr>
          <w:rFonts w:ascii="Times New Roman" w:hAnsi="Times New Roman"/>
          <w:i w:val="0"/>
          <w:sz w:val="24"/>
        </w:rPr>
        <w:t xml:space="preserve">Fukuyama, Francis. </w:t>
      </w:r>
      <w:r>
        <w:rPr>
          <w:rFonts w:ascii="Times New Roman" w:hAnsi="Times New Roman"/>
          <w:i/>
          <w:sz w:val="24"/>
        </w:rPr>
        <w:t>Political Order and Political Decay: From the Industrial Revolution to the Globalization of Democracy</w:t>
      </w:r>
      <w:r>
        <w:rPr>
          <w:rFonts w:ascii="Times New Roman" w:hAnsi="Times New Roman"/>
          <w:i w:val="0"/>
          <w:sz w:val="24"/>
        </w:rPr>
        <w:t>. New York: Farrar, Straus and Giroux, 2014.</w:t>
      </w:r>
    </w:p>
    <w:p>
      <w:pPr>
        <w:spacing w:line="240" w:lineRule="auto" w:before="0" w:after="240"/>
        <w:ind w:left="720" w:hanging="720"/>
        <w:jc w:val="left"/>
      </w:pPr>
      <w:r>
        <w:rPr>
          <w:rFonts w:ascii="Times New Roman" w:hAnsi="Times New Roman"/>
          <w:i w:val="0"/>
          <w:sz w:val="24"/>
        </w:rPr>
        <w:t xml:space="preserve">Fukuyama, Francis. </w:t>
      </w:r>
      <w:r>
        <w:rPr>
          <w:rFonts w:ascii="Times New Roman" w:hAnsi="Times New Roman"/>
          <w:i/>
          <w:sz w:val="24"/>
        </w:rPr>
        <w:t>The Origins of Political Order: From Prehuman Times to the French Revolution</w:t>
      </w:r>
      <w:r>
        <w:rPr>
          <w:rFonts w:ascii="Times New Roman" w:hAnsi="Times New Roman"/>
          <w:i w:val="0"/>
          <w:sz w:val="24"/>
        </w:rPr>
        <w:t>. New York: Farrar, Straus and Giroux, 2011.</w:t>
      </w:r>
    </w:p>
    <w:p>
      <w:pPr>
        <w:spacing w:line="240" w:lineRule="auto" w:before="0" w:after="240"/>
        <w:ind w:left="720" w:hanging="720"/>
        <w:jc w:val="left"/>
      </w:pPr>
      <w:r>
        <w:rPr>
          <w:rFonts w:ascii="Times New Roman" w:hAnsi="Times New Roman"/>
          <w:i w:val="0"/>
          <w:sz w:val="24"/>
        </w:rPr>
        <w:t xml:space="preserve">Fussman, Gérard. “Pouvoir central et régions dans l’Inde ancienne: le problème de l’empire maurya.” </w:t>
      </w:r>
      <w:r>
        <w:rPr>
          <w:rFonts w:ascii="Times New Roman" w:hAnsi="Times New Roman"/>
          <w:i/>
          <w:sz w:val="24"/>
        </w:rPr>
        <w:t>Annales. Économies, Sociétés, Civilisations</w:t>
      </w:r>
      <w:r>
        <w:rPr>
          <w:rFonts w:ascii="Times New Roman" w:hAnsi="Times New Roman"/>
          <w:i w:val="0"/>
          <w:sz w:val="24"/>
        </w:rPr>
        <w:t xml:space="preserve"> 37, no. 4 (1982): 621–647. https://doi.org/10.3406/ahess.1982.282876.</w:t>
      </w:r>
    </w:p>
    <w:p>
      <w:pPr>
        <w:spacing w:line="240" w:lineRule="auto" w:before="0" w:after="240"/>
        <w:ind w:left="720" w:hanging="720"/>
        <w:jc w:val="left"/>
      </w:pPr>
      <w:r>
        <w:rPr>
          <w:rFonts w:ascii="Times New Roman" w:hAnsi="Times New Roman"/>
          <w:i w:val="0"/>
          <w:sz w:val="24"/>
        </w:rPr>
        <w:t xml:space="preserve">Gilchrist, J. T. “Canon Law Aspects of the Eleventh Century Gregorian Reform Programme.” </w:t>
      </w:r>
      <w:r>
        <w:rPr>
          <w:rFonts w:ascii="Times New Roman" w:hAnsi="Times New Roman"/>
          <w:i/>
          <w:sz w:val="24"/>
        </w:rPr>
        <w:t>Journal of Ecclesiastical History</w:t>
      </w:r>
      <w:r>
        <w:rPr>
          <w:rFonts w:ascii="Times New Roman" w:hAnsi="Times New Roman"/>
          <w:i w:val="0"/>
          <w:sz w:val="24"/>
        </w:rPr>
        <w:t xml:space="preserve"> 13, no. 1 (April 1962): 21–38. https://doi.org/10.1017/S0022046900065647.</w:t>
      </w:r>
    </w:p>
    <w:p>
      <w:pPr>
        <w:spacing w:line="240" w:lineRule="auto" w:before="0" w:after="240"/>
        <w:ind w:left="720" w:hanging="720"/>
        <w:jc w:val="left"/>
      </w:pPr>
      <w:r>
        <w:rPr>
          <w:rFonts w:ascii="Times New Roman" w:hAnsi="Times New Roman"/>
          <w:i w:val="0"/>
          <w:sz w:val="24"/>
        </w:rPr>
        <w:t xml:space="preserve">Goody, Jack. </w:t>
      </w:r>
      <w:r>
        <w:rPr>
          <w:rFonts w:ascii="Times New Roman" w:hAnsi="Times New Roman"/>
          <w:i/>
          <w:sz w:val="24"/>
        </w:rPr>
        <w:t>The Development of the Family and Marriage in Europe</w:t>
      </w:r>
      <w:r>
        <w:rPr>
          <w:rFonts w:ascii="Times New Roman" w:hAnsi="Times New Roman"/>
          <w:i w:val="0"/>
          <w:sz w:val="24"/>
        </w:rPr>
        <w:t>. Cambridge: Cambridge University Press, 1983.</w:t>
      </w:r>
    </w:p>
    <w:p>
      <w:pPr>
        <w:spacing w:line="240" w:lineRule="auto" w:before="0" w:after="240"/>
        <w:ind w:left="720" w:hanging="720"/>
        <w:jc w:val="left"/>
      </w:pPr>
      <w:r>
        <w:rPr>
          <w:rFonts w:ascii="Times New Roman" w:hAnsi="Times New Roman"/>
          <w:i w:val="0"/>
          <w:sz w:val="24"/>
        </w:rPr>
        <w:t xml:space="preserve">Handley, Carla, and Sarah Mathew. “Human Large-Scale Cooperation as a Product of Competition between Cultural Groups.” </w:t>
      </w:r>
      <w:r>
        <w:rPr>
          <w:rFonts w:ascii="Times New Roman" w:hAnsi="Times New Roman"/>
          <w:i/>
          <w:sz w:val="24"/>
        </w:rPr>
        <w:t>Nature Communications</w:t>
      </w:r>
      <w:r>
        <w:rPr>
          <w:rFonts w:ascii="Times New Roman" w:hAnsi="Times New Roman"/>
          <w:i w:val="0"/>
          <w:sz w:val="24"/>
        </w:rPr>
        <w:t xml:space="preserve"> 11 (2020): 702. https://doi.org/10.1038/s41467-020-14416-8.</w:t>
      </w:r>
    </w:p>
    <w:p>
      <w:pPr>
        <w:spacing w:line="240" w:lineRule="auto" w:before="0" w:after="240"/>
        <w:ind w:left="720" w:hanging="720"/>
        <w:jc w:val="left"/>
      </w:pPr>
      <w:r>
        <w:rPr>
          <w:rFonts w:ascii="Times New Roman" w:hAnsi="Times New Roman"/>
          <w:i w:val="0"/>
          <w:sz w:val="24"/>
        </w:rPr>
        <w:t xml:space="preserve">Hathaway, Jane. “The Military Household in Ottoman Egypt.” </w:t>
      </w:r>
      <w:r>
        <w:rPr>
          <w:rFonts w:ascii="Times New Roman" w:hAnsi="Times New Roman"/>
          <w:i/>
          <w:sz w:val="24"/>
        </w:rPr>
        <w:t>International Journal of Middle East Studies</w:t>
      </w:r>
      <w:r>
        <w:rPr>
          <w:rFonts w:ascii="Times New Roman" w:hAnsi="Times New Roman"/>
          <w:i w:val="0"/>
          <w:sz w:val="24"/>
        </w:rPr>
        <w:t xml:space="preserve"> 27, no. 1 (1995): 39–52. https://doi.org/10.1017/S0020743800061572.</w:t>
      </w:r>
    </w:p>
    <w:p>
      <w:pPr>
        <w:spacing w:line="240" w:lineRule="auto" w:before="0" w:after="240"/>
        <w:ind w:left="720" w:hanging="720"/>
        <w:jc w:val="left"/>
      </w:pPr>
      <w:r>
        <w:rPr>
          <w:rFonts w:ascii="Times New Roman" w:hAnsi="Times New Roman"/>
          <w:i w:val="0"/>
          <w:sz w:val="24"/>
        </w:rPr>
        <w:t xml:space="preserve">Henrich, Joseph, and Michael Muthukrishna. “The Origins and Psychology of Human Cooperation.” </w:t>
      </w:r>
      <w:r>
        <w:rPr>
          <w:rFonts w:ascii="Times New Roman" w:hAnsi="Times New Roman"/>
          <w:i/>
          <w:sz w:val="24"/>
        </w:rPr>
        <w:t>Annual Review of Psychology</w:t>
      </w:r>
      <w:r>
        <w:rPr>
          <w:rFonts w:ascii="Times New Roman" w:hAnsi="Times New Roman"/>
          <w:i w:val="0"/>
          <w:sz w:val="24"/>
        </w:rPr>
        <w:t xml:space="preserve"> 72 (2021): 207–240. https://doi.org/10.1146/annurev-psych-081920-042106.</w:t>
      </w:r>
    </w:p>
    <w:p>
      <w:pPr>
        <w:spacing w:line="240" w:lineRule="auto" w:before="0" w:after="240"/>
        <w:ind w:left="720" w:hanging="720"/>
        <w:jc w:val="left"/>
      </w:pPr>
      <w:r>
        <w:rPr>
          <w:rFonts w:ascii="Times New Roman" w:hAnsi="Times New Roman"/>
          <w:i w:val="0"/>
          <w:sz w:val="24"/>
        </w:rPr>
        <w:t xml:space="preserve">Hewson, Martin. Review of </w:t>
      </w:r>
      <w:r>
        <w:rPr>
          <w:rFonts w:ascii="Times New Roman" w:hAnsi="Times New Roman"/>
          <w:i/>
          <w:sz w:val="24"/>
        </w:rPr>
        <w:t>The Origins of Political Order: From Prehuman Times to the French Revolution</w:t>
      </w:r>
      <w:r>
        <w:rPr>
          <w:rFonts w:ascii="Times New Roman" w:hAnsi="Times New Roman"/>
          <w:i w:val="0"/>
          <w:sz w:val="24"/>
        </w:rPr>
        <w:t xml:space="preserve">, by Francis Fukuyama. </w:t>
      </w:r>
      <w:r>
        <w:rPr>
          <w:rFonts w:ascii="Times New Roman" w:hAnsi="Times New Roman"/>
          <w:i/>
          <w:sz w:val="24"/>
        </w:rPr>
        <w:t>Reviews in History</w:t>
      </w:r>
      <w:r>
        <w:rPr>
          <w:rFonts w:ascii="Times New Roman" w:hAnsi="Times New Roman"/>
          <w:i w:val="0"/>
          <w:sz w:val="24"/>
        </w:rPr>
        <w:t>, review no. 1261, May 31, 2012. https://reviews.history.ac.uk/review/1261.</w:t>
      </w:r>
    </w:p>
    <w:p>
      <w:pPr>
        <w:spacing w:line="240" w:lineRule="auto" w:before="0" w:after="240"/>
        <w:ind w:left="720" w:hanging="720"/>
        <w:jc w:val="left"/>
      </w:pPr>
      <w:r>
        <w:rPr>
          <w:rFonts w:ascii="Times New Roman" w:hAnsi="Times New Roman"/>
          <w:i w:val="0"/>
          <w:sz w:val="24"/>
        </w:rPr>
        <w:t xml:space="preserve">Hill, Kim R., Robert S. Walker, Miran Božičević, James Eder, Thomas Headland, Barry Hewlett, A. Magdalena Hurtado, Frank Marlowe, Polly Wiessner, and Brian Wood. “Co-Residence Patterns in Hunter-Gatherer Societies Show Unique Human Social Structure.” </w:t>
      </w:r>
      <w:r>
        <w:rPr>
          <w:rFonts w:ascii="Times New Roman" w:hAnsi="Times New Roman"/>
          <w:i/>
          <w:sz w:val="24"/>
        </w:rPr>
        <w:t>Science</w:t>
      </w:r>
      <w:r>
        <w:rPr>
          <w:rFonts w:ascii="Times New Roman" w:hAnsi="Times New Roman"/>
          <w:i w:val="0"/>
          <w:sz w:val="24"/>
        </w:rPr>
        <w:t xml:space="preserve"> 331, no. 6022 (2011): 1286–1289. https://doi.org/10.1126/science.1199071.</w:t>
      </w:r>
    </w:p>
    <w:p>
      <w:pPr>
        <w:spacing w:line="240" w:lineRule="auto" w:before="0" w:after="240"/>
        <w:ind w:left="720" w:hanging="720"/>
        <w:jc w:val="left"/>
      </w:pPr>
      <w:r>
        <w:rPr>
          <w:rFonts w:ascii="Times New Roman" w:hAnsi="Times New Roman"/>
          <w:i w:val="0"/>
          <w:sz w:val="24"/>
        </w:rPr>
        <w:t xml:space="preserve">Hobbes, Thomas. </w:t>
      </w:r>
      <w:r>
        <w:rPr>
          <w:rFonts w:ascii="Times New Roman" w:hAnsi="Times New Roman"/>
          <w:i/>
          <w:sz w:val="24"/>
        </w:rPr>
        <w:t>Leviathan</w:t>
      </w:r>
      <w:r>
        <w:rPr>
          <w:rFonts w:ascii="Times New Roman" w:hAnsi="Times New Roman"/>
          <w:i w:val="0"/>
          <w:sz w:val="24"/>
        </w:rPr>
        <w:t>. Edited by Richard Tuck. Revised student edition. Cambridge: Cambridge University Press, 1996 [1651]. https://doi.org/10.1017/CBO9780511808166.</w:t>
      </w:r>
    </w:p>
    <w:p>
      <w:pPr>
        <w:spacing w:line="240" w:lineRule="auto" w:before="0" w:after="240"/>
        <w:ind w:left="720" w:hanging="720"/>
        <w:jc w:val="left"/>
      </w:pPr>
      <w:r>
        <w:rPr>
          <w:rFonts w:ascii="Times New Roman" w:hAnsi="Times New Roman"/>
          <w:i w:val="0"/>
          <w:sz w:val="24"/>
        </w:rPr>
        <w:t xml:space="preserve">Lee, Richard B. “Hunter-Gatherers and Human Evolution: New Light on Old Debates.” </w:t>
      </w:r>
      <w:r>
        <w:rPr>
          <w:rFonts w:ascii="Times New Roman" w:hAnsi="Times New Roman"/>
          <w:i/>
          <w:sz w:val="24"/>
        </w:rPr>
        <w:t>Annual Review of Anthropology</w:t>
      </w:r>
      <w:r>
        <w:rPr>
          <w:rFonts w:ascii="Times New Roman" w:hAnsi="Times New Roman"/>
          <w:i w:val="0"/>
          <w:sz w:val="24"/>
        </w:rPr>
        <w:t xml:space="preserve"> 47 (2018): 513–531. https://doi.org/10.1146/annurev-anthro-102116-041448.</w:t>
      </w:r>
    </w:p>
    <w:p>
      <w:pPr>
        <w:spacing w:line="240" w:lineRule="auto" w:before="0" w:after="240"/>
        <w:ind w:left="720" w:hanging="720"/>
        <w:jc w:val="left"/>
      </w:pPr>
      <w:r>
        <w:rPr>
          <w:rFonts w:ascii="Times New Roman" w:hAnsi="Times New Roman"/>
          <w:i w:val="0"/>
          <w:sz w:val="24"/>
        </w:rPr>
        <w:t xml:space="preserve">Lewis, Mark Edward. </w:t>
      </w:r>
      <w:r>
        <w:rPr>
          <w:rFonts w:ascii="Times New Roman" w:hAnsi="Times New Roman"/>
          <w:i/>
          <w:sz w:val="24"/>
        </w:rPr>
        <w:t>The Early Chinese Empires: Qin and Han</w:t>
      </w:r>
      <w:r>
        <w:rPr>
          <w:rFonts w:ascii="Times New Roman" w:hAnsi="Times New Roman"/>
          <w:i w:val="0"/>
          <w:sz w:val="24"/>
        </w:rPr>
        <w:t>. Cambridge, MA: Belknap Press of Harvard University Press, 2007. https://doi.org/10.2307/j.ctv1kmj82j.</w:t>
      </w:r>
    </w:p>
    <w:p>
      <w:pPr>
        <w:spacing w:line="240" w:lineRule="auto" w:before="0" w:after="240"/>
        <w:ind w:left="720" w:hanging="720"/>
        <w:jc w:val="left"/>
      </w:pPr>
      <w:r>
        <w:rPr>
          <w:rFonts w:ascii="Times New Roman" w:hAnsi="Times New Roman"/>
          <w:i w:val="0"/>
          <w:sz w:val="24"/>
        </w:rPr>
        <w:t xml:space="preserve">Locke, John. </w:t>
      </w:r>
      <w:r>
        <w:rPr>
          <w:rFonts w:ascii="Times New Roman" w:hAnsi="Times New Roman"/>
          <w:i/>
          <w:sz w:val="24"/>
        </w:rPr>
        <w:t>Second Treatise of Government</w:t>
      </w:r>
      <w:r>
        <w:rPr>
          <w:rFonts w:ascii="Times New Roman" w:hAnsi="Times New Roman"/>
          <w:i w:val="0"/>
          <w:sz w:val="24"/>
        </w:rPr>
        <w:t>. Edited by C. B. Macpherson. Indianapolis: Hackett Publishing, 1980 [1689].</w:t>
      </w:r>
    </w:p>
    <w:p>
      <w:pPr>
        <w:spacing w:line="240" w:lineRule="auto" w:before="0" w:after="240"/>
        <w:ind w:left="720" w:hanging="720"/>
        <w:jc w:val="left"/>
      </w:pPr>
      <w:r>
        <w:rPr>
          <w:rFonts w:ascii="Times New Roman" w:hAnsi="Times New Roman"/>
          <w:i w:val="0"/>
          <w:sz w:val="24"/>
        </w:rPr>
        <w:t xml:space="preserve">Lubin, Timothy. “Religious Endowments in Ancient India and the Institutionalization of Brahmin Caste Status.” </w:t>
      </w:r>
      <w:r>
        <w:rPr>
          <w:rFonts w:ascii="Times New Roman" w:hAnsi="Times New Roman"/>
          <w:i/>
          <w:sz w:val="24"/>
        </w:rPr>
        <w:t>American Journal of Legal History</w:t>
      </w:r>
      <w:r>
        <w:rPr>
          <w:rFonts w:ascii="Times New Roman" w:hAnsi="Times New Roman"/>
          <w:i w:val="0"/>
          <w:sz w:val="24"/>
        </w:rPr>
        <w:t xml:space="preserve"> 63, no. 2 (2023): 97–114. https://doi.org/10.1093/ajlh/njad023.</w:t>
      </w:r>
    </w:p>
    <w:p>
      <w:pPr>
        <w:spacing w:line="240" w:lineRule="auto" w:before="0" w:after="240"/>
        <w:ind w:left="720" w:hanging="720"/>
        <w:jc w:val="left"/>
      </w:pPr>
      <w:r>
        <w:rPr>
          <w:rFonts w:ascii="Times New Roman" w:hAnsi="Times New Roman"/>
          <w:i w:val="0"/>
          <w:sz w:val="24"/>
        </w:rPr>
        <w:t xml:space="preserve">Manning, Joseph G. “Middle Range Theory: A Review of </w:t>
      </w:r>
      <w:r>
        <w:rPr>
          <w:rFonts w:ascii="Times New Roman" w:hAnsi="Times New Roman"/>
          <w:i/>
          <w:sz w:val="24"/>
        </w:rPr>
        <w:t>The Origins of Political Order: From Prehuman Times to the French Revolution</w:t>
      </w:r>
      <w:r>
        <w:rPr>
          <w:rFonts w:ascii="Times New Roman" w:hAnsi="Times New Roman"/>
          <w:i w:val="0"/>
          <w:sz w:val="24"/>
        </w:rPr>
        <w:t xml:space="preserve">.” </w:t>
      </w:r>
      <w:r>
        <w:rPr>
          <w:rFonts w:ascii="Times New Roman" w:hAnsi="Times New Roman"/>
          <w:i/>
          <w:sz w:val="24"/>
        </w:rPr>
        <w:t>Cliodynamics</w:t>
      </w:r>
      <w:r>
        <w:rPr>
          <w:rFonts w:ascii="Times New Roman" w:hAnsi="Times New Roman"/>
          <w:i w:val="0"/>
          <w:sz w:val="24"/>
        </w:rPr>
        <w:t xml:space="preserve"> 2, no. 2 (2011): 333–340. https://doi.org/10.21237/C7clio2211720.</w:t>
      </w:r>
    </w:p>
    <w:p>
      <w:pPr>
        <w:spacing w:line="240" w:lineRule="auto" w:before="0" w:after="240"/>
        <w:ind w:left="720" w:hanging="720"/>
        <w:jc w:val="left"/>
      </w:pPr>
      <w:r>
        <w:rPr>
          <w:rFonts w:ascii="Times New Roman" w:hAnsi="Times New Roman"/>
          <w:i w:val="0"/>
          <w:sz w:val="24"/>
        </w:rPr>
        <w:t xml:space="preserve">McClish, Mark. “Statecraft, Law, and Religion in Ancient India.” In </w:t>
      </w:r>
      <w:r>
        <w:rPr>
          <w:rFonts w:ascii="Times New Roman" w:hAnsi="Times New Roman"/>
          <w:i/>
          <w:sz w:val="24"/>
        </w:rPr>
        <w:t>The History of the Arthasastra: Sovereignty and Sacred Law in Ancient India</w:t>
      </w:r>
      <w:r>
        <w:rPr>
          <w:rFonts w:ascii="Times New Roman" w:hAnsi="Times New Roman"/>
          <w:i w:val="0"/>
          <w:sz w:val="24"/>
        </w:rPr>
        <w:t>, 208–223. Cambridge: Cambridge University Press, 2019. https://doi.org/10.1017/9781108641586.009.</w:t>
      </w:r>
    </w:p>
    <w:p>
      <w:pPr>
        <w:spacing w:line="240" w:lineRule="auto" w:before="0" w:after="240"/>
        <w:ind w:left="720" w:hanging="720"/>
        <w:jc w:val="left"/>
      </w:pPr>
      <w:r>
        <w:rPr>
          <w:rFonts w:ascii="Times New Roman" w:hAnsi="Times New Roman"/>
          <w:i w:val="0"/>
          <w:sz w:val="24"/>
        </w:rPr>
        <w:t xml:space="preserve">Melleuish, Gregory. “Francis Fukuyama and the Origins of Political Order and the State: A Historical Critique.” </w:t>
      </w:r>
      <w:r>
        <w:rPr>
          <w:rFonts w:ascii="Times New Roman" w:hAnsi="Times New Roman"/>
          <w:i/>
          <w:sz w:val="24"/>
        </w:rPr>
        <w:t>Australian Journal of Politics &amp; History</w:t>
      </w:r>
      <w:r>
        <w:rPr>
          <w:rFonts w:ascii="Times New Roman" w:hAnsi="Times New Roman"/>
          <w:i w:val="0"/>
          <w:sz w:val="24"/>
        </w:rPr>
        <w:t xml:space="preserve"> 58, no. 1 (2012): 112–122. https://doi.org/10.1111/j.1467-8497.2012.01627.x.</w:t>
      </w:r>
    </w:p>
    <w:p>
      <w:pPr>
        <w:spacing w:line="240" w:lineRule="auto" w:before="0" w:after="240"/>
        <w:ind w:left="720" w:hanging="720"/>
        <w:jc w:val="left"/>
      </w:pPr>
      <w:r>
        <w:rPr>
          <w:rFonts w:ascii="Times New Roman" w:hAnsi="Times New Roman"/>
          <w:i w:val="0"/>
          <w:sz w:val="24"/>
        </w:rPr>
        <w:t xml:space="preserve">Ménage, V. L. “Some Notes on the Devshirme.” </w:t>
      </w:r>
      <w:r>
        <w:rPr>
          <w:rFonts w:ascii="Times New Roman" w:hAnsi="Times New Roman"/>
          <w:i/>
          <w:sz w:val="24"/>
        </w:rPr>
        <w:t>Bulletin of the School of Oriental and African Studies</w:t>
      </w:r>
      <w:r>
        <w:rPr>
          <w:rFonts w:ascii="Times New Roman" w:hAnsi="Times New Roman"/>
          <w:i w:val="0"/>
          <w:sz w:val="24"/>
        </w:rPr>
        <w:t xml:space="preserve"> 29, no. 1 (1966): 64–78. https://doi.org/10.1017/S0041977X0006081X.</w:t>
      </w:r>
    </w:p>
    <w:p>
      <w:pPr>
        <w:spacing w:line="240" w:lineRule="auto" w:before="0" w:after="240"/>
        <w:ind w:left="720" w:hanging="720"/>
        <w:jc w:val="left"/>
      </w:pPr>
      <w:r>
        <w:rPr>
          <w:rFonts w:ascii="Times New Roman" w:hAnsi="Times New Roman"/>
          <w:i w:val="0"/>
          <w:sz w:val="24"/>
        </w:rPr>
        <w:t xml:space="preserve">Montanye, James A. “The Origin of Political Order.” </w:t>
      </w:r>
      <w:r>
        <w:rPr>
          <w:rFonts w:ascii="Times New Roman" w:hAnsi="Times New Roman"/>
          <w:i/>
          <w:sz w:val="24"/>
        </w:rPr>
        <w:t>The Independent Review</w:t>
      </w:r>
      <w:r>
        <w:rPr>
          <w:rFonts w:ascii="Times New Roman" w:hAnsi="Times New Roman"/>
          <w:i w:val="0"/>
          <w:sz w:val="24"/>
        </w:rPr>
        <w:t xml:space="preserve"> 16, no. 3 (Winter 2011/12). https://www.independent.org/tir/2011-12-winter/the-origin-of-political-order/.</w:t>
      </w:r>
    </w:p>
    <w:p>
      <w:pPr>
        <w:spacing w:line="240" w:lineRule="auto" w:before="0" w:after="240"/>
        <w:ind w:left="720" w:hanging="720"/>
        <w:jc w:val="left"/>
      </w:pPr>
      <w:r>
        <w:rPr>
          <w:rFonts w:ascii="Times New Roman" w:hAnsi="Times New Roman"/>
          <w:i w:val="0"/>
          <w:sz w:val="24"/>
        </w:rPr>
        <w:t xml:space="preserve">Mungiu-Pippidi, Alina. “The Evolution of Political Order.” </w:t>
      </w:r>
      <w:r>
        <w:rPr>
          <w:rFonts w:ascii="Times New Roman" w:hAnsi="Times New Roman"/>
          <w:i/>
          <w:sz w:val="24"/>
        </w:rPr>
        <w:t>Journal of Democracy</w:t>
      </w:r>
      <w:r>
        <w:rPr>
          <w:rFonts w:ascii="Times New Roman" w:hAnsi="Times New Roman"/>
          <w:i w:val="0"/>
          <w:sz w:val="24"/>
        </w:rPr>
        <w:t xml:space="preserve"> 26, no. 4 (2015): 169–175.</w:t>
      </w:r>
    </w:p>
    <w:p>
      <w:pPr>
        <w:spacing w:line="240" w:lineRule="auto" w:before="0" w:after="240"/>
        <w:ind w:left="720" w:hanging="720"/>
        <w:jc w:val="left"/>
      </w:pPr>
      <w:r>
        <w:rPr>
          <w:rFonts w:ascii="Times New Roman" w:hAnsi="Times New Roman"/>
          <w:i w:val="0"/>
          <w:sz w:val="24"/>
        </w:rPr>
        <w:t xml:space="preserve">Rousseau, Jean-Jacques. </w:t>
      </w:r>
      <w:r>
        <w:rPr>
          <w:rFonts w:ascii="Times New Roman" w:hAnsi="Times New Roman"/>
          <w:i/>
          <w:sz w:val="24"/>
        </w:rPr>
        <w:t>Discourse on the Origin of Inequality</w:t>
      </w:r>
      <w:r>
        <w:rPr>
          <w:rFonts w:ascii="Times New Roman" w:hAnsi="Times New Roman"/>
          <w:i w:val="0"/>
          <w:sz w:val="24"/>
        </w:rPr>
        <w:t>. Translated by Donald A. Cress. Indianapolis: Hackett Publishing, 1992 [1755].</w:t>
      </w:r>
    </w:p>
    <w:p>
      <w:pPr>
        <w:spacing w:line="240" w:lineRule="auto" w:before="0" w:after="240"/>
        <w:ind w:left="720" w:hanging="720"/>
        <w:jc w:val="left"/>
      </w:pPr>
      <w:r>
        <w:rPr>
          <w:rFonts w:ascii="Times New Roman" w:hAnsi="Times New Roman"/>
          <w:i w:val="0"/>
          <w:sz w:val="24"/>
        </w:rPr>
        <w:t xml:space="preserve">Sanft, Charles. </w:t>
      </w:r>
      <w:r>
        <w:rPr>
          <w:rFonts w:ascii="Times New Roman" w:hAnsi="Times New Roman"/>
          <w:i/>
          <w:sz w:val="24"/>
        </w:rPr>
        <w:t>Communication and Cooperation in Early Imperial China: Publicizing the Qin Dynasty</w:t>
      </w:r>
      <w:r>
        <w:rPr>
          <w:rFonts w:ascii="Times New Roman" w:hAnsi="Times New Roman"/>
          <w:i w:val="0"/>
          <w:sz w:val="24"/>
        </w:rPr>
        <w:t>. Albany: State University of New York Press, 2014. https://doi.org/10.2307/jj.18252242.</w:t>
      </w:r>
    </w:p>
    <w:p>
      <w:pPr>
        <w:spacing w:line="240" w:lineRule="auto" w:before="0" w:after="240"/>
        <w:ind w:left="720" w:hanging="720"/>
        <w:jc w:val="left"/>
      </w:pPr>
      <w:r>
        <w:rPr>
          <w:rFonts w:ascii="Times New Roman" w:hAnsi="Times New Roman"/>
          <w:i w:val="0"/>
          <w:sz w:val="24"/>
        </w:rPr>
        <w:t xml:space="preserve">Schulz, Jonathan F., Duman Bahrami-Rad, Jonathan P. Beauchamp, and Joseph Henrich. “The Church, Intensive Kinship, and Global Psychological Variation.” </w:t>
      </w:r>
      <w:r>
        <w:rPr>
          <w:rFonts w:ascii="Times New Roman" w:hAnsi="Times New Roman"/>
          <w:i/>
          <w:sz w:val="24"/>
        </w:rPr>
        <w:t>Science</w:t>
      </w:r>
      <w:r>
        <w:rPr>
          <w:rFonts w:ascii="Times New Roman" w:hAnsi="Times New Roman"/>
          <w:i w:val="0"/>
          <w:sz w:val="24"/>
        </w:rPr>
        <w:t xml:space="preserve"> 366, no. 6466 (2019): eaau5141. https://doi.org/10.1126/science.aau5141.</w:t>
      </w:r>
    </w:p>
    <w:p>
      <w:pPr>
        <w:spacing w:line="240" w:lineRule="auto" w:before="0" w:after="240"/>
        <w:ind w:left="720" w:hanging="720"/>
        <w:jc w:val="left"/>
      </w:pPr>
      <w:r>
        <w:rPr>
          <w:rFonts w:ascii="Times New Roman" w:hAnsi="Times New Roman"/>
          <w:i w:val="0"/>
          <w:sz w:val="24"/>
        </w:rPr>
        <w:t xml:space="preserve">Smith, Monica L., Thomas H. Gillespie, Jonathan Barron, and Itamar Glazer. “Finding History: The Locational Geography of Ashokan Inscriptions in the Indian Subcontinent.” </w:t>
      </w:r>
      <w:r>
        <w:rPr>
          <w:rFonts w:ascii="Times New Roman" w:hAnsi="Times New Roman"/>
          <w:i/>
          <w:sz w:val="24"/>
        </w:rPr>
        <w:t>Antiquity</w:t>
      </w:r>
      <w:r>
        <w:rPr>
          <w:rFonts w:ascii="Times New Roman" w:hAnsi="Times New Roman"/>
          <w:i w:val="0"/>
          <w:sz w:val="24"/>
        </w:rPr>
        <w:t xml:space="preserve"> 90, no. 350 (2016): 376–392. https://doi.org/10.15184/aqy.2016.6.</w:t>
      </w:r>
    </w:p>
    <w:p>
      <w:pPr>
        <w:spacing w:line="240" w:lineRule="auto" w:before="0" w:after="240"/>
        <w:ind w:left="720" w:hanging="720"/>
        <w:jc w:val="left"/>
      </w:pPr>
      <w:r>
        <w:rPr>
          <w:rFonts w:ascii="Times New Roman" w:hAnsi="Times New Roman"/>
          <w:i w:val="0"/>
          <w:sz w:val="24"/>
        </w:rPr>
        <w:t>Stanford University, Freeman Spogli Institute for International Studies. “Francis Fukuyama.” Accessed September 28, 2026. https://fsi.stanford.edu/people/fukuyama.</w:t>
      </w:r>
    </w:p>
    <w:sectPr w:rsidR="00FC693F" w:rsidRPr="0006063C" w:rsidSect="00034616">
      <w:footerReference w:type="default" r:id="rId10"/>
      <w:pgSz w:w="12240" w:h="15840"/>
      <w:pgMar w:top="1440" w:right="1440" w:bottom="1440" w:left="144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w:footnote w:id="1">
    <w:p>
      <w:pPr>
        <w:spacing w:before="0" w:after="0" w:line="240" w:lineRule="auto"/>
      </w:pPr>
      <w:r>
        <w:rPr>
          <w:rStyle w:val="FootnoteReference"/>
        </w:rPr>
        <w:footnoteRef/>
        <w:t xml:space="preserve"> </w:t>
      </w:r>
      <w:r>
        <w:rPr>
          <w:rFonts w:ascii="Times New Roman" w:hAnsi="Times New Roman"/>
          <w:sz w:val="20"/>
          <w:szCs w:val="20"/>
        </w:rPr>
        <w:t xml:space="preserve">Francis Fukuyama, </w:t>
      </w:r>
      <w:r>
        <w:rPr>
          <w:rFonts w:ascii="Times New Roman" w:hAnsi="Times New Roman"/>
          <w:sz w:val="20"/>
          <w:szCs w:val="20"/>
          <w:i/>
        </w:rPr>
        <w:t xml:space="preserve">The Origins of Political Order: From Prehuman Times to the French Revolution</w:t>
      </w:r>
      <w:r>
        <w:rPr>
          <w:rFonts w:ascii="Times New Roman" w:hAnsi="Times New Roman"/>
          <w:sz w:val="20"/>
          <w:szCs w:val="20"/>
        </w:rPr>
        <w:t xml:space="preserve"> (New York: Farrar, Straus and Giroux, 2011), ch. 1; pts. II–IV.</w:t>
      </w:r>
    </w:p>
  </w:footnote>
  <w:footnote w:id="2">
    <w:p>
      <w:pPr>
        <w:spacing w:before="0" w:after="0" w:line="240" w:lineRule="auto"/>
      </w:pPr>
      <w:r>
        <w:rPr>
          <w:rStyle w:val="FootnoteReference"/>
        </w:rPr>
        <w:footnoteRef/>
        <w:t xml:space="preserve"> </w:t>
      </w:r>
      <w:r>
        <w:rPr>
          <w:rFonts w:ascii="Times New Roman" w:hAnsi="Times New Roman"/>
          <w:sz w:val="20"/>
          <w:szCs w:val="20"/>
        </w:rPr>
        <w:t xml:space="preserve">Francis Fukuyama, </w:t>
      </w:r>
      <w:r>
        <w:rPr>
          <w:rFonts w:ascii="Times New Roman" w:hAnsi="Times New Roman"/>
          <w:sz w:val="20"/>
          <w:szCs w:val="20"/>
          <w:i/>
        </w:rPr>
        <w:t xml:space="preserve">Political Order and Political Decay: From the Industrial Revolution to the Globalization of Democracy</w:t>
      </w:r>
      <w:r>
        <w:rPr>
          <w:rFonts w:ascii="Times New Roman" w:hAnsi="Times New Roman"/>
          <w:sz w:val="20"/>
          <w:szCs w:val="20"/>
        </w:rPr>
        <w:t xml:space="preserve"> (New York: Farrar, Straus and Giroux, 2014), chs. 1–4 and 31–36.</w:t>
      </w:r>
    </w:p>
  </w:footnote>
  <w:footnote w:id="3">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 “China First” and “Turtles All the Way Down”; Fukuyama, </w:t>
      </w:r>
      <w:r>
        <w:rPr>
          <w:rFonts w:ascii="Times New Roman" w:hAnsi="Times New Roman"/>
          <w:sz w:val="20"/>
          <w:szCs w:val="20"/>
          <w:i/>
        </w:rPr>
        <w:t xml:space="preserve">Political Order and Political Decay</w:t>
      </w:r>
      <w:r>
        <w:rPr>
          <w:rFonts w:ascii="Times New Roman" w:hAnsi="Times New Roman"/>
          <w:sz w:val="20"/>
          <w:szCs w:val="20"/>
        </w:rPr>
        <w:t xml:space="preserve">, ch. 36.</w:t>
      </w:r>
    </w:p>
  </w:footnote>
  <w:footnote w:id="4">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29.</w:t>
      </w:r>
    </w:p>
  </w:footnote>
  <w:footnote w:id="5">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5 and 29.</w:t>
      </w:r>
    </w:p>
  </w:footnote>
  <w:footnote w:id="6">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chs. 2–4.</w:t>
      </w:r>
    </w:p>
  </w:footnote>
  <w:footnote w:id="7">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11 and 17.</w:t>
      </w:r>
    </w:p>
  </w:footnote>
  <w:footnote w:id="8">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22; Fukuyama, </w:t>
      </w:r>
      <w:r>
        <w:rPr>
          <w:rFonts w:ascii="Times New Roman" w:hAnsi="Times New Roman"/>
          <w:sz w:val="20"/>
          <w:szCs w:val="20"/>
          <w:i/>
        </w:rPr>
        <w:t xml:space="preserve">Political Order and Political Decay</w:t>
      </w:r>
      <w:r>
        <w:rPr>
          <w:rFonts w:ascii="Times New Roman" w:hAnsi="Times New Roman"/>
          <w:sz w:val="20"/>
          <w:szCs w:val="20"/>
        </w:rPr>
        <w:t xml:space="preserve">, ch. 1; Mark Bovens, “Analysing and Assessing Accountability: A Conceptual Framework,” </w:t>
      </w:r>
      <w:r>
        <w:rPr>
          <w:rFonts w:ascii="Times New Roman" w:hAnsi="Times New Roman"/>
          <w:sz w:val="20"/>
          <w:szCs w:val="20"/>
          <w:i/>
        </w:rPr>
        <w:t xml:space="preserve">European Law Journal</w:t>
      </w:r>
      <w:r>
        <w:rPr>
          <w:rFonts w:ascii="Times New Roman" w:hAnsi="Times New Roman"/>
          <w:sz w:val="20"/>
          <w:szCs w:val="20"/>
        </w:rPr>
        <w:t xml:space="preserve"> 13, no. 4 (2007): 447–468, https://doi.org/10.1111/j.1468-0386.2007.00378.x.</w:t>
      </w:r>
    </w:p>
  </w:footnote>
  <w:footnote w:id="9">
    <w:p>
      <w:pPr>
        <w:spacing w:before="0" w:after="0" w:line="240" w:lineRule="auto"/>
      </w:pPr>
      <w:r>
        <w:rPr>
          <w:rStyle w:val="FootnoteReference"/>
        </w:rPr>
        <w:footnoteRef/>
        <w:t xml:space="preserve"> </w:t>
      </w:r>
      <w:r>
        <w:rPr>
          <w:rFonts w:ascii="Times New Roman" w:hAnsi="Times New Roman"/>
          <w:sz w:val="20"/>
          <w:szCs w:val="20"/>
        </w:rPr>
        <w:t xml:space="preserve">Joseph G. Manning, “Middle Range Theory: A Review of </w:t>
      </w:r>
      <w:r>
        <w:rPr>
          <w:rFonts w:ascii="Times New Roman" w:hAnsi="Times New Roman"/>
          <w:sz w:val="20"/>
          <w:szCs w:val="20"/>
          <w:i/>
        </w:rPr>
        <w:t xml:space="preserve">The Origins of Political Order: From Prehuman Times to the French Revolution</w:t>
      </w:r>
      <w:r>
        <w:rPr>
          <w:rFonts w:ascii="Times New Roman" w:hAnsi="Times New Roman"/>
          <w:sz w:val="20"/>
          <w:szCs w:val="20"/>
        </w:rPr>
        <w:t xml:space="preserve">,” </w:t>
      </w:r>
      <w:r>
        <w:rPr>
          <w:rFonts w:ascii="Times New Roman" w:hAnsi="Times New Roman"/>
          <w:sz w:val="20"/>
          <w:szCs w:val="20"/>
          <w:i/>
        </w:rPr>
        <w:t xml:space="preserve">Cliodynamics</w:t>
      </w:r>
      <w:r>
        <w:rPr>
          <w:rFonts w:ascii="Times New Roman" w:hAnsi="Times New Roman"/>
          <w:sz w:val="20"/>
          <w:szCs w:val="20"/>
        </w:rPr>
        <w:t xml:space="preserve"> 2, no. 2 (2011): 333–340, https://doi.org/10.21237/C7clio2211720.</w:t>
      </w:r>
    </w:p>
  </w:footnote>
  <w:footnote w:id="10">
    <w:p>
      <w:pPr>
        <w:spacing w:before="0" w:after="0" w:line="240" w:lineRule="auto"/>
      </w:pPr>
      <w:r>
        <w:rPr>
          <w:rStyle w:val="FootnoteReference"/>
        </w:rPr>
        <w:footnoteRef/>
        <w:t xml:space="preserve"> </w:t>
      </w:r>
      <w:r>
        <w:rPr>
          <w:rFonts w:ascii="Times New Roman" w:hAnsi="Times New Roman"/>
          <w:sz w:val="20"/>
          <w:szCs w:val="20"/>
        </w:rPr>
        <w:t xml:space="preserve">Martin Hewson, review of </w:t>
      </w:r>
      <w:r>
        <w:rPr>
          <w:rFonts w:ascii="Times New Roman" w:hAnsi="Times New Roman"/>
          <w:sz w:val="20"/>
          <w:szCs w:val="20"/>
          <w:i/>
        </w:rPr>
        <w:t xml:space="preserve">The Origins of Political Order: From Prehuman Times to the French Revolution</w:t>
      </w:r>
      <w:r>
        <w:rPr>
          <w:rFonts w:ascii="Times New Roman" w:hAnsi="Times New Roman"/>
          <w:sz w:val="20"/>
          <w:szCs w:val="20"/>
        </w:rPr>
        <w:t xml:space="preserve">, </w:t>
      </w:r>
      <w:r>
        <w:rPr>
          <w:rFonts w:ascii="Times New Roman" w:hAnsi="Times New Roman"/>
          <w:sz w:val="20"/>
          <w:szCs w:val="20"/>
          <w:i/>
        </w:rPr>
        <w:t xml:space="preserve">Reviews in History</w:t>
      </w:r>
      <w:r>
        <w:rPr>
          <w:rFonts w:ascii="Times New Roman" w:hAnsi="Times New Roman"/>
          <w:sz w:val="20"/>
          <w:szCs w:val="20"/>
        </w:rPr>
        <w:t xml:space="preserve">, review no. 1261 (31 May 2012).</w:t>
      </w:r>
    </w:p>
  </w:footnote>
  <w:footnote w:id="11">
    <w:p>
      <w:pPr>
        <w:spacing w:before="0" w:after="0" w:line="240" w:lineRule="auto"/>
      </w:pPr>
      <w:r>
        <w:rPr>
          <w:rStyle w:val="FootnoteReference"/>
        </w:rPr>
        <w:footnoteRef/>
        <w:t xml:space="preserve"> </w:t>
      </w:r>
      <w:r>
        <w:rPr>
          <w:rFonts w:ascii="Times New Roman" w:hAnsi="Times New Roman"/>
          <w:sz w:val="20"/>
          <w:szCs w:val="20"/>
        </w:rPr>
        <w:t xml:space="preserve">James A. Montanye, “The Origin of Political Order,” </w:t>
      </w:r>
      <w:r>
        <w:rPr>
          <w:rFonts w:ascii="Times New Roman" w:hAnsi="Times New Roman"/>
          <w:sz w:val="20"/>
          <w:szCs w:val="20"/>
          <w:i/>
        </w:rPr>
        <w:t xml:space="preserve">The Independent Review</w:t>
      </w:r>
      <w:r>
        <w:rPr>
          <w:rFonts w:ascii="Times New Roman" w:hAnsi="Times New Roman"/>
          <w:sz w:val="20"/>
          <w:szCs w:val="20"/>
        </w:rPr>
        <w:t xml:space="preserve"> 16, no. 3 (Winter 2011/12).</w:t>
      </w:r>
    </w:p>
  </w:footnote>
  <w:footnote w:id="12">
    <w:p>
      <w:pPr>
        <w:spacing w:before="0" w:after="0" w:line="240" w:lineRule="auto"/>
      </w:pPr>
      <w:r>
        <w:rPr>
          <w:rStyle w:val="FootnoteReference"/>
        </w:rPr>
        <w:footnoteRef/>
        <w:t xml:space="preserve"> </w:t>
      </w:r>
      <w:r>
        <w:rPr>
          <w:rFonts w:ascii="Times New Roman" w:hAnsi="Times New Roman"/>
          <w:sz w:val="20"/>
          <w:szCs w:val="20"/>
        </w:rPr>
        <w:t xml:space="preserve">Alina Mungiu-Pippidi, “The Evolution of Political Order,” </w:t>
      </w:r>
      <w:r>
        <w:rPr>
          <w:rFonts w:ascii="Times New Roman" w:hAnsi="Times New Roman"/>
          <w:sz w:val="20"/>
          <w:szCs w:val="20"/>
          <w:i/>
        </w:rPr>
        <w:t xml:space="preserve">Journal of Democracy</w:t>
      </w:r>
      <w:r>
        <w:rPr>
          <w:rFonts w:ascii="Times New Roman" w:hAnsi="Times New Roman"/>
          <w:sz w:val="20"/>
          <w:szCs w:val="20"/>
        </w:rPr>
        <w:t xml:space="preserve"> 26, no. 4 (2015): 169–175.</w:t>
      </w:r>
    </w:p>
  </w:footnote>
  <w:footnote w:id="13">
    <w:p>
      <w:pPr>
        <w:spacing w:before="0" w:after="0" w:line="240" w:lineRule="auto"/>
      </w:pPr>
      <w:r>
        <w:rPr>
          <w:rStyle w:val="FootnoteReference"/>
        </w:rPr>
        <w:footnoteRef/>
        <w:t xml:space="preserve"> </w:t>
      </w:r>
      <w:r>
        <w:rPr>
          <w:rFonts w:ascii="Times New Roman" w:hAnsi="Times New Roman"/>
          <w:sz w:val="20"/>
          <w:szCs w:val="20"/>
        </w:rPr>
        <w:t xml:space="preserve">Gregory Melleuish, “Francis Fukuyama and the Origins of Political Order and the State: A Historical Critique,” </w:t>
      </w:r>
      <w:r>
        <w:rPr>
          <w:rFonts w:ascii="Times New Roman" w:hAnsi="Times New Roman"/>
          <w:sz w:val="20"/>
          <w:szCs w:val="20"/>
          <w:i/>
        </w:rPr>
        <w:t xml:space="preserve">Australian Journal of Politics &amp; History</w:t>
      </w:r>
      <w:r>
        <w:rPr>
          <w:rFonts w:ascii="Times New Roman" w:hAnsi="Times New Roman"/>
          <w:sz w:val="20"/>
          <w:szCs w:val="20"/>
        </w:rPr>
        <w:t xml:space="preserve"> 58, no. 1 (2012): 112–122, https://doi.org/10.1111/j.1467-8497.2012.01627.x. Only the publisher abstract was available for substantive inspection.</w:t>
      </w:r>
    </w:p>
  </w:footnote>
  <w:footnote w:id="14">
    <w:p>
      <w:pPr>
        <w:spacing w:before="0" w:after="0" w:line="240" w:lineRule="auto"/>
      </w:pPr>
      <w:r>
        <w:rPr>
          <w:rStyle w:val="FootnoteReference"/>
        </w:rPr>
        <w:footnoteRef/>
        <w:t xml:space="preserve"> </w:t>
      </w:r>
      <w:r>
        <w:rPr>
          <w:rFonts w:ascii="Times New Roman" w:hAnsi="Times New Roman"/>
          <w:sz w:val="20"/>
          <w:szCs w:val="20"/>
        </w:rPr>
        <w:t xml:space="preserve">Francis Fukuyama, “Macro Theory and the Study of Political Development,” </w:t>
      </w:r>
      <w:r>
        <w:rPr>
          <w:rFonts w:ascii="Times New Roman" w:hAnsi="Times New Roman"/>
          <w:sz w:val="20"/>
          <w:szCs w:val="20"/>
          <w:i/>
        </w:rPr>
        <w:t xml:space="preserve">Scandinavian Political Studies</w:t>
      </w:r>
      <w:r>
        <w:rPr>
          <w:rFonts w:ascii="Times New Roman" w:hAnsi="Times New Roman"/>
          <w:sz w:val="20"/>
          <w:szCs w:val="20"/>
        </w:rPr>
        <w:t xml:space="preserve"> 39, no. 3 (2016): 207–225, https://doi.org/10.1111/1467-9477.12064.</w:t>
      </w:r>
    </w:p>
  </w:footnote>
  <w:footnote w:id="15">
    <w:p>
      <w:pPr>
        <w:spacing w:before="0" w:after="0" w:line="240" w:lineRule="auto"/>
      </w:pPr>
      <w:r>
        <w:rPr>
          <w:rStyle w:val="FootnoteReference"/>
        </w:rPr>
        <w:footnoteRef/>
        <w:t xml:space="preserve"> </w:t>
      </w:r>
      <w:r>
        <w:rPr>
          <w:rFonts w:ascii="Times New Roman" w:hAnsi="Times New Roman"/>
          <w:sz w:val="20"/>
          <w:szCs w:val="20"/>
        </w:rPr>
        <w:t xml:space="preserve">J. T. Gilchrist, “Canon Law Aspects of the Eleventh Century Gregorian Reform Programme,” </w:t>
      </w:r>
      <w:r>
        <w:rPr>
          <w:rFonts w:ascii="Times New Roman" w:hAnsi="Times New Roman"/>
          <w:sz w:val="20"/>
          <w:szCs w:val="20"/>
          <w:i/>
        </w:rPr>
        <w:t xml:space="preserve">Journal of Ecclesiastical History</w:t>
      </w:r>
      <w:r>
        <w:rPr>
          <w:rFonts w:ascii="Times New Roman" w:hAnsi="Times New Roman"/>
          <w:sz w:val="20"/>
          <w:szCs w:val="20"/>
        </w:rPr>
        <w:t xml:space="preserve"> 13, no. 1 (April 1962): 21–38, https://doi.org/10.1017/S0022046900065647.</w:t>
      </w:r>
    </w:p>
  </w:footnote>
  <w:footnote w:id="16">
    <w:p>
      <w:pPr>
        <w:spacing w:before="0" w:after="0" w:line="240" w:lineRule="auto"/>
      </w:pPr>
      <w:r>
        <w:rPr>
          <w:rStyle w:val="FootnoteReference"/>
        </w:rPr>
        <w:footnoteRef/>
        <w:t xml:space="preserve"> </w:t>
      </w:r>
      <w:r>
        <w:rPr>
          <w:rFonts w:ascii="Times New Roman" w:hAnsi="Times New Roman"/>
          <w:sz w:val="20"/>
          <w:szCs w:val="20"/>
        </w:rPr>
        <w:t xml:space="preserve">Mark Bovens, “Analysing and Assessing Accountability: A Conceptual Framework,” </w:t>
      </w:r>
      <w:r>
        <w:rPr>
          <w:rFonts w:ascii="Times New Roman" w:hAnsi="Times New Roman"/>
          <w:sz w:val="20"/>
          <w:szCs w:val="20"/>
          <w:i/>
        </w:rPr>
        <w:t xml:space="preserve">European Law Journal</w:t>
      </w:r>
      <w:r>
        <w:rPr>
          <w:rFonts w:ascii="Times New Roman" w:hAnsi="Times New Roman"/>
          <w:sz w:val="20"/>
          <w:szCs w:val="20"/>
        </w:rPr>
        <w:t xml:space="preserve"> 13, no. 4 (2007): 447–468, https://doi.org/10.1111/j.1468-0386.2007.00378.x.</w:t>
      </w:r>
    </w:p>
  </w:footnote>
  <w:footnote w:id="17">
    <w:p>
      <w:pPr>
        <w:spacing w:before="0" w:after="0" w:line="240" w:lineRule="auto"/>
      </w:pPr>
      <w:r>
        <w:rPr>
          <w:rStyle w:val="FootnoteReference"/>
        </w:rPr>
        <w:footnoteRef/>
        <w:t xml:space="preserve"> </w:t>
      </w:r>
      <w:r>
        <w:rPr>
          <w:rFonts w:ascii="Times New Roman" w:hAnsi="Times New Roman"/>
          <w:sz w:val="20"/>
          <w:szCs w:val="20"/>
        </w:rPr>
        <w:t xml:space="preserve">Mark Edward Lewis, </w:t>
      </w:r>
      <w:r>
        <w:rPr>
          <w:rFonts w:ascii="Times New Roman" w:hAnsi="Times New Roman"/>
          <w:sz w:val="20"/>
          <w:szCs w:val="20"/>
          <w:i/>
        </w:rPr>
        <w:t xml:space="preserve">The Early Chinese Empires: Qin and Han</w:t>
      </w:r>
      <w:r>
        <w:rPr>
          <w:rFonts w:ascii="Times New Roman" w:hAnsi="Times New Roman"/>
          <w:sz w:val="20"/>
          <w:szCs w:val="20"/>
        </w:rPr>
        <w:t xml:space="preserve"> (Cambridge, MA: Belknap Press of Harvard University Press, 2007), 30–74, 155–177, 227–252, https://doi.org/10.2307/j.ctv1kmj82j; Charles Sanft, </w:t>
      </w:r>
      <w:r>
        <w:rPr>
          <w:rFonts w:ascii="Times New Roman" w:hAnsi="Times New Roman"/>
          <w:sz w:val="20"/>
          <w:szCs w:val="20"/>
          <w:i/>
        </w:rPr>
        <w:t xml:space="preserve">Communication and Cooperation in Early Imperial China: Publicizing the Qin Dynasty</w:t>
      </w:r>
      <w:r>
        <w:rPr>
          <w:rFonts w:ascii="Times New Roman" w:hAnsi="Times New Roman"/>
          <w:sz w:val="20"/>
          <w:szCs w:val="20"/>
        </w:rPr>
        <w:t xml:space="preserve"> (Albany: State University of New York Press, 2014), 123–146, https://doi.org/10.2307/jj.18252242.</w:t>
      </w:r>
    </w:p>
  </w:footnote>
  <w:footnote w:id="18">
    <w:p>
      <w:pPr>
        <w:spacing w:before="0" w:after="0" w:line="240" w:lineRule="auto"/>
      </w:pPr>
      <w:r>
        <w:rPr>
          <w:rStyle w:val="FootnoteReference"/>
        </w:rPr>
        <w:footnoteRef/>
        <w:t xml:space="preserve"> </w:t>
      </w:r>
      <w:r>
        <w:rPr>
          <w:rFonts w:ascii="Times New Roman" w:hAnsi="Times New Roman"/>
          <w:sz w:val="20"/>
          <w:szCs w:val="20"/>
        </w:rPr>
        <w:t xml:space="preserve">Gérard Fussman, “Pouvoir central et régions dans l’Inde ancienne: le problème de l’empire maurya,” </w:t>
      </w:r>
      <w:r>
        <w:rPr>
          <w:rFonts w:ascii="Times New Roman" w:hAnsi="Times New Roman"/>
          <w:sz w:val="20"/>
          <w:szCs w:val="20"/>
          <w:i/>
        </w:rPr>
        <w:t xml:space="preserve">Annales. Économies, Sociétés, Civilisations</w:t>
      </w:r>
      <w:r>
        <w:rPr>
          <w:rFonts w:ascii="Times New Roman" w:hAnsi="Times New Roman"/>
          <w:sz w:val="20"/>
          <w:szCs w:val="20"/>
        </w:rPr>
        <w:t xml:space="preserve"> 37, no. 4 (1982): 621–647, https://doi.org/10.3406/ahess.1982.282876; Mark McClish, “Statecraft, Law, and Religion in Ancient India,” in </w:t>
      </w:r>
      <w:r>
        <w:rPr>
          <w:rFonts w:ascii="Times New Roman" w:hAnsi="Times New Roman"/>
          <w:sz w:val="20"/>
          <w:szCs w:val="20"/>
          <w:i/>
        </w:rPr>
        <w:t xml:space="preserve">The History of the Arthasastra: Sovereignty and Sacred Law in Ancient India</w:t>
      </w:r>
      <w:r>
        <w:rPr>
          <w:rFonts w:ascii="Times New Roman" w:hAnsi="Times New Roman"/>
          <w:sz w:val="20"/>
          <w:szCs w:val="20"/>
        </w:rPr>
        <w:t xml:space="preserve"> (Cambridge: Cambridge University Press, 2019), 208–223, https://doi.org/10.1017/9781108641586.009; Timothy Lubin, “Religious Endowments in Ancient India and the Institutionalization of Brahmin Caste Status,” </w:t>
      </w:r>
      <w:r>
        <w:rPr>
          <w:rFonts w:ascii="Times New Roman" w:hAnsi="Times New Roman"/>
          <w:sz w:val="20"/>
          <w:szCs w:val="20"/>
          <w:i/>
        </w:rPr>
        <w:t xml:space="preserve">American Journal of Legal History</w:t>
      </w:r>
      <w:r>
        <w:rPr>
          <w:rFonts w:ascii="Times New Roman" w:hAnsi="Times New Roman"/>
          <w:sz w:val="20"/>
          <w:szCs w:val="20"/>
        </w:rPr>
        <w:t xml:space="preserve"> 63, no. 2 (2023): 97–114, https://doi.org/10.1093/ajlh/njad023.</w:t>
      </w:r>
    </w:p>
  </w:footnote>
  <w:footnote w:id="19">
    <w:p>
      <w:pPr>
        <w:spacing w:before="0" w:after="0" w:line="240" w:lineRule="auto"/>
      </w:pPr>
      <w:r>
        <w:rPr>
          <w:rStyle w:val="FootnoteReference"/>
        </w:rPr>
        <w:footnoteRef/>
        <w:t xml:space="preserve"> </w:t>
      </w:r>
      <w:r>
        <w:rPr>
          <w:rFonts w:ascii="Times New Roman" w:hAnsi="Times New Roman"/>
          <w:sz w:val="20"/>
          <w:szCs w:val="20"/>
        </w:rPr>
        <w:t xml:space="preserve">V. L. Ménage, “Some Notes on the Devshirme,” </w:t>
      </w:r>
      <w:r>
        <w:rPr>
          <w:rFonts w:ascii="Times New Roman" w:hAnsi="Times New Roman"/>
          <w:sz w:val="20"/>
          <w:szCs w:val="20"/>
          <w:i/>
        </w:rPr>
        <w:t xml:space="preserve">Bulletin of the School of Oriental and African Studies</w:t>
      </w:r>
      <w:r>
        <w:rPr>
          <w:rFonts w:ascii="Times New Roman" w:hAnsi="Times New Roman"/>
          <w:sz w:val="20"/>
          <w:szCs w:val="20"/>
        </w:rPr>
        <w:t xml:space="preserve"> 29, no. 1 (1966): 64–78, https://doi.org/10.1017/S0041977X0006081X; Jane Hathaway, “The Military Household in Ottoman Egypt,” </w:t>
      </w:r>
      <w:r>
        <w:rPr>
          <w:rFonts w:ascii="Times New Roman" w:hAnsi="Times New Roman"/>
          <w:sz w:val="20"/>
          <w:szCs w:val="20"/>
          <w:i/>
        </w:rPr>
        <w:t xml:space="preserve">International Journal of Middle East Studies</w:t>
      </w:r>
      <w:r>
        <w:rPr>
          <w:rFonts w:ascii="Times New Roman" w:hAnsi="Times New Roman"/>
          <w:sz w:val="20"/>
          <w:szCs w:val="20"/>
        </w:rPr>
        <w:t xml:space="preserve"> 27, no. 1 (1995): 39–52, https://doi.org/10.1017/S0020743800061572.</w:t>
      </w:r>
    </w:p>
  </w:footnote>
  <w:footnote w:id="20">
    <w:p>
      <w:pPr>
        <w:spacing w:before="0" w:after="0" w:line="240" w:lineRule="auto"/>
      </w:pPr>
      <w:r>
        <w:rPr>
          <w:rStyle w:val="FootnoteReference"/>
        </w:rPr>
        <w:footnoteRef/>
        <w:t xml:space="preserve"> </w:t>
      </w:r>
      <w:r>
        <w:rPr>
          <w:rFonts w:ascii="Times New Roman" w:hAnsi="Times New Roman"/>
          <w:sz w:val="20"/>
          <w:szCs w:val="20"/>
        </w:rPr>
        <w:t xml:space="preserve">Jack Goody, </w:t>
      </w:r>
      <w:r>
        <w:rPr>
          <w:rFonts w:ascii="Times New Roman" w:hAnsi="Times New Roman"/>
          <w:sz w:val="20"/>
          <w:szCs w:val="20"/>
          <w:i/>
        </w:rPr>
        <w:t xml:space="preserve">The Development of the Family and Marriage in Europe</w:t>
      </w:r>
      <w:r>
        <w:rPr>
          <w:rFonts w:ascii="Times New Roman" w:hAnsi="Times New Roman"/>
          <w:sz w:val="20"/>
          <w:szCs w:val="20"/>
        </w:rPr>
        <w:t xml:space="preserve"> (Cambridge: Cambridge University Press, 1983); Jonathan F. Schulz et al., “The Church, Intensive Kinship, and Global Psychological Variation,” </w:t>
      </w:r>
      <w:r>
        <w:rPr>
          <w:rFonts w:ascii="Times New Roman" w:hAnsi="Times New Roman"/>
          <w:sz w:val="20"/>
          <w:szCs w:val="20"/>
          <w:i/>
        </w:rPr>
        <w:t xml:space="preserve">Science</w:t>
      </w:r>
      <w:r>
        <w:rPr>
          <w:rFonts w:ascii="Times New Roman" w:hAnsi="Times New Roman"/>
          <w:sz w:val="20"/>
          <w:szCs w:val="20"/>
        </w:rPr>
        <w:t xml:space="preserve"> 366, no. 6466 (2019): eaau5141, https://doi.org/10.1126/science.aau5141.</w:t>
      </w:r>
    </w:p>
  </w:footnote>
  <w:footnote w:id="21">
    <w:p>
      <w:pPr>
        <w:spacing w:before="0" w:after="0" w:line="240" w:lineRule="auto"/>
      </w:pPr>
      <w:r>
        <w:rPr>
          <w:rStyle w:val="FootnoteReference"/>
        </w:rPr>
        <w:footnoteRef/>
        <w:t xml:space="preserve"> </w:t>
      </w:r>
      <w:r>
        <w:rPr>
          <w:rFonts w:ascii="Times New Roman" w:hAnsi="Times New Roman"/>
          <w:sz w:val="20"/>
          <w:szCs w:val="20"/>
        </w:rPr>
        <w:t xml:space="preserve">Joseph Henrich and Michael Muthukrishna, “The Origins and Psychology of Human Cooperation,” </w:t>
      </w:r>
      <w:r>
        <w:rPr>
          <w:rFonts w:ascii="Times New Roman" w:hAnsi="Times New Roman"/>
          <w:sz w:val="20"/>
          <w:szCs w:val="20"/>
          <w:i/>
        </w:rPr>
        <w:t xml:space="preserve">Annual Review of Psychology</w:t>
      </w:r>
      <w:r>
        <w:rPr>
          <w:rFonts w:ascii="Times New Roman" w:hAnsi="Times New Roman"/>
          <w:sz w:val="20"/>
          <w:szCs w:val="20"/>
        </w:rPr>
        <w:t xml:space="preserve"> 72 (2021): 207–240, https://doi.org/10.1146/annurev-psych-081920-042106; Carla Handley and Sarah Mathew, “Human Large-Scale Cooperation as a Product of Competition between Cultural Groups,” </w:t>
      </w:r>
      <w:r>
        <w:rPr>
          <w:rFonts w:ascii="Times New Roman" w:hAnsi="Times New Roman"/>
          <w:sz w:val="20"/>
          <w:szCs w:val="20"/>
          <w:i/>
        </w:rPr>
        <w:t xml:space="preserve">Nature Communications</w:t>
      </w:r>
      <w:r>
        <w:rPr>
          <w:rFonts w:ascii="Times New Roman" w:hAnsi="Times New Roman"/>
          <w:sz w:val="20"/>
          <w:szCs w:val="20"/>
        </w:rPr>
        <w:t xml:space="preserve"> 11 (2020): 702, https://doi.org/10.1038/s41467-020-14416-8.</w:t>
      </w:r>
    </w:p>
  </w:footnote>
  <w:footnote w:id="22">
    <w:p>
      <w:pPr>
        <w:spacing w:before="0" w:after="0" w:line="240" w:lineRule="auto"/>
      </w:pPr>
      <w:r>
        <w:rPr>
          <w:rStyle w:val="FootnoteReference"/>
        </w:rPr>
        <w:footnoteRef/>
        <w:t xml:space="preserve"> </w:t>
      </w:r>
      <w:r>
        <w:rPr>
          <w:rFonts w:ascii="Times New Roman" w:hAnsi="Times New Roman"/>
          <w:sz w:val="20"/>
          <w:szCs w:val="20"/>
        </w:rPr>
        <w:t xml:space="preserve">Kim R. Hill et al., “Co-Residence Patterns in Hunter-Gatherer Societies Show Unique Human Social Structure,” </w:t>
      </w:r>
      <w:r>
        <w:rPr>
          <w:rFonts w:ascii="Times New Roman" w:hAnsi="Times New Roman"/>
          <w:sz w:val="20"/>
          <w:szCs w:val="20"/>
          <w:i/>
        </w:rPr>
        <w:t xml:space="preserve">Science</w:t>
      </w:r>
      <w:r>
        <w:rPr>
          <w:rFonts w:ascii="Times New Roman" w:hAnsi="Times New Roman"/>
          <w:sz w:val="20"/>
          <w:szCs w:val="20"/>
        </w:rPr>
        <w:t xml:space="preserve"> 331, no. 6022 (2011): 1286–1289, https://doi.org/10.1126/science.1199071; Richard B. Lee, “Hunter-Gatherers and Human Evolution: New Light on Old Debates,” </w:t>
      </w:r>
      <w:r>
        <w:rPr>
          <w:rFonts w:ascii="Times New Roman" w:hAnsi="Times New Roman"/>
          <w:sz w:val="20"/>
          <w:szCs w:val="20"/>
          <w:i/>
        </w:rPr>
        <w:t xml:space="preserve">Annual Review of Anthropology</w:t>
      </w:r>
      <w:r>
        <w:rPr>
          <w:rFonts w:ascii="Times New Roman" w:hAnsi="Times New Roman"/>
          <w:sz w:val="20"/>
          <w:szCs w:val="20"/>
        </w:rPr>
        <w:t xml:space="preserve"> 47 (2018): 513–531, https://doi.org/10.1146/annurev-anthro-102116-041448.</w:t>
      </w:r>
    </w:p>
  </w:footnote>
  <w:footnote w:id="23">
    <w:p>
      <w:pPr>
        <w:spacing w:before="0" w:after="0" w:line="240" w:lineRule="auto"/>
      </w:pPr>
      <w:r>
        <w:rPr>
          <w:rStyle w:val="FootnoteReference"/>
        </w:rPr>
        <w:footnoteRef/>
        <w:t xml:space="preserve"> </w:t>
      </w:r>
      <w:r>
        <w:rPr>
          <w:rFonts w:ascii="Times New Roman" w:hAnsi="Times New Roman"/>
          <w:sz w:val="20"/>
          <w:szCs w:val="20"/>
        </w:rPr>
        <w:t xml:space="preserve">Stanford University, Freeman Spogli Institute for International Studies, “Francis Fukuyama,” institutional faculty profile and curriculum vitae, accessed September 28, 2026, https://fsi.stanford.edu/people/fukuyama.</w:t>
      </w:r>
    </w:p>
  </w:footnote>
  <w:footnote w:id="24">
    <w:p>
      <w:pPr>
        <w:spacing w:before="0" w:after="0" w:line="240" w:lineRule="auto"/>
      </w:pPr>
      <w:r>
        <w:rPr>
          <w:rStyle w:val="FootnoteReference"/>
        </w:rPr>
        <w:footnoteRef/>
        <w:t xml:space="preserve"> </w:t>
      </w:r>
      <w:r>
        <w:rPr>
          <w:rFonts w:ascii="Times New Roman" w:hAnsi="Times New Roman"/>
          <w:sz w:val="20"/>
          <w:szCs w:val="20"/>
        </w:rPr>
        <w:t xml:space="preserve">Francis Fukuyama, </w:t>
      </w:r>
      <w:r>
        <w:rPr>
          <w:rFonts w:ascii="Times New Roman" w:hAnsi="Times New Roman"/>
          <w:sz w:val="20"/>
          <w:szCs w:val="20"/>
          <w:i/>
        </w:rPr>
        <w:t xml:space="preserve">The Origins of Political Order: From Prehuman Times to the French Revolution</w:t>
      </w:r>
      <w:r>
        <w:rPr>
          <w:rFonts w:ascii="Times New Roman" w:hAnsi="Times New Roman"/>
          <w:sz w:val="20"/>
          <w:szCs w:val="20"/>
        </w:rPr>
        <w:t xml:space="preserve"> (New York: Farrar, Straus and Giroux, 2011); Francis Fukuyama, </w:t>
      </w:r>
      <w:r>
        <w:rPr>
          <w:rFonts w:ascii="Times New Roman" w:hAnsi="Times New Roman"/>
          <w:sz w:val="20"/>
          <w:szCs w:val="20"/>
          <w:i/>
        </w:rPr>
        <w:t xml:space="preserve">Political Order and Political Decay: From the Industrial Revolution to the Globalization of Democracy</w:t>
      </w:r>
      <w:r>
        <w:rPr>
          <w:rFonts w:ascii="Times New Roman" w:hAnsi="Times New Roman"/>
          <w:sz w:val="20"/>
          <w:szCs w:val="20"/>
        </w:rPr>
        <w:t xml:space="preserve"> (New York: Farrar, Straus and Giroux, 2014).</w:t>
      </w:r>
    </w:p>
  </w:footnote>
  <w:footnote w:id="25">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 “Fantasies of Statelessness” and “Getting to Denmark.”</w:t>
      </w:r>
    </w:p>
  </w:footnote>
  <w:footnote w:id="26">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 “China First” and “Turtles All the Way Down.”</w:t>
      </w:r>
    </w:p>
  </w:footnote>
  <w:footnote w:id="27">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 “Getting to Denmark.”</w:t>
      </w:r>
    </w:p>
  </w:footnote>
  <w:footnote w:id="28">
    <w:p>
      <w:pPr>
        <w:spacing w:before="0" w:after="0" w:line="240" w:lineRule="auto"/>
      </w:pPr>
      <w:r>
        <w:rPr>
          <w:rStyle w:val="FootnoteReference"/>
        </w:rPr>
        <w:footnoteRef/>
        <w:t xml:space="preserve"> </w:t>
      </w:r>
      <w:r>
        <w:rPr>
          <w:rFonts w:ascii="Times New Roman" w:hAnsi="Times New Roman"/>
          <w:sz w:val="20"/>
          <w:szCs w:val="20"/>
        </w:rPr>
        <w:t xml:space="preserve">Ibid.</w:t>
      </w:r>
    </w:p>
  </w:footnote>
  <w:footnote w:id="29">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 “Specifically Human.”</w:t>
      </w:r>
    </w:p>
  </w:footnote>
  <w:footnote w:id="30">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 “The Struggle for Recognition.”</w:t>
      </w:r>
    </w:p>
  </w:footnote>
  <w:footnote w:id="31">
    <w:p>
      <w:pPr>
        <w:spacing w:before="0" w:after="0" w:line="240" w:lineRule="auto"/>
      </w:pPr>
      <w:r>
        <w:rPr>
          <w:rStyle w:val="FootnoteReference"/>
        </w:rPr>
        <w:footnoteRef/>
        <w:t xml:space="preserve"> </w:t>
      </w:r>
      <w:r>
        <w:rPr>
          <w:rFonts w:ascii="Times New Roman" w:hAnsi="Times New Roman"/>
          <w:sz w:val="20"/>
          <w:szCs w:val="20"/>
        </w:rPr>
        <w:t xml:space="preserve">Joseph Henrich and Michael Muthukrishna, “The Origins and Psychology of Human Cooperation,” </w:t>
      </w:r>
      <w:r>
        <w:rPr>
          <w:rFonts w:ascii="Times New Roman" w:hAnsi="Times New Roman"/>
          <w:sz w:val="20"/>
          <w:szCs w:val="20"/>
          <w:i/>
        </w:rPr>
        <w:t xml:space="preserve">Annual Review of Psychology</w:t>
      </w:r>
      <w:r>
        <w:rPr>
          <w:rFonts w:ascii="Times New Roman" w:hAnsi="Times New Roman"/>
          <w:sz w:val="20"/>
          <w:szCs w:val="20"/>
        </w:rPr>
        <w:t xml:space="preserve"> 72 (2021): 207–240, https://doi.org/10.1146/annurev-psych-081920-042106.</w:t>
      </w:r>
    </w:p>
  </w:footnote>
  <w:footnote w:id="32">
    <w:p>
      <w:pPr>
        <w:spacing w:before="0" w:after="0" w:line="240" w:lineRule="auto"/>
      </w:pPr>
      <w:r>
        <w:rPr>
          <w:rStyle w:val="FootnoteReference"/>
        </w:rPr>
        <w:footnoteRef/>
        <w:t xml:space="preserve"> </w:t>
      </w:r>
      <w:r>
        <w:rPr>
          <w:rFonts w:ascii="Times New Roman" w:hAnsi="Times New Roman"/>
          <w:sz w:val="20"/>
          <w:szCs w:val="20"/>
        </w:rPr>
        <w:t xml:space="preserve">Kim R. Hill et al., “Co-Residence Patterns in Hunter-Gatherer Societies Show Unique Human Social Structure,” </w:t>
      </w:r>
      <w:r>
        <w:rPr>
          <w:rFonts w:ascii="Times New Roman" w:hAnsi="Times New Roman"/>
          <w:sz w:val="20"/>
          <w:szCs w:val="20"/>
          <w:i/>
        </w:rPr>
        <w:t xml:space="preserve">Science</w:t>
      </w:r>
      <w:r>
        <w:rPr>
          <w:rFonts w:ascii="Times New Roman" w:hAnsi="Times New Roman"/>
          <w:sz w:val="20"/>
          <w:szCs w:val="20"/>
        </w:rPr>
        <w:t xml:space="preserve"> 331, no. 6022 (2011): 1286–1289, https://doi.org/10.1126/science.1199071.</w:t>
      </w:r>
    </w:p>
  </w:footnote>
  <w:footnote w:id="33">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3 and 5.</w:t>
      </w:r>
    </w:p>
  </w:footnote>
  <w:footnote w:id="34">
    <w:p>
      <w:pPr>
        <w:spacing w:before="0" w:after="0" w:line="240" w:lineRule="auto"/>
      </w:pPr>
      <w:r>
        <w:rPr>
          <w:rStyle w:val="FootnoteReference"/>
        </w:rPr>
        <w:footnoteRef/>
        <w:t xml:space="preserve"> </w:t>
      </w:r>
      <w:r>
        <w:rPr>
          <w:rFonts w:ascii="Times New Roman" w:hAnsi="Times New Roman"/>
          <w:sz w:val="20"/>
          <w:szCs w:val="20"/>
        </w:rPr>
        <w:t xml:space="preserve">Thomas Hobbes, </w:t>
      </w:r>
      <w:r>
        <w:rPr>
          <w:rFonts w:ascii="Times New Roman" w:hAnsi="Times New Roman"/>
          <w:sz w:val="20"/>
          <w:szCs w:val="20"/>
          <w:i/>
        </w:rPr>
        <w:t xml:space="preserve">Leviathan</w:t>
      </w:r>
      <w:r>
        <w:rPr>
          <w:rFonts w:ascii="Times New Roman" w:hAnsi="Times New Roman"/>
          <w:sz w:val="20"/>
          <w:szCs w:val="20"/>
        </w:rPr>
        <w:t xml:space="preserve">, ed. Richard Tuck, revised student edition (Cambridge: Cambridge University Press, 1996), chs. 13–18; John Locke, </w:t>
      </w:r>
      <w:r>
        <w:rPr>
          <w:rFonts w:ascii="Times New Roman" w:hAnsi="Times New Roman"/>
          <w:sz w:val="20"/>
          <w:szCs w:val="20"/>
          <w:i/>
        </w:rPr>
        <w:t xml:space="preserve">Second Treatise of Government</w:t>
      </w:r>
      <w:r>
        <w:rPr>
          <w:rFonts w:ascii="Times New Roman" w:hAnsi="Times New Roman"/>
          <w:sz w:val="20"/>
          <w:szCs w:val="20"/>
        </w:rPr>
        <w:t xml:space="preserve">, ed. C. B. Macpherson (Indianapolis: Hackett Publishing, 1980), §§4–21, 95, 123–131; Jean-Jacques Rousseau, </w:t>
      </w:r>
      <w:r>
        <w:rPr>
          <w:rFonts w:ascii="Times New Roman" w:hAnsi="Times New Roman"/>
          <w:sz w:val="20"/>
          <w:szCs w:val="20"/>
          <w:i/>
        </w:rPr>
        <w:t xml:space="preserve">Discourse on the Origin of Inequality</w:t>
      </w:r>
      <w:r>
        <w:rPr>
          <w:rFonts w:ascii="Times New Roman" w:hAnsi="Times New Roman"/>
          <w:sz w:val="20"/>
          <w:szCs w:val="20"/>
        </w:rPr>
        <w:t xml:space="preserve">, trans. Donald A. Cress (Indianapolis: Hackett Publishing, 1992), Preface and pts. I–II; Fukuyama, </w:t>
      </w:r>
      <w:r>
        <w:rPr>
          <w:rFonts w:ascii="Times New Roman" w:hAnsi="Times New Roman"/>
          <w:sz w:val="20"/>
          <w:szCs w:val="20"/>
          <w:i/>
        </w:rPr>
        <w:t xml:space="preserve">Origins</w:t>
      </w:r>
      <w:r>
        <w:rPr>
          <w:rFonts w:ascii="Times New Roman" w:hAnsi="Times New Roman"/>
          <w:sz w:val="20"/>
          <w:szCs w:val="20"/>
        </w:rPr>
        <w:t xml:space="preserve">, chs. 2–5.</w:t>
      </w:r>
    </w:p>
  </w:footnote>
  <w:footnote w:id="35">
    <w:p>
      <w:pPr>
        <w:spacing w:before="0" w:after="0" w:line="240" w:lineRule="auto"/>
      </w:pPr>
      <w:r>
        <w:rPr>
          <w:rStyle w:val="FootnoteReference"/>
        </w:rPr>
        <w:footnoteRef/>
        <w:t xml:space="preserve"> </w:t>
      </w:r>
      <w:r>
        <w:rPr>
          <w:rFonts w:ascii="Times New Roman" w:hAnsi="Times New Roman"/>
          <w:sz w:val="20"/>
          <w:szCs w:val="20"/>
        </w:rPr>
        <w:t xml:space="preserve">Hobbes, </w:t>
      </w:r>
      <w:r>
        <w:rPr>
          <w:rFonts w:ascii="Times New Roman" w:hAnsi="Times New Roman"/>
          <w:sz w:val="20"/>
          <w:szCs w:val="20"/>
          <w:i/>
        </w:rPr>
        <w:t xml:space="preserve">Leviathan</w:t>
      </w:r>
      <w:r>
        <w:rPr>
          <w:rFonts w:ascii="Times New Roman" w:hAnsi="Times New Roman"/>
          <w:sz w:val="20"/>
          <w:szCs w:val="20"/>
        </w:rPr>
        <w:t xml:space="preserve">, ch. 13.</w:t>
      </w:r>
    </w:p>
  </w:footnote>
  <w:footnote w:id="36">
    <w:p>
      <w:pPr>
        <w:spacing w:before="0" w:after="0" w:line="240" w:lineRule="auto"/>
      </w:pPr>
      <w:r>
        <w:rPr>
          <w:rStyle w:val="FootnoteReference"/>
        </w:rPr>
        <w:footnoteRef/>
        <w:t xml:space="preserve"> </w:t>
      </w:r>
      <w:r>
        <w:rPr>
          <w:rFonts w:ascii="Times New Roman" w:hAnsi="Times New Roman"/>
          <w:sz w:val="20"/>
          <w:szCs w:val="20"/>
        </w:rPr>
        <w:t xml:space="preserve">Ibid., chs. 14–17.</w:t>
      </w:r>
    </w:p>
  </w:footnote>
  <w:footnote w:id="37">
    <w:p>
      <w:pPr>
        <w:spacing w:before="0" w:after="0" w:line="240" w:lineRule="auto"/>
      </w:pPr>
      <w:r>
        <w:rPr>
          <w:rStyle w:val="FootnoteReference"/>
        </w:rPr>
        <w:footnoteRef/>
        <w:t xml:space="preserve"> </w:t>
      </w:r>
      <w:r>
        <w:rPr>
          <w:rFonts w:ascii="Times New Roman" w:hAnsi="Times New Roman"/>
          <w:sz w:val="20"/>
          <w:szCs w:val="20"/>
        </w:rPr>
        <w:t xml:space="preserve">Locke, </w:t>
      </w:r>
      <w:r>
        <w:rPr>
          <w:rFonts w:ascii="Times New Roman" w:hAnsi="Times New Roman"/>
          <w:sz w:val="20"/>
          <w:szCs w:val="20"/>
          <w:i/>
        </w:rPr>
        <w:t xml:space="preserve">Second Treatise</w:t>
      </w:r>
      <w:r>
        <w:rPr>
          <w:rFonts w:ascii="Times New Roman" w:hAnsi="Times New Roman"/>
          <w:sz w:val="20"/>
          <w:szCs w:val="20"/>
        </w:rPr>
        <w:t xml:space="preserve">, §§4–15.</w:t>
      </w:r>
    </w:p>
  </w:footnote>
  <w:footnote w:id="38">
    <w:p>
      <w:pPr>
        <w:spacing w:before="0" w:after="0" w:line="240" w:lineRule="auto"/>
      </w:pPr>
      <w:r>
        <w:rPr>
          <w:rStyle w:val="FootnoteReference"/>
        </w:rPr>
        <w:footnoteRef/>
        <w:t xml:space="preserve"> </w:t>
      </w:r>
      <w:r>
        <w:rPr>
          <w:rFonts w:ascii="Times New Roman" w:hAnsi="Times New Roman"/>
          <w:sz w:val="20"/>
          <w:szCs w:val="20"/>
        </w:rPr>
        <w:t xml:space="preserve">Ibid., §§25–51, 95, 123–131.</w:t>
      </w:r>
    </w:p>
  </w:footnote>
  <w:footnote w:id="39">
    <w:p>
      <w:pPr>
        <w:spacing w:before="0" w:after="0" w:line="240" w:lineRule="auto"/>
      </w:pPr>
      <w:r>
        <w:rPr>
          <w:rStyle w:val="FootnoteReference"/>
        </w:rPr>
        <w:footnoteRef/>
        <w:t xml:space="preserve"> </w:t>
      </w:r>
      <w:r>
        <w:rPr>
          <w:rFonts w:ascii="Times New Roman" w:hAnsi="Times New Roman"/>
          <w:sz w:val="20"/>
          <w:szCs w:val="20"/>
        </w:rPr>
        <w:t xml:space="preserve">Rousseau, </w:t>
      </w:r>
      <w:r>
        <w:rPr>
          <w:rFonts w:ascii="Times New Roman" w:hAnsi="Times New Roman"/>
          <w:sz w:val="20"/>
          <w:szCs w:val="20"/>
          <w:i/>
        </w:rPr>
        <w:t xml:space="preserve">Discourse on the Origin of Inequality</w:t>
      </w:r>
      <w:r>
        <w:rPr>
          <w:rFonts w:ascii="Times New Roman" w:hAnsi="Times New Roman"/>
          <w:sz w:val="20"/>
          <w:szCs w:val="20"/>
        </w:rPr>
        <w:t xml:space="preserve">, Preface and pt. I.</w:t>
      </w:r>
    </w:p>
  </w:footnote>
  <w:footnote w:id="40">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2–5.</w:t>
      </w:r>
    </w:p>
  </w:footnote>
  <w:footnote w:id="41">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4.</w:t>
      </w:r>
    </w:p>
  </w:footnote>
  <w:footnote w:id="42">
    <w:p>
      <w:pPr>
        <w:spacing w:before="0" w:after="0" w:line="240" w:lineRule="auto"/>
      </w:pPr>
      <w:r>
        <w:rPr>
          <w:rStyle w:val="FootnoteReference"/>
        </w:rPr>
        <w:footnoteRef/>
        <w:t xml:space="preserve"> </w:t>
      </w:r>
      <w:r>
        <w:rPr>
          <w:rFonts w:ascii="Times New Roman" w:hAnsi="Times New Roman"/>
          <w:sz w:val="20"/>
          <w:szCs w:val="20"/>
        </w:rPr>
        <w:t xml:space="preserve">Francis Fukuyama, </w:t>
      </w:r>
      <w:r>
        <w:rPr>
          <w:rFonts w:ascii="Times New Roman" w:hAnsi="Times New Roman"/>
          <w:sz w:val="20"/>
          <w:szCs w:val="20"/>
          <w:i/>
        </w:rPr>
        <w:t xml:space="preserve">The Origins of Political Order: From Prehuman Times to the French Revolution</w:t>
      </w:r>
      <w:r>
        <w:rPr>
          <w:rFonts w:ascii="Times New Roman" w:hAnsi="Times New Roman"/>
          <w:sz w:val="20"/>
          <w:szCs w:val="20"/>
        </w:rPr>
        <w:t xml:space="preserve"> (New York: Farrar, Straus and Giroux, 2011), chs. 5 and 29.</w:t>
      </w:r>
    </w:p>
  </w:footnote>
  <w:footnote w:id="43">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3–5.</w:t>
      </w:r>
    </w:p>
  </w:footnote>
  <w:footnote w:id="44">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29.</w:t>
      </w:r>
    </w:p>
  </w:footnote>
  <w:footnote w:id="45">
    <w:p>
      <w:pPr>
        <w:spacing w:before="0" w:after="0" w:line="240" w:lineRule="auto"/>
      </w:pPr>
      <w:r>
        <w:rPr>
          <w:rStyle w:val="FootnoteReference"/>
        </w:rPr>
        <w:footnoteRef/>
        <w:t xml:space="preserve"> </w:t>
      </w:r>
      <w:r>
        <w:rPr>
          <w:rFonts w:ascii="Times New Roman" w:hAnsi="Times New Roman"/>
          <w:sz w:val="20"/>
          <w:szCs w:val="20"/>
        </w:rPr>
        <w:t xml:space="preserve">Francis Fukuyama, </w:t>
      </w:r>
      <w:r>
        <w:rPr>
          <w:rFonts w:ascii="Times New Roman" w:hAnsi="Times New Roman"/>
          <w:sz w:val="20"/>
          <w:szCs w:val="20"/>
          <w:i/>
        </w:rPr>
        <w:t xml:space="preserve">Political Order and Political Decay: From the Industrial Revolution to the Globalization of Democracy</w:t>
      </w:r>
      <w:r>
        <w:rPr>
          <w:rFonts w:ascii="Times New Roman" w:hAnsi="Times New Roman"/>
          <w:sz w:val="20"/>
          <w:szCs w:val="20"/>
        </w:rPr>
        <w:t xml:space="preserve"> (New York: Farrar, Straus and Giroux, 2014), ch. 8.</w:t>
      </w:r>
    </w:p>
  </w:footnote>
  <w:footnote w:id="46">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29, “Ideas as Cause” and “The General Mechanism of Political Development.”</w:t>
      </w:r>
    </w:p>
  </w:footnote>
  <w:footnote w:id="47">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6–9 and 20–21.</w:t>
      </w:r>
    </w:p>
  </w:footnote>
  <w:footnote w:id="48">
    <w:p>
      <w:pPr>
        <w:spacing w:before="0" w:after="0" w:line="240" w:lineRule="auto"/>
      </w:pPr>
      <w:r>
        <w:rPr>
          <w:rStyle w:val="FootnoteReference"/>
        </w:rPr>
        <w:footnoteRef/>
        <w:t xml:space="preserve"> </w:t>
      </w:r>
      <w:r>
        <w:rPr>
          <w:rFonts w:ascii="Times New Roman" w:hAnsi="Times New Roman"/>
          <w:sz w:val="20"/>
          <w:szCs w:val="20"/>
        </w:rPr>
        <w:t xml:space="preserve">Mark Edward Lewis, </w:t>
      </w:r>
      <w:r>
        <w:rPr>
          <w:rFonts w:ascii="Times New Roman" w:hAnsi="Times New Roman"/>
          <w:sz w:val="20"/>
          <w:szCs w:val="20"/>
          <w:i/>
        </w:rPr>
        <w:t xml:space="preserve">The Early Chinese Empires: Qin and Han</w:t>
      </w:r>
      <w:r>
        <w:rPr>
          <w:rFonts w:ascii="Times New Roman" w:hAnsi="Times New Roman"/>
          <w:sz w:val="20"/>
          <w:szCs w:val="20"/>
        </w:rPr>
        <w:t xml:space="preserve"> (Cambridge, MA: Belknap Press of Harvard University Press, 2007), 30–74, 155–177, 227–252, https://doi.org/10.2307/j.ctv1kmj82j; Charles Sanft, </w:t>
      </w:r>
      <w:r>
        <w:rPr>
          <w:rFonts w:ascii="Times New Roman" w:hAnsi="Times New Roman"/>
          <w:sz w:val="20"/>
          <w:szCs w:val="20"/>
          <w:i/>
        </w:rPr>
        <w:t xml:space="preserve">Communication and Cooperation in Early Imperial China: Publicizing the Qin Dynasty</w:t>
      </w:r>
      <w:r>
        <w:rPr>
          <w:rFonts w:ascii="Times New Roman" w:hAnsi="Times New Roman"/>
          <w:sz w:val="20"/>
          <w:szCs w:val="20"/>
        </w:rPr>
        <w:t xml:space="preserve"> (Albany: State University of New York Press, 2014), 123–146, https://doi.org/10.2307/jj.18252242.</w:t>
      </w:r>
    </w:p>
  </w:footnote>
  <w:footnote w:id="49">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6–7.</w:t>
      </w:r>
    </w:p>
  </w:footnote>
  <w:footnote w:id="50">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7–8.</w:t>
      </w:r>
    </w:p>
  </w:footnote>
  <w:footnote w:id="51">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8–9.</w:t>
      </w:r>
    </w:p>
  </w:footnote>
  <w:footnote w:id="52">
    <w:p>
      <w:pPr>
        <w:spacing w:before="0" w:after="0" w:line="240" w:lineRule="auto"/>
      </w:pPr>
      <w:r>
        <w:rPr>
          <w:rStyle w:val="FootnoteReference"/>
        </w:rPr>
        <w:footnoteRef/>
        <w:t xml:space="preserve"> </w:t>
      </w:r>
      <w:r>
        <w:rPr>
          <w:rFonts w:ascii="Times New Roman" w:hAnsi="Times New Roman"/>
          <w:sz w:val="20"/>
          <w:szCs w:val="20"/>
        </w:rPr>
        <w:t xml:space="preserve">Gérard Fussman, “Pouvoir central et régions dans l’Inde ancienne: le problème de l’empire maurya,” </w:t>
      </w:r>
      <w:r>
        <w:rPr>
          <w:rFonts w:ascii="Times New Roman" w:hAnsi="Times New Roman"/>
          <w:sz w:val="20"/>
          <w:szCs w:val="20"/>
          <w:i/>
        </w:rPr>
        <w:t xml:space="preserve">Annales. Économies, Sociétés, Civilisations</w:t>
      </w:r>
      <w:r>
        <w:rPr>
          <w:rFonts w:ascii="Times New Roman" w:hAnsi="Times New Roman"/>
          <w:sz w:val="20"/>
          <w:szCs w:val="20"/>
        </w:rPr>
        <w:t xml:space="preserve"> 37, no. 4 (1982): 621–647, https://doi.org/10.3406/ahess.1982.282876; Monica L. Smith et al., “Finding History: The Locational Geography of Ashokan Inscriptions in the Indian Subcontinent,” </w:t>
      </w:r>
      <w:r>
        <w:rPr>
          <w:rFonts w:ascii="Times New Roman" w:hAnsi="Times New Roman"/>
          <w:sz w:val="20"/>
          <w:szCs w:val="20"/>
          <w:i/>
        </w:rPr>
        <w:t xml:space="preserve">Antiquity</w:t>
      </w:r>
      <w:r>
        <w:rPr>
          <w:rFonts w:ascii="Times New Roman" w:hAnsi="Times New Roman"/>
          <w:sz w:val="20"/>
          <w:szCs w:val="20"/>
        </w:rPr>
        <w:t xml:space="preserve"> 90, no. 350 (2016): 376–392, https://doi.org/10.15184/aqy.2016.6.</w:t>
      </w:r>
    </w:p>
  </w:footnote>
  <w:footnote w:id="53">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10–12 and 19.</w:t>
      </w:r>
    </w:p>
  </w:footnote>
  <w:footnote w:id="54">
    <w:p>
      <w:pPr>
        <w:spacing w:before="0" w:after="0" w:line="240" w:lineRule="auto"/>
      </w:pPr>
      <w:r>
        <w:rPr>
          <w:rStyle w:val="FootnoteReference"/>
        </w:rPr>
        <w:footnoteRef/>
        <w:t xml:space="preserve"> </w:t>
      </w:r>
      <w:r>
        <w:rPr>
          <w:rFonts w:ascii="Times New Roman" w:hAnsi="Times New Roman"/>
          <w:sz w:val="20"/>
          <w:szCs w:val="20"/>
        </w:rPr>
        <w:t xml:space="preserve">Mark McClish, “Statecraft, Law, and Religion in Ancient India,” in </w:t>
      </w:r>
      <w:r>
        <w:rPr>
          <w:rFonts w:ascii="Times New Roman" w:hAnsi="Times New Roman"/>
          <w:sz w:val="20"/>
          <w:szCs w:val="20"/>
          <w:i/>
        </w:rPr>
        <w:t xml:space="preserve">The History of the Arthasastra: Sovereignty and Sacred Law in Ancient India</w:t>
      </w:r>
      <w:r>
        <w:rPr>
          <w:rFonts w:ascii="Times New Roman" w:hAnsi="Times New Roman"/>
          <w:sz w:val="20"/>
          <w:szCs w:val="20"/>
        </w:rPr>
        <w:t xml:space="preserve"> (Cambridge: Cambridge University Press, 2019), 208–223, https://doi.org/10.1017/9781108641586.009; Timothy Lubin, “Religious Endowments in Ancient India and the Institutionalization of Brahmin Caste Status,” </w:t>
      </w:r>
      <w:r>
        <w:rPr>
          <w:rFonts w:ascii="Times New Roman" w:hAnsi="Times New Roman"/>
          <w:sz w:val="20"/>
          <w:szCs w:val="20"/>
          <w:i/>
        </w:rPr>
        <w:t xml:space="preserve">American Journal of Legal History</w:t>
      </w:r>
      <w:r>
        <w:rPr>
          <w:rFonts w:ascii="Times New Roman" w:hAnsi="Times New Roman"/>
          <w:sz w:val="20"/>
          <w:szCs w:val="20"/>
        </w:rPr>
        <w:t xml:space="preserve"> 63, no. 2 (2023): 97–114, https://doi.org/10.1093/ajlh/njad023.</w:t>
      </w:r>
    </w:p>
  </w:footnote>
  <w:footnote w:id="55">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13–15.</w:t>
      </w:r>
    </w:p>
  </w:footnote>
  <w:footnote w:id="56">
    <w:p>
      <w:pPr>
        <w:spacing w:before="0" w:after="0" w:line="240" w:lineRule="auto"/>
      </w:pPr>
      <w:r>
        <w:rPr>
          <w:rStyle w:val="FootnoteReference"/>
        </w:rPr>
        <w:footnoteRef/>
        <w:t xml:space="preserve"> </w:t>
      </w:r>
      <w:r>
        <w:rPr>
          <w:rFonts w:ascii="Times New Roman" w:hAnsi="Times New Roman"/>
          <w:sz w:val="20"/>
          <w:szCs w:val="20"/>
        </w:rPr>
        <w:t xml:space="preserve">V. L. Ménage, “Some Notes on the Devshirme,” </w:t>
      </w:r>
      <w:r>
        <w:rPr>
          <w:rFonts w:ascii="Times New Roman" w:hAnsi="Times New Roman"/>
          <w:sz w:val="20"/>
          <w:szCs w:val="20"/>
          <w:i/>
        </w:rPr>
        <w:t xml:space="preserve">Bulletin of the School of Oriental and African Studies</w:t>
      </w:r>
      <w:r>
        <w:rPr>
          <w:rFonts w:ascii="Times New Roman" w:hAnsi="Times New Roman"/>
          <w:sz w:val="20"/>
          <w:szCs w:val="20"/>
        </w:rPr>
        <w:t xml:space="preserve"> 29, no. 1 (1966): 64–78, https://doi.org/10.1017/S0041977X0006081X; Jane Hathaway, “The Military Household in Ottoman Egypt,” </w:t>
      </w:r>
      <w:r>
        <w:rPr>
          <w:rFonts w:ascii="Times New Roman" w:hAnsi="Times New Roman"/>
          <w:sz w:val="20"/>
          <w:szCs w:val="20"/>
          <w:i/>
        </w:rPr>
        <w:t xml:space="preserve">International Journal of Middle East Studies</w:t>
      </w:r>
      <w:r>
        <w:rPr>
          <w:rFonts w:ascii="Times New Roman" w:hAnsi="Times New Roman"/>
          <w:sz w:val="20"/>
          <w:szCs w:val="20"/>
        </w:rPr>
        <w:t xml:space="preserve"> 27, no. 1 (1995): 39–52, https://doi.org/10.1017/S0020743800061572.</w:t>
      </w:r>
    </w:p>
  </w:footnote>
  <w:footnote w:id="57">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11 and 17.</w:t>
      </w:r>
    </w:p>
  </w:footnote>
  <w:footnote w:id="58">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17.</w:t>
      </w:r>
    </w:p>
  </w:footnote>
  <w:footnote w:id="59">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18.</w:t>
      </w:r>
    </w:p>
  </w:footnote>
  <w:footnote w:id="60">
    <w:p>
      <w:pPr>
        <w:spacing w:before="0" w:after="0" w:line="240" w:lineRule="auto"/>
      </w:pPr>
      <w:r>
        <w:rPr>
          <w:rStyle w:val="FootnoteReference"/>
        </w:rPr>
        <w:footnoteRef/>
        <w:t xml:space="preserve"> </w:t>
      </w:r>
      <w:r>
        <w:rPr>
          <w:rFonts w:ascii="Times New Roman" w:hAnsi="Times New Roman"/>
          <w:sz w:val="20"/>
          <w:szCs w:val="20"/>
        </w:rPr>
        <w:t xml:space="preserve">J. T. Gilchrist, “Canon Law Aspects of the Eleventh Century Gregorian Reform Programme,” </w:t>
      </w:r>
      <w:r>
        <w:rPr>
          <w:rFonts w:ascii="Times New Roman" w:hAnsi="Times New Roman"/>
          <w:sz w:val="20"/>
          <w:szCs w:val="20"/>
          <w:i/>
        </w:rPr>
        <w:t xml:space="preserve">Journal of Ecclesiastical History</w:t>
      </w:r>
      <w:r>
        <w:rPr>
          <w:rFonts w:ascii="Times New Roman" w:hAnsi="Times New Roman"/>
          <w:sz w:val="20"/>
          <w:szCs w:val="20"/>
        </w:rPr>
        <w:t xml:space="preserve"> 13, no. 1 (April 1962): 21–38, https://doi.org/10.1017/S0022046900065647.</w:t>
      </w:r>
    </w:p>
  </w:footnote>
  <w:footnote w:id="61">
    <w:p>
      <w:pPr>
        <w:spacing w:before="0" w:after="0" w:line="240" w:lineRule="auto"/>
      </w:pPr>
      <w:r>
        <w:rPr>
          <w:rStyle w:val="FootnoteReference"/>
        </w:rPr>
        <w:footnoteRef/>
        <w:t xml:space="preserve"> </w:t>
      </w:r>
      <w:r>
        <w:rPr>
          <w:rFonts w:ascii="Times New Roman" w:hAnsi="Times New Roman"/>
          <w:sz w:val="20"/>
          <w:szCs w:val="20"/>
        </w:rPr>
        <w:t xml:space="preserve">Jack Goody, </w:t>
      </w:r>
      <w:r>
        <w:rPr>
          <w:rFonts w:ascii="Times New Roman" w:hAnsi="Times New Roman"/>
          <w:sz w:val="20"/>
          <w:szCs w:val="20"/>
          <w:i/>
        </w:rPr>
        <w:t xml:space="preserve">The Development of the Family and Marriage in Europe</w:t>
      </w:r>
      <w:r>
        <w:rPr>
          <w:rFonts w:ascii="Times New Roman" w:hAnsi="Times New Roman"/>
          <w:sz w:val="20"/>
          <w:szCs w:val="20"/>
        </w:rPr>
        <w:t xml:space="preserve"> (Cambridge: Cambridge University Press, 1983); Jonathan F. Schulz et al., “The Church, Intensive Kinship, and Global Psychological Variation,” </w:t>
      </w:r>
      <w:r>
        <w:rPr>
          <w:rFonts w:ascii="Times New Roman" w:hAnsi="Times New Roman"/>
          <w:sz w:val="20"/>
          <w:szCs w:val="20"/>
          <w:i/>
        </w:rPr>
        <w:t xml:space="preserve">Science</w:t>
      </w:r>
      <w:r>
        <w:rPr>
          <w:rFonts w:ascii="Times New Roman" w:hAnsi="Times New Roman"/>
          <w:sz w:val="20"/>
          <w:szCs w:val="20"/>
        </w:rPr>
        <w:t xml:space="preserve"> 366, no. 6466 (2019): eaau5141, https://doi.org/10.1126/science.aau5141.</w:t>
      </w:r>
    </w:p>
  </w:footnote>
  <w:footnote w:id="62">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22; Fukuyama, </w:t>
      </w:r>
      <w:r>
        <w:rPr>
          <w:rFonts w:ascii="Times New Roman" w:hAnsi="Times New Roman"/>
          <w:sz w:val="20"/>
          <w:szCs w:val="20"/>
          <w:i/>
        </w:rPr>
        <w:t xml:space="preserve">Political Order and Political Decay</w:t>
      </w:r>
      <w:r>
        <w:rPr>
          <w:rFonts w:ascii="Times New Roman" w:hAnsi="Times New Roman"/>
          <w:sz w:val="20"/>
          <w:szCs w:val="20"/>
        </w:rPr>
        <w:t xml:space="preserve">, ch. 1.</w:t>
      </w:r>
    </w:p>
  </w:footnote>
  <w:footnote w:id="63">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22–28, especially ch. 27.</w:t>
      </w:r>
    </w:p>
  </w:footnote>
  <w:footnote w:id="64">
    <w:p>
      <w:pPr>
        <w:spacing w:before="0" w:after="0" w:line="240" w:lineRule="auto"/>
      </w:pPr>
      <w:r>
        <w:rPr>
          <w:rStyle w:val="FootnoteReference"/>
        </w:rPr>
        <w:footnoteRef/>
        <w:t xml:space="preserve"> </w:t>
      </w:r>
      <w:r>
        <w:rPr>
          <w:rFonts w:ascii="Times New Roman" w:hAnsi="Times New Roman"/>
          <w:sz w:val="20"/>
          <w:szCs w:val="20"/>
        </w:rPr>
        <w:t xml:space="preserve">Mark Bovens, “Analysing and Assessing Accountability: A Conceptual Framework,” </w:t>
      </w:r>
      <w:r>
        <w:rPr>
          <w:rFonts w:ascii="Times New Roman" w:hAnsi="Times New Roman"/>
          <w:sz w:val="20"/>
          <w:szCs w:val="20"/>
          <w:i/>
        </w:rPr>
        <w:t xml:space="preserve">European Law Journal</w:t>
      </w:r>
      <w:r>
        <w:rPr>
          <w:rFonts w:ascii="Times New Roman" w:hAnsi="Times New Roman"/>
          <w:sz w:val="20"/>
          <w:szCs w:val="20"/>
        </w:rPr>
        <w:t xml:space="preserve"> 13, no. 4 (2007): 447–468, https://doi.org/10.1111/j.1468-0386.2007.00378.x.</w:t>
      </w:r>
    </w:p>
  </w:footnote>
  <w:footnote w:id="65">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 Fukuyama, </w:t>
      </w:r>
      <w:r>
        <w:rPr>
          <w:rFonts w:ascii="Times New Roman" w:hAnsi="Times New Roman"/>
          <w:sz w:val="20"/>
          <w:szCs w:val="20"/>
          <w:i/>
        </w:rPr>
        <w:t xml:space="preserve">Political Order and Political Decay</w:t>
      </w:r>
      <w:r>
        <w:rPr>
          <w:rFonts w:ascii="Times New Roman" w:hAnsi="Times New Roman"/>
          <w:sz w:val="20"/>
          <w:szCs w:val="20"/>
        </w:rPr>
        <w:t xml:space="preserve">, ch. 36.</w:t>
      </w:r>
    </w:p>
  </w:footnote>
  <w:footnote w:id="66">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29; Fukuyama, </w:t>
      </w:r>
      <w:r>
        <w:rPr>
          <w:rFonts w:ascii="Times New Roman" w:hAnsi="Times New Roman"/>
          <w:sz w:val="20"/>
          <w:szCs w:val="20"/>
          <w:i/>
        </w:rPr>
        <w:t xml:space="preserve">Political Order and Political Decay</w:t>
      </w:r>
      <w:r>
        <w:rPr>
          <w:rFonts w:ascii="Times New Roman" w:hAnsi="Times New Roman"/>
          <w:sz w:val="20"/>
          <w:szCs w:val="20"/>
        </w:rPr>
        <w:t xml:space="preserve">, ch. 31.</w:t>
      </w:r>
    </w:p>
  </w:footnote>
  <w:footnote w:id="67">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chs. 5 and 8.</w:t>
      </w:r>
    </w:p>
  </w:footnote>
  <w:footnote w:id="68">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30.</w:t>
      </w:r>
    </w:p>
  </w:footnote>
  <w:footnote w:id="69">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chs. 3–4.</w:t>
      </w:r>
    </w:p>
  </w:footnote>
  <w:footnote w:id="70">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 25 and chs. 31–35.</w:t>
      </w:r>
    </w:p>
  </w:footnote>
  <w:footnote w:id="71">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 36.</w:t>
      </w:r>
    </w:p>
  </w:footnote>
  <w:footnote w:id="72">
    <w:p>
      <w:pPr>
        <w:spacing w:before="0" w:after="0" w:line="240" w:lineRule="auto"/>
      </w:pPr>
      <w:r>
        <w:rPr>
          <w:rStyle w:val="FootnoteReference"/>
        </w:rPr>
        <w:footnoteRef/>
        <w:t xml:space="preserve"> </w:t>
      </w:r>
      <w:r>
        <w:rPr>
          <w:rFonts w:ascii="Times New Roman" w:hAnsi="Times New Roman"/>
          <w:sz w:val="20"/>
          <w:szCs w:val="20"/>
        </w:rPr>
        <w:t xml:space="preserve">Francis Fukuyama, </w:t>
      </w:r>
      <w:r>
        <w:rPr>
          <w:rFonts w:ascii="Times New Roman" w:hAnsi="Times New Roman"/>
          <w:sz w:val="20"/>
          <w:szCs w:val="20"/>
          <w:i/>
        </w:rPr>
        <w:t xml:space="preserve">The Origins of Political Order: From Prehuman Times to the French Revolution</w:t>
      </w:r>
      <w:r>
        <w:rPr>
          <w:rFonts w:ascii="Times New Roman" w:hAnsi="Times New Roman"/>
          <w:sz w:val="20"/>
          <w:szCs w:val="20"/>
        </w:rPr>
        <w:t xml:space="preserve"> (New York: Farrar, Straus and Giroux, 2011), ch. 1 and chs. 28–30.</w:t>
      </w:r>
    </w:p>
  </w:footnote>
  <w:footnote w:id="73">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pts. II–IV; see also the qualified comparative findings established in Chapter Four, §§4.3–4.7.</w:t>
      </w:r>
    </w:p>
  </w:footnote>
  <w:footnote w:id="74">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2–4 and 29.</w:t>
      </w:r>
    </w:p>
  </w:footnote>
  <w:footnote w:id="75">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29, especially “Ideas as Cause” and “The General Mechanism of Political Development.”</w:t>
      </w:r>
    </w:p>
  </w:footnote>
  <w:footnote w:id="76">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9, 15, and 29; Francis Fukuyama, </w:t>
      </w:r>
      <w:r>
        <w:rPr>
          <w:rFonts w:ascii="Times New Roman" w:hAnsi="Times New Roman"/>
          <w:sz w:val="20"/>
          <w:szCs w:val="20"/>
          <w:i/>
        </w:rPr>
        <w:t xml:space="preserve">Political Order and Political Decay: From the Industrial Revolution to the Globalization of Democracy</w:t>
      </w:r>
      <w:r>
        <w:rPr>
          <w:rFonts w:ascii="Times New Roman" w:hAnsi="Times New Roman"/>
          <w:sz w:val="20"/>
          <w:szCs w:val="20"/>
        </w:rPr>
        <w:t xml:space="preserve"> (New York: Farrar, Straus and Giroux, 2014), chs. 31–36.</w:t>
      </w:r>
    </w:p>
  </w:footnote>
  <w:footnote w:id="77">
    <w:p>
      <w:pPr>
        <w:spacing w:before="0" w:after="0" w:line="240" w:lineRule="auto"/>
      </w:pPr>
      <w:r>
        <w:rPr>
          <w:rStyle w:val="FootnoteReference"/>
        </w:rPr>
        <w:footnoteRef/>
        <w:t xml:space="preserve"> </w:t>
      </w:r>
      <w:r>
        <w:rPr>
          <w:rFonts w:ascii="Times New Roman" w:hAnsi="Times New Roman"/>
          <w:sz w:val="20"/>
          <w:szCs w:val="20"/>
        </w:rPr>
        <w:t xml:space="preserve">Martin Hewson, review of </w:t>
      </w:r>
      <w:r>
        <w:rPr>
          <w:rFonts w:ascii="Times New Roman" w:hAnsi="Times New Roman"/>
          <w:sz w:val="20"/>
          <w:szCs w:val="20"/>
          <w:i/>
        </w:rPr>
        <w:t xml:space="preserve">The Origins of Political Order</w:t>
      </w:r>
      <w:r>
        <w:rPr>
          <w:rFonts w:ascii="Times New Roman" w:hAnsi="Times New Roman"/>
          <w:sz w:val="20"/>
          <w:szCs w:val="20"/>
        </w:rPr>
        <w:t xml:space="preserve">, </w:t>
      </w:r>
      <w:r>
        <w:rPr>
          <w:rFonts w:ascii="Times New Roman" w:hAnsi="Times New Roman"/>
          <w:sz w:val="20"/>
          <w:szCs w:val="20"/>
          <w:i/>
        </w:rPr>
        <w:t xml:space="preserve">Reviews in History</w:t>
      </w:r>
      <w:r>
        <w:rPr>
          <w:rFonts w:ascii="Times New Roman" w:hAnsi="Times New Roman"/>
          <w:sz w:val="20"/>
          <w:szCs w:val="20"/>
        </w:rPr>
        <w:t xml:space="preserve">, no. 1261 (2012); Joseph G. Manning, “Middle Range Theory: A Review of </w:t>
      </w:r>
      <w:r>
        <w:rPr>
          <w:rFonts w:ascii="Times New Roman" w:hAnsi="Times New Roman"/>
          <w:sz w:val="20"/>
          <w:szCs w:val="20"/>
          <w:i/>
        </w:rPr>
        <w:t xml:space="preserve">The Origins of Political Order</w:t>
      </w:r>
      <w:r>
        <w:rPr>
          <w:rFonts w:ascii="Times New Roman" w:hAnsi="Times New Roman"/>
          <w:sz w:val="20"/>
          <w:szCs w:val="20"/>
        </w:rPr>
        <w:t xml:space="preserve">,” </w:t>
      </w:r>
      <w:r>
        <w:rPr>
          <w:rFonts w:ascii="Times New Roman" w:hAnsi="Times New Roman"/>
          <w:sz w:val="20"/>
          <w:szCs w:val="20"/>
          <w:i/>
        </w:rPr>
        <w:t xml:space="preserve">Cliodynamics</w:t>
      </w:r>
      <w:r>
        <w:rPr>
          <w:rFonts w:ascii="Times New Roman" w:hAnsi="Times New Roman"/>
          <w:sz w:val="20"/>
          <w:szCs w:val="20"/>
        </w:rPr>
        <w:t xml:space="preserve"> 2, no. 2 (2011): 333–340, https://doi.org/10.21237/C7clio2211720.</w:t>
      </w:r>
    </w:p>
  </w:footnote>
  <w:footnote w:id="78">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22; Fukuyama, </w:t>
      </w:r>
      <w:r>
        <w:rPr>
          <w:rFonts w:ascii="Times New Roman" w:hAnsi="Times New Roman"/>
          <w:sz w:val="20"/>
          <w:szCs w:val="20"/>
          <w:i/>
        </w:rPr>
        <w:t xml:space="preserve">Political Order and Political Decay</w:t>
      </w:r>
      <w:r>
        <w:rPr>
          <w:rFonts w:ascii="Times New Roman" w:hAnsi="Times New Roman"/>
          <w:sz w:val="20"/>
          <w:szCs w:val="20"/>
        </w:rPr>
        <w:t xml:space="preserve">, chs. 1 and 25.</w:t>
      </w:r>
    </w:p>
  </w:footnote>
  <w:footnote w:id="79">
    <w:p>
      <w:pPr>
        <w:spacing w:before="0" w:after="0" w:line="240" w:lineRule="auto"/>
      </w:pPr>
      <w:r>
        <w:rPr>
          <w:rStyle w:val="FootnoteReference"/>
        </w:rPr>
        <w:footnoteRef/>
        <w:t xml:space="preserve"> </w:t>
      </w:r>
      <w:r>
        <w:rPr>
          <w:rFonts w:ascii="Times New Roman" w:hAnsi="Times New Roman"/>
          <w:sz w:val="20"/>
          <w:szCs w:val="20"/>
        </w:rPr>
        <w:t xml:space="preserve">Mark Bovens, “Analysing and Assessing Accountability: A Conceptual Framework,” </w:t>
      </w:r>
      <w:r>
        <w:rPr>
          <w:rFonts w:ascii="Times New Roman" w:hAnsi="Times New Roman"/>
          <w:sz w:val="20"/>
          <w:szCs w:val="20"/>
          <w:i/>
        </w:rPr>
        <w:t xml:space="preserve">European Law Journal</w:t>
      </w:r>
      <w:r>
        <w:rPr>
          <w:rFonts w:ascii="Times New Roman" w:hAnsi="Times New Roman"/>
          <w:sz w:val="20"/>
          <w:szCs w:val="20"/>
        </w:rPr>
        <w:t xml:space="preserve"> 13, no. 4 (2007): 447–468, https://doi.org/10.1111/j.1468-0386.2007.00378.x.</w:t>
      </w:r>
    </w:p>
  </w:footnote>
  <w:footnote w:id="80">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chs. 6–9 and 29.</w:t>
      </w:r>
    </w:p>
  </w:footnote>
  <w:footnote w:id="81">
    <w:p>
      <w:pPr>
        <w:spacing w:before="0" w:after="0" w:line="240" w:lineRule="auto"/>
      </w:pPr>
      <w:r>
        <w:rPr>
          <w:rStyle w:val="FootnoteReference"/>
        </w:rPr>
        <w:footnoteRef/>
        <w:t xml:space="preserve"> </w:t>
      </w:r>
      <w:r>
        <w:rPr>
          <w:rFonts w:ascii="Times New Roman" w:hAnsi="Times New Roman"/>
          <w:sz w:val="20"/>
          <w:szCs w:val="20"/>
        </w:rPr>
        <w:t xml:space="preserve">Mark Edward Lewis, </w:t>
      </w:r>
      <w:r>
        <w:rPr>
          <w:rFonts w:ascii="Times New Roman" w:hAnsi="Times New Roman"/>
          <w:sz w:val="20"/>
          <w:szCs w:val="20"/>
          <w:i/>
        </w:rPr>
        <w:t xml:space="preserve">The Early Chinese Empires: Qin and Han</w:t>
      </w:r>
      <w:r>
        <w:rPr>
          <w:rFonts w:ascii="Times New Roman" w:hAnsi="Times New Roman"/>
          <w:sz w:val="20"/>
          <w:szCs w:val="20"/>
        </w:rPr>
        <w:t xml:space="preserve"> (Cambridge, MA: Belknap Press of Harvard University Press, 2007), 30–74, 155–177, 227–252, https://doi.org/10.2307/j.ctv1kmj82j; Charles Sanft, </w:t>
      </w:r>
      <w:r>
        <w:rPr>
          <w:rFonts w:ascii="Times New Roman" w:hAnsi="Times New Roman"/>
          <w:sz w:val="20"/>
          <w:szCs w:val="20"/>
          <w:i/>
        </w:rPr>
        <w:t xml:space="preserve">Communication and Cooperation in Early Imperial China: Publicizing the Qin Dynasty</w:t>
      </w:r>
      <w:r>
        <w:rPr>
          <w:rFonts w:ascii="Times New Roman" w:hAnsi="Times New Roman"/>
          <w:sz w:val="20"/>
          <w:szCs w:val="20"/>
        </w:rPr>
        <w:t xml:space="preserve"> (Albany: State University of New York Press, 2014), 123–146, https://doi.org/10.2307/jj.18252242.</w:t>
      </w:r>
    </w:p>
  </w:footnote>
  <w:footnote w:id="82">
    <w:p>
      <w:pPr>
        <w:spacing w:before="0" w:after="0" w:line="240" w:lineRule="auto"/>
      </w:pPr>
      <w:r>
        <w:rPr>
          <w:rStyle w:val="FootnoteReference"/>
        </w:rPr>
        <w:footnoteRef/>
        <w:t xml:space="preserve"> </w:t>
      </w:r>
      <w:r>
        <w:rPr>
          <w:rFonts w:ascii="Times New Roman" w:hAnsi="Times New Roman"/>
          <w:sz w:val="20"/>
          <w:szCs w:val="20"/>
        </w:rPr>
        <w:t xml:space="preserve">Gérard Fussman, “Pouvoir central et régions dans l’Inde ancienne: le problème de l’empire maurya,” </w:t>
      </w:r>
      <w:r>
        <w:rPr>
          <w:rFonts w:ascii="Times New Roman" w:hAnsi="Times New Roman"/>
          <w:sz w:val="20"/>
          <w:szCs w:val="20"/>
          <w:i/>
        </w:rPr>
        <w:t xml:space="preserve">Annales. Économies, Sociétés, Civilisations</w:t>
      </w:r>
      <w:r>
        <w:rPr>
          <w:rFonts w:ascii="Times New Roman" w:hAnsi="Times New Roman"/>
          <w:sz w:val="20"/>
          <w:szCs w:val="20"/>
        </w:rPr>
        <w:t xml:space="preserve"> 37, no. 4 (1982): 621–647, https://doi.org/10.3406/ahess.1982.282876; Mark McClish, “Statecraft, Law, and Religion in Ancient India,” in </w:t>
      </w:r>
      <w:r>
        <w:rPr>
          <w:rFonts w:ascii="Times New Roman" w:hAnsi="Times New Roman"/>
          <w:sz w:val="20"/>
          <w:szCs w:val="20"/>
          <w:i/>
        </w:rPr>
        <w:t xml:space="preserve">The History of the Arthasastra: Sovereignty and Sacred Law in Ancient India</w:t>
      </w:r>
      <w:r>
        <w:rPr>
          <w:rFonts w:ascii="Times New Roman" w:hAnsi="Times New Roman"/>
          <w:sz w:val="20"/>
          <w:szCs w:val="20"/>
        </w:rPr>
        <w:t xml:space="preserve"> (Cambridge: Cambridge University Press, 2019), 208–223, https://doi.org/10.1017/9781108641586.009; Timothy Lubin, “Religious Endowments in Ancient India and the Institutionalization of Brahmin Caste Status,” </w:t>
      </w:r>
      <w:r>
        <w:rPr>
          <w:rFonts w:ascii="Times New Roman" w:hAnsi="Times New Roman"/>
          <w:sz w:val="20"/>
          <w:szCs w:val="20"/>
          <w:i/>
        </w:rPr>
        <w:t xml:space="preserve">American Journal of Legal History</w:t>
      </w:r>
      <w:r>
        <w:rPr>
          <w:rFonts w:ascii="Times New Roman" w:hAnsi="Times New Roman"/>
          <w:sz w:val="20"/>
          <w:szCs w:val="20"/>
        </w:rPr>
        <w:t xml:space="preserve"> 63, no. 2 (2023): 97–114, https://doi.org/10.1093/ajlh/njad023.</w:t>
      </w:r>
    </w:p>
  </w:footnote>
  <w:footnote w:id="83">
    <w:p>
      <w:pPr>
        <w:spacing w:before="0" w:after="0" w:line="240" w:lineRule="auto"/>
      </w:pPr>
      <w:r>
        <w:rPr>
          <w:rStyle w:val="FootnoteReference"/>
        </w:rPr>
        <w:footnoteRef/>
        <w:t xml:space="preserve"> </w:t>
      </w:r>
      <w:r>
        <w:rPr>
          <w:rFonts w:ascii="Times New Roman" w:hAnsi="Times New Roman"/>
          <w:sz w:val="20"/>
          <w:szCs w:val="20"/>
        </w:rPr>
        <w:t xml:space="preserve">Jack Goody, </w:t>
      </w:r>
      <w:r>
        <w:rPr>
          <w:rFonts w:ascii="Times New Roman" w:hAnsi="Times New Roman"/>
          <w:sz w:val="20"/>
          <w:szCs w:val="20"/>
          <w:i/>
        </w:rPr>
        <w:t xml:space="preserve">The Development of the Family and Marriage in Europe</w:t>
      </w:r>
      <w:r>
        <w:rPr>
          <w:rFonts w:ascii="Times New Roman" w:hAnsi="Times New Roman"/>
          <w:sz w:val="20"/>
          <w:szCs w:val="20"/>
        </w:rPr>
        <w:t xml:space="preserve"> (Cambridge: Cambridge University Press, 1983); Jonathan F. Schulz et al., “The Church, Intensive Kinship, and Global Psychological Variation,” </w:t>
      </w:r>
      <w:r>
        <w:rPr>
          <w:rFonts w:ascii="Times New Roman" w:hAnsi="Times New Roman"/>
          <w:sz w:val="20"/>
          <w:szCs w:val="20"/>
          <w:i/>
        </w:rPr>
        <w:t xml:space="preserve">Science</w:t>
      </w:r>
      <w:r>
        <w:rPr>
          <w:rFonts w:ascii="Times New Roman" w:hAnsi="Times New Roman"/>
          <w:sz w:val="20"/>
          <w:szCs w:val="20"/>
        </w:rPr>
        <w:t xml:space="preserve"> 366, no. 6466 (2019): eaau5141, https://doi.org/10.1126/science.aau5141.</w:t>
      </w:r>
    </w:p>
  </w:footnote>
  <w:footnote w:id="84">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ch. 1, especially “China First” and “Turtles All the Way Down,” and ch. 29.</w:t>
      </w:r>
    </w:p>
  </w:footnote>
  <w:footnote w:id="85">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 36.</w:t>
      </w:r>
    </w:p>
  </w:footnote>
  <w:footnote w:id="86">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 8.</w:t>
      </w:r>
    </w:p>
  </w:footnote>
  <w:footnote w:id="87">
    <w:p>
      <w:pPr>
        <w:spacing w:before="0" w:after="0" w:line="240" w:lineRule="auto"/>
      </w:pPr>
      <w:r>
        <w:rPr>
          <w:rStyle w:val="FootnoteReference"/>
        </w:rPr>
        <w:footnoteRef/>
        <w:t xml:space="preserve"> </w:t>
      </w:r>
      <w:r>
        <w:rPr>
          <w:rFonts w:ascii="Times New Roman" w:hAnsi="Times New Roman"/>
          <w:sz w:val="20"/>
          <w:szCs w:val="20"/>
        </w:rPr>
        <w:t xml:space="preserve">Hewson, review of </w:t>
      </w:r>
      <w:r>
        <w:rPr>
          <w:rFonts w:ascii="Times New Roman" w:hAnsi="Times New Roman"/>
          <w:sz w:val="20"/>
          <w:szCs w:val="20"/>
          <w:i/>
        </w:rPr>
        <w:t xml:space="preserve">Origins</w:t>
      </w:r>
      <w:r>
        <w:rPr>
          <w:rFonts w:ascii="Times New Roman" w:hAnsi="Times New Roman"/>
          <w:sz w:val="20"/>
          <w:szCs w:val="20"/>
        </w:rPr>
        <w:t xml:space="preserve">; Alina Mungiu-Pippidi, “The Evolution of Political Order,” </w:t>
      </w:r>
      <w:r>
        <w:rPr>
          <w:rFonts w:ascii="Times New Roman" w:hAnsi="Times New Roman"/>
          <w:sz w:val="20"/>
          <w:szCs w:val="20"/>
          <w:i/>
        </w:rPr>
        <w:t xml:space="preserve">Journal of Democracy</w:t>
      </w:r>
      <w:r>
        <w:rPr>
          <w:rFonts w:ascii="Times New Roman" w:hAnsi="Times New Roman"/>
          <w:sz w:val="20"/>
          <w:szCs w:val="20"/>
        </w:rPr>
        <w:t xml:space="preserve"> 26, no. 4 (2015): 169–175; Gregory Melleuish, “Francis Fukuyama and the Origins of Political Order and the State: A Historical Critique,” </w:t>
      </w:r>
      <w:r>
        <w:rPr>
          <w:rFonts w:ascii="Times New Roman" w:hAnsi="Times New Roman"/>
          <w:sz w:val="20"/>
          <w:szCs w:val="20"/>
          <w:i/>
        </w:rPr>
        <w:t xml:space="preserve">Australian Journal of Politics &amp; History</w:t>
      </w:r>
      <w:r>
        <w:rPr>
          <w:rFonts w:ascii="Times New Roman" w:hAnsi="Times New Roman"/>
          <w:sz w:val="20"/>
          <w:szCs w:val="20"/>
        </w:rPr>
        <w:t xml:space="preserve"> 58, no. 1 (2012): 112–122, https://doi.org/10.1111/j.1467-8497.2012.01627.x. Melleuish is used only at the level supported by the publisher abstract.</w:t>
      </w:r>
    </w:p>
  </w:footnote>
  <w:footnote w:id="88">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Origins</w:t>
      </w:r>
      <w:r>
        <w:rPr>
          <w:rFonts w:ascii="Times New Roman" w:hAnsi="Times New Roman"/>
          <w:sz w:val="20"/>
          <w:szCs w:val="20"/>
        </w:rPr>
        <w:t xml:space="preserve">, pts. II–IV; the component histories and their qualifications are established in Chapter Four, §§4.3–4.7.</w:t>
      </w:r>
    </w:p>
  </w:footnote>
  <w:footnote w:id="89">
    <w:p>
      <w:pPr>
        <w:spacing w:before="0" w:after="0" w:line="240" w:lineRule="auto"/>
      </w:pPr>
      <w:r>
        <w:rPr>
          <w:rStyle w:val="FootnoteReference"/>
        </w:rPr>
        <w:footnoteRef/>
        <w:t xml:space="preserve"> </w:t>
      </w:r>
      <w:r>
        <w:rPr>
          <w:rFonts w:ascii="Times New Roman" w:hAnsi="Times New Roman"/>
          <w:sz w:val="20"/>
          <w:szCs w:val="20"/>
        </w:rPr>
        <w:t xml:space="preserve">Fukuyama, </w:t>
      </w:r>
      <w:r>
        <w:rPr>
          <w:rFonts w:ascii="Times New Roman" w:hAnsi="Times New Roman"/>
          <w:sz w:val="20"/>
          <w:szCs w:val="20"/>
          <w:i/>
        </w:rPr>
        <w:t xml:space="preserve">Political Order and Political Decay</w:t>
      </w:r>
      <w:r>
        <w:rPr>
          <w:rFonts w:ascii="Times New Roman" w:hAnsi="Times New Roman"/>
          <w:sz w:val="20"/>
          <w:szCs w:val="20"/>
        </w:rPr>
        <w:t xml:space="preserve">, chs. 1–4 and 31–36.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