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 w:before="0"/>
        <w:jc w:val="center"/>
      </w:pPr>
      <w:r>
        <w:rPr>
          <w:rFonts w:ascii="Arial" w:cs="Arial" w:eastAsia="Arial" w:hAnsi="Arial"/>
          <w:b/>
          <w:bCs/>
          <w:color w:val="0A84A0"/>
          <w:sz w:val="40"/>
          <w:szCs w:val="40"/>
        </w:rPr>
        <w:t xml:space="preserve">AGENTIC ZERO</w:t>
      </w:r>
    </w:p>
    <w:p>
      <w:pPr>
        <w:spacing w:after="4" w:before="0"/>
        <w:jc w:val="center"/>
      </w:pPr>
      <w:r>
        <w:rPr>
          <w:rFonts w:ascii="Arial" w:cs="Arial" w:eastAsia="Arial" w:hAnsi="Arial"/>
          <w:color w:val="8FA3C0"/>
          <w:sz w:val="18"/>
          <w:szCs w:val="18"/>
        </w:rPr>
        <w:t xml:space="preserve">powered by Dis-Solutions</w:t>
      </w:r>
    </w:p>
    <w:p>
      <w:pPr>
        <w:spacing w:after="60" w:before="60"/>
      </w:pPr>
      <w:r>
        <w:t xml:space="preserve"/>
      </w:r>
    </w:p>
    <w:p>
      <w:pPr>
        <w:spacing w:after="8" w:before="0"/>
        <w:jc w:val="center"/>
      </w:pPr>
      <w:r>
        <w:rPr>
          <w:rFonts w:ascii="Arial" w:cs="Arial" w:eastAsia="Arial" w:hAnsi="Arial"/>
          <w:b/>
          <w:bCs/>
          <w:color w:val="1A2E4A"/>
          <w:sz w:val="32"/>
          <w:szCs w:val="32"/>
        </w:rPr>
        <w:t xml:space="preserve">DATA PROCESSING AGREEMENT</w:t>
      </w:r>
    </w:p>
    <w:p>
      <w:pPr>
        <w:spacing w:after="4" w:before="0"/>
        <w:jc w:val="center"/>
      </w:pPr>
      <w:r>
        <w:rPr>
          <w:rFonts w:ascii="Arial" w:cs="Arial" w:eastAsia="Arial" w:hAnsi="Arial"/>
          <w:color w:val="8FA3C0"/>
          <w:sz w:val="22"/>
          <w:szCs w:val="22"/>
        </w:rPr>
        <w:t xml:space="preserve">Data Processing Agreement (DPA)</w:t>
      </w:r>
    </w:p>
    <w:p>
      <w:pPr>
        <w:spacing w:after="40" w:before="0"/>
        <w:jc w:val="center"/>
      </w:pPr>
      <w:r>
        <w:rPr>
          <w:rFonts w:ascii="Arial" w:cs="Arial" w:eastAsia="Arial" w:hAnsi="Arial"/>
          <w:i/>
          <w:iCs/>
          <w:color w:val="8FA3C0"/>
          <w:sz w:val="18"/>
          <w:szCs w:val="18"/>
        </w:rPr>
        <w:t xml:space="preserve">Pursuant to Regulation (EU) 2016/679 (GDPR) - Article 28</w:t>
      </w:r>
    </w:p>
    <w:p>
      <w:pPr>
        <w:pBdr>
          <w:bottom w:val="single" w:color="0A84A0" w:sz="6" w:space="1"/>
        </w:pBdr>
        <w:spacing w:after="40" w:before="40"/>
      </w:pPr>
      <w:r>
        <w:t xml:space="preserve"/>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5D5E0" w:sz="1"/>
              <w:left w:val="single" w:color="C5D5E0" w:sz="1"/>
              <w:bottom w:val="single" w:color="C5D5E0" w:sz="1"/>
              <w:right w:val="single" w:color="C5D5E0" w:sz="1"/>
            </w:tcBorders>
            <w:shd w:fill="0A84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CONTROLLER</w:t>
            </w:r>
          </w:p>
        </w:tc>
        <w:tc>
          <w:tcPr>
            <w:tcW w:type="dxa" w:w="6226"/>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val="false"/>
                <w:bCs w:val="false"/>
                <w:color w:val="8FA3C0"/>
                <w:sz w:val="20"/>
                <w:szCs w:val="20"/>
              </w:rPr>
              <w:t xml:space="preserve">(the Client — to be completed at signing)</w:t>
            </w:r>
          </w:p>
        </w:tc>
      </w:tr>
      <w:tr>
        <w:tc>
          <w:tcPr>
            <w:tcW w:type="dxa" w:w="28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Company</w:t>
            </w:r>
          </w:p>
        </w:tc>
        <w:tc>
          <w:tcPr>
            <w:tcW w:type="dxa" w:w="62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20"/>
                <w:szCs w:val="20"/>
              </w:rPr>
              <w:t xml:space="preserve">____________________________________________</w:t>
            </w:r>
          </w:p>
        </w:tc>
      </w:tr>
      <w:tr>
        <w:tc>
          <w:tcPr>
            <w:tcW w:type="dxa" w:w="28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Company Reg. No.</w:t>
            </w:r>
          </w:p>
        </w:tc>
        <w:tc>
          <w:tcPr>
            <w:tcW w:type="dxa" w:w="62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20"/>
                <w:szCs w:val="20"/>
              </w:rPr>
              <w:t xml:space="preserve">____________________________________________</w:t>
            </w:r>
          </w:p>
        </w:tc>
      </w:tr>
      <w:tr>
        <w:tc>
          <w:tcPr>
            <w:tcW w:type="dxa" w:w="28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Registered address</w:t>
            </w:r>
          </w:p>
        </w:tc>
        <w:tc>
          <w:tcPr>
            <w:tcW w:type="dxa" w:w="62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20"/>
                <w:szCs w:val="20"/>
              </w:rPr>
              <w:t xml:space="preserve">____________________________________________</w:t>
            </w:r>
          </w:p>
        </w:tc>
      </w:tr>
      <w:tr>
        <w:tc>
          <w:tcPr>
            <w:tcW w:type="dxa" w:w="28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Legal representative</w:t>
            </w:r>
          </w:p>
        </w:tc>
        <w:tc>
          <w:tcPr>
            <w:tcW w:type="dxa" w:w="62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20"/>
                <w:szCs w:val="20"/>
              </w:rPr>
              <w:t xml:space="preserve">____________________________________________</w:t>
            </w:r>
          </w:p>
        </w:tc>
      </w:tr>
      <w:tr>
        <w:tc>
          <w:tcPr>
            <w:tcW w:type="dxa" w:w="28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DPO / contact email</w:t>
            </w:r>
          </w:p>
        </w:tc>
        <w:tc>
          <w:tcPr>
            <w:tcW w:type="dxa" w:w="62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20"/>
                <w:szCs w:val="20"/>
              </w:rPr>
              <w:t xml:space="preserve">____________________________________________</w:t>
            </w:r>
          </w:p>
        </w:tc>
      </w:tr>
      <w:tr>
        <w:tc>
          <w:tcPr>
            <w:tcW w:type="dxa" w:w="2800"/>
            <w:tcBorders>
              <w:top w:val="single" w:color="C5D5E0" w:sz="1"/>
              <w:left w:val="single" w:color="C5D5E0" w:sz="1"/>
              <w:bottom w:val="single" w:color="C5D5E0" w:sz="1"/>
              <w:right w:val="single" w:color="C5D5E0" w:sz="1"/>
            </w:tcBorders>
            <w:shd w:fill="0A84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PROCESSOR</w:t>
            </w:r>
          </w:p>
        </w:tc>
        <w:tc>
          <w:tcPr>
            <w:tcW w:type="dxa" w:w="62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bCs/>
                <w:color w:val="1A2E4A"/>
                <w:sz w:val="20"/>
                <w:szCs w:val="20"/>
              </w:rPr>
              <w:t xml:space="preserve">Agentic Zero powered by Dis-Solutions</w:t>
            </w:r>
          </w:p>
        </w:tc>
      </w:tr>
      <w:tr>
        <w:tc>
          <w:tcPr>
            <w:tcW w:type="dxa" w:w="28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Representative</w:t>
            </w:r>
          </w:p>
        </w:tc>
        <w:tc>
          <w:tcPr>
            <w:tcW w:type="dxa" w:w="62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20"/>
                <w:szCs w:val="20"/>
              </w:rPr>
              <w:t xml:space="preserve">Alberto Munoz Waissen — Founder &amp; CEO</w:t>
            </w:r>
          </w:p>
        </w:tc>
      </w:tr>
      <w:tr>
        <w:tc>
          <w:tcPr>
            <w:tcW w:type="dxa" w:w="28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Email</w:t>
            </w:r>
          </w:p>
        </w:tc>
        <w:tc>
          <w:tcPr>
            <w:tcW w:type="dxa" w:w="62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20"/>
                <w:szCs w:val="20"/>
              </w:rPr>
              <w:t xml:space="preserve">alberto@agentic-zero.com</w:t>
            </w:r>
          </w:p>
        </w:tc>
      </w:tr>
      <w:tr>
        <w:tc>
          <w:tcPr>
            <w:tcW w:type="dxa" w:w="28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Web</w:t>
            </w:r>
          </w:p>
        </w:tc>
        <w:tc>
          <w:tcPr>
            <w:tcW w:type="dxa" w:w="62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20"/>
                <w:szCs w:val="20"/>
              </w:rPr>
              <w:t xml:space="preserve">agentic-zero.com</w:t>
            </w:r>
          </w:p>
        </w:tc>
      </w:tr>
      <w:tr>
        <w:tc>
          <w:tcPr>
            <w:tcW w:type="dxa" w:w="28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Main contract</w:t>
            </w:r>
          </w:p>
        </w:tc>
        <w:tc>
          <w:tcPr>
            <w:tcW w:type="dxa" w:w="62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20"/>
                <w:szCs w:val="20"/>
              </w:rPr>
              <w:t xml:space="preserve">Contrato de Services Essential / Standard / Enterprise</w:t>
            </w:r>
          </w:p>
        </w:tc>
      </w:tr>
      <w:tr>
        <w:tc>
          <w:tcPr>
            <w:tcW w:type="dxa" w:w="28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DPA date</w:t>
            </w:r>
          </w:p>
        </w:tc>
        <w:tc>
          <w:tcPr>
            <w:tcW w:type="dxa" w:w="62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20"/>
                <w:szCs w:val="20"/>
              </w:rPr>
              <w:t xml:space="preserve">____________________________________________</w:t>
            </w:r>
          </w:p>
        </w:tc>
      </w:tr>
    </w:tbl>
    <w:p>
      <w:pPr>
        <w:spacing w:after="60" w:before="60"/>
      </w:pPr>
      <w:r>
        <w:t xml:space="preserve"/>
      </w:r>
    </w:p>
    <w:p>
      <w:pPr>
        <w:spacing w:after="60" w:before="60"/>
      </w:pPr>
      <w:r>
        <w:t xml:space="preserve"/>
      </w:r>
    </w:p>
    <w:p>
      <w:pPr>
        <w:pBdr>
          <w:bottom w:val="single" w:color="0A84A0" w:sz="6" w:space="1"/>
        </w:pBdr>
        <w:spacing w:after="40" w:before="40"/>
      </w:pPr>
      <w:r>
        <w:t xml:space="preserve"/>
      </w:r>
    </w:p>
    <w:p>
      <w:pPr>
        <w:spacing w:after="60" w:before="60"/>
      </w:pPr>
      <w:r>
        <w:t xml:space="preserve"/>
      </w:r>
    </w:p>
    <w:p>
      <w:pPr>
        <w:pStyle w:val="Heading1"/>
        <w:spacing w:after="120" w:before="320"/>
      </w:pPr>
      <w:r>
        <w:rPr>
          <w:rFonts w:ascii="Arial" w:cs="Arial" w:eastAsia="Arial" w:hAnsi="Arial"/>
          <w:b/>
          <w:bCs/>
          <w:color w:val="0A84A0"/>
          <w:sz w:val="28"/>
          <w:szCs w:val="28"/>
        </w:rPr>
        <w:t xml:space="preserve">1. SUBJECT MATTER AND SCOPE</w:t>
      </w:r>
    </w:p>
    <w:p>
      <w:pPr>
        <w:spacing w:after="60" w:before="60"/>
      </w:pPr>
      <w:r>
        <w:rPr>
          <w:rFonts w:ascii="Arial" w:cs="Arial" w:eastAsia="Arial" w:hAnsi="Arial"/>
          <w:color w:val="1A2E4A"/>
          <w:sz w:val="20"/>
          <w:szCs w:val="20"/>
        </w:rPr>
        <w:t xml:space="preserve">This Data Processing Agreement (hereinafter, DPA) governs the conditions under which Agentic Zero powered by Dis-Solutions (hereinafter, the Processor) processes personal data on behalf of the Client (hereinafter, the Controller), in the context of providing operational process automation services through artificial intelligence agents, as defined in the Service Agreement executed between the parties.</w:t>
      </w:r>
    </w:p>
    <w:p>
      <w:pPr>
        <w:spacing w:after="60" w:before="60"/>
      </w:pPr>
      <w:r>
        <w:t xml:space="preserve"/>
      </w:r>
    </w:p>
    <w:p>
      <w:pPr>
        <w:spacing w:after="60" w:before="60"/>
      </w:pPr>
      <w:r>
        <w:rPr>
          <w:rFonts w:ascii="Arial" w:cs="Arial" w:eastAsia="Arial" w:hAnsi="Arial"/>
          <w:color w:val="1A2E4A"/>
          <w:sz w:val="20"/>
          <w:szCs w:val="20"/>
        </w:rPr>
        <w:t xml:space="preserve">This DPA is entered into in compliance with Article 28 of Regulation (EU) 2016/679 of the European Parliament and of the Council of 27 April 2016 (GDPR), and supplements the main Service Agreement. In the event of conflict, the GDPR shall prevail.</w:t>
      </w:r>
    </w:p>
    <w:p>
      <w:pPr>
        <w:spacing w:after="60" w:before="60"/>
      </w:pPr>
      <w:r>
        <w:t xml:space="preserve"/>
      </w:r>
    </w:p>
    <w:p>
      <w:pPr>
        <w:spacing w:after="60" w:before="60"/>
      </w:pPr>
      <w:r>
        <w:t xml:space="preserve"/>
      </w:r>
    </w:p>
    <w:p>
      <w:pPr>
        <w:pStyle w:val="Heading1"/>
        <w:spacing w:after="120" w:before="320"/>
      </w:pPr>
      <w:r>
        <w:rPr>
          <w:rFonts w:ascii="Arial" w:cs="Arial" w:eastAsia="Arial" w:hAnsi="Arial"/>
          <w:b/>
          <w:bCs/>
          <w:color w:val="0A84A0"/>
          <w:sz w:val="28"/>
          <w:szCs w:val="28"/>
        </w:rPr>
        <w:t xml:space="preserve">2. NATURE AND PURPOSE OF PROCESSING</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c>
          <w:tcPr>
            <w:tcW w:type="dxa" w:w="3009"/>
            <w:tcBorders>
              <w:top w:val="single" w:color="C5D5E0" w:sz="1"/>
              <w:left w:val="single" w:color="C5D5E0" w:sz="1"/>
              <w:bottom w:val="single" w:color="C5D5E0" w:sz="1"/>
              <w:right w:val="single" w:color="C5D5E0" w:sz="1"/>
            </w:tcBorders>
            <w:shd w:fill="0A84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6017"/>
            <w:tcBorders>
              <w:top w:val="single" w:color="C5D5E0" w:sz="1"/>
              <w:left w:val="single" w:color="C5D5E0" w:sz="1"/>
              <w:bottom w:val="single" w:color="C5D5E0" w:sz="1"/>
              <w:right w:val="single" w:color="C5D5E0" w:sz="1"/>
            </w:tcBorders>
            <w:shd w:fill="0A84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w:t>
            </w:r>
          </w:p>
        </w:tc>
      </w:tr>
      <w:tr>
        <w:tc>
          <w:tcPr>
            <w:tcW w:type="dxa" w:w="3009"/>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Purpose of processing</w:t>
            </w:r>
          </w:p>
        </w:tc>
        <w:tc>
          <w:tcPr>
            <w:tcW w:type="dxa" w:w="6017"/>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Automation of the Controller's operational processes through certified autonomous AI agents (e.g. Order-to-Cash, Procure-to-Pay, MRP, planning). Processing is instrumental to service delivery.</w:t>
            </w:r>
          </w:p>
        </w:tc>
      </w:tr>
      <w:tr>
        <w:tc>
          <w:tcPr>
            <w:tcW w:type="dxa" w:w="3009"/>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Nature of processing</w:t>
            </w:r>
          </w:p>
        </w:tc>
        <w:tc>
          <w:tcPr>
            <w:tcW w:type="dxa" w:w="6017"/>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Access, reading, automated processing and writing of data in the Controller's ERP systems (SAP or other) to execute automated process operations. No storage in Processor systems except audit logs.</w:t>
            </w:r>
          </w:p>
        </w:tc>
      </w:tr>
      <w:tr>
        <w:tc>
          <w:tcPr>
            <w:tcW w:type="dxa" w:w="3009"/>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Types of personal data</w:t>
            </w:r>
          </w:p>
        </w:tc>
        <w:tc>
          <w:tcPr>
            <w:tcW w:type="dxa" w:w="6017"/>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Controller's customer data: name, company registration number, address, email, phone, banking details (for invoice generation). Controller's employee data involved in the process. No special category data (Art. 9 GDPR) is processed.</w:t>
            </w:r>
          </w:p>
        </w:tc>
      </w:tr>
      <w:tr>
        <w:tc>
          <w:tcPr>
            <w:tcW w:type="dxa" w:w="3009"/>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Categories of data subjects</w:t>
            </w:r>
          </w:p>
        </w:tc>
        <w:tc>
          <w:tcPr>
            <w:tcW w:type="dxa" w:w="6017"/>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Controller's customers · Controller's employees involved in the process</w:t>
            </w:r>
          </w:p>
        </w:tc>
      </w:tr>
      <w:tr>
        <w:tc>
          <w:tcPr>
            <w:tcW w:type="dxa" w:w="3009"/>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Duration of processing</w:t>
            </w:r>
          </w:p>
        </w:tc>
        <w:tc>
          <w:tcPr>
            <w:tcW w:type="dxa" w:w="6017"/>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For the duration of the Service Agreement. Upon termination, the Processor will delete or return all personal data in accordance with Article 8 of this DPA.</w:t>
            </w:r>
          </w:p>
        </w:tc>
      </w:tr>
      <w:tr>
        <w:tc>
          <w:tcPr>
            <w:tcW w:type="dxa" w:w="3009"/>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Controller's legal basis</w:t>
            </w:r>
          </w:p>
        </w:tc>
        <w:tc>
          <w:tcPr>
            <w:tcW w:type="dxa" w:w="6017"/>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Contract performance (Art. 6.1.b GDPR) for customer data. Legitimate interest (Art. 6.1.f) for employee data in the process context. The Controller determines and documents the legal basis.</w:t>
            </w:r>
          </w:p>
        </w:tc>
      </w:tr>
    </w:tbl>
    <w:p>
      <w:pPr>
        <w:spacing w:after="60" w:before="60"/>
      </w:pPr>
      <w:r>
        <w:t xml:space="preserve"/>
      </w:r>
    </w:p>
    <w:p>
      <w:pPr>
        <w:spacing w:after="60" w:before="60"/>
      </w:pPr>
      <w:r>
        <w:t xml:space="preserve"/>
      </w:r>
    </w:p>
    <w:p>
      <w:pPr>
        <w:pStyle w:val="Heading1"/>
        <w:spacing w:after="120" w:before="320"/>
      </w:pPr>
      <w:r>
        <w:rPr>
          <w:rFonts w:ascii="Arial" w:cs="Arial" w:eastAsia="Arial" w:hAnsi="Arial"/>
          <w:b/>
          <w:bCs/>
          <w:color w:val="0A84A0"/>
          <w:sz w:val="28"/>
          <w:szCs w:val="28"/>
        </w:rPr>
        <w:t xml:space="preserve">3. PROCESSOR OBLIGATIONS</w:t>
      </w:r>
    </w:p>
    <w:p>
      <w:pPr>
        <w:spacing w:after="60" w:before="60"/>
      </w:pPr>
      <w:r>
        <w:t xml:space="preserve"/>
      </w:r>
    </w:p>
    <w:p>
      <w:pPr>
        <w:pStyle w:val="Heading2"/>
        <w:spacing w:after="80" w:before="240"/>
      </w:pPr>
      <w:r>
        <w:rPr>
          <w:rFonts w:ascii="Arial" w:cs="Arial" w:eastAsia="Arial" w:hAnsi="Arial"/>
          <w:b/>
          <w:bCs/>
          <w:color w:val="1A2E4A"/>
          <w:sz w:val="22"/>
          <w:szCs w:val="22"/>
        </w:rPr>
        <w:t xml:space="preserve">3.1 Controller Instructions</w:t>
      </w:r>
    </w:p>
    <w:p>
      <w:pPr>
        <w:spacing w:after="60" w:before="60"/>
      </w:pPr>
      <w:r>
        <w:rPr>
          <w:rFonts w:ascii="Arial" w:cs="Arial" w:eastAsia="Arial" w:hAnsi="Arial"/>
          <w:color w:val="1A2E4A"/>
          <w:sz w:val="20"/>
          <w:szCs w:val="20"/>
        </w:rPr>
        <w:t xml:space="preserve">The Processor shall process personal data only on the documented instructions of the Controller, including those set out in the Service Agreement and the SIOP (System Integration &amp; Operations Profile) signed by both parties. If the Processor considers that an instruction infringes the GDPR, it shall immediately notify the Controller.</w:t>
      </w:r>
    </w:p>
    <w:p>
      <w:pPr>
        <w:spacing w:after="60" w:before="60"/>
      </w:pPr>
      <w:r>
        <w:t xml:space="preserve"/>
      </w:r>
    </w:p>
    <w:p>
      <w:pPr>
        <w:pStyle w:val="Heading2"/>
        <w:spacing w:after="80" w:before="240"/>
      </w:pPr>
      <w:r>
        <w:rPr>
          <w:rFonts w:ascii="Arial" w:cs="Arial" w:eastAsia="Arial" w:hAnsi="Arial"/>
          <w:b/>
          <w:bCs/>
          <w:color w:val="1A2E4A"/>
          <w:sz w:val="22"/>
          <w:szCs w:val="22"/>
        </w:rPr>
        <w:t xml:space="preserve">3.2 Confidentiality</w:t>
      </w:r>
    </w:p>
    <w:p>
      <w:pPr>
        <w:spacing w:after="60" w:before="60"/>
      </w:pPr>
      <w:r>
        <w:rPr>
          <w:rFonts w:ascii="Arial" w:cs="Arial" w:eastAsia="Arial" w:hAnsi="Arial"/>
          <w:color w:val="1A2E4A"/>
          <w:sz w:val="20"/>
          <w:szCs w:val="20"/>
        </w:rPr>
        <w:t xml:space="preserve">The Processor ensures that persons authorised to process personal data have committed to confidentiality or are subject to a statutory obligation of confidentiality. This obligation survives termination of the contract.</w:t>
      </w:r>
    </w:p>
    <w:p>
      <w:pPr>
        <w:spacing w:after="60" w:before="60"/>
      </w:pPr>
      <w:r>
        <w:t xml:space="preserve"/>
      </w:r>
    </w:p>
    <w:p>
      <w:pPr>
        <w:pStyle w:val="Heading2"/>
        <w:spacing w:after="80" w:before="240"/>
      </w:pPr>
      <w:r>
        <w:rPr>
          <w:rFonts w:ascii="Arial" w:cs="Arial" w:eastAsia="Arial" w:hAnsi="Arial"/>
          <w:b/>
          <w:bCs/>
          <w:color w:val="1A2E4A"/>
          <w:sz w:val="22"/>
          <w:szCs w:val="22"/>
        </w:rPr>
        <w:t xml:space="preserve">3.3 Security Measures</w:t>
      </w:r>
    </w:p>
    <w:p>
      <w:pPr>
        <w:spacing w:after="60" w:before="60"/>
      </w:pPr>
      <w:r>
        <w:rPr>
          <w:rFonts w:ascii="Arial" w:cs="Arial" w:eastAsia="Arial" w:hAnsi="Arial"/>
          <w:color w:val="1A2E4A"/>
          <w:sz w:val="20"/>
          <w:szCs w:val="20"/>
        </w:rPr>
        <w:t xml:space="preserve">The Processor shall implement, at minimum, the following technical and organisational measures pursuant to Article 32 GDPR:</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5D5E0" w:sz="1"/>
              <w:left w:val="single" w:color="C5D5E0" w:sz="1"/>
              <w:bottom w:val="single" w:color="C5D5E0" w:sz="1"/>
              <w:right w:val="single" w:color="C5D5E0" w:sz="1"/>
            </w:tcBorders>
            <w:shd w:fill="0A84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Measure</w:t>
            </w:r>
          </w:p>
        </w:tc>
        <w:tc>
          <w:tcPr>
            <w:tcW w:type="dxa" w:w="5526"/>
            <w:tcBorders>
              <w:top w:val="single" w:color="C5D5E0" w:sz="1"/>
              <w:left w:val="single" w:color="C5D5E0" w:sz="1"/>
              <w:bottom w:val="single" w:color="C5D5E0" w:sz="1"/>
              <w:right w:val="single" w:color="C5D5E0" w:sz="1"/>
            </w:tcBorders>
            <w:shd w:fill="0A84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Implementation</w:t>
            </w:r>
          </w:p>
        </w:tc>
      </w:tr>
      <w:tr>
        <w:tc>
          <w:tcPr>
            <w:tcW w:type="dxa" w:w="35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Encryption in transit</w:t>
            </w:r>
          </w:p>
        </w:tc>
        <w:tc>
          <w:tcPr>
            <w:tcW w:type="dxa" w:w="55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TLS 1.3 on all API communications with Controller systems</w:t>
            </w:r>
          </w:p>
        </w:tc>
      </w:tr>
      <w:tr>
        <w:tc>
          <w:tcPr>
            <w:tcW w:type="dxa" w:w="35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Encryption at rest</w:t>
            </w:r>
          </w:p>
        </w:tc>
        <w:tc>
          <w:tcPr>
            <w:tcW w:type="dxa" w:w="55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Audit logs encrypted with AES-256. No personal data stored in Processor systems outside of logs.</w:t>
            </w:r>
          </w:p>
        </w:tc>
      </w:tr>
      <w:tr>
        <w:tc>
          <w:tcPr>
            <w:tcW w:type="dxa" w:w="35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Access control</w:t>
            </w:r>
          </w:p>
        </w:tc>
        <w:tc>
          <w:tcPr>
            <w:tcW w:type="dxa" w:w="55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Principle of least privilege. SAP credentials with minimum permissions as defined in the SIOP. MFA on all administrative access.</w:t>
            </w:r>
          </w:p>
        </w:tc>
      </w:tr>
      <w:tr>
        <w:tc>
          <w:tcPr>
            <w:tcW w:type="dxa" w:w="35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Pseudonymisation</w:t>
            </w:r>
          </w:p>
        </w:tc>
        <w:tc>
          <w:tcPr>
            <w:tcW w:type="dxa" w:w="55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Agent audit logs reference transaction IDs, not direct personal data, wherever technically feasible.</w:t>
            </w:r>
          </w:p>
        </w:tc>
      </w:tr>
      <w:tr>
        <w:tc>
          <w:tcPr>
            <w:tcW w:type="dxa" w:w="35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Availability and resilience</w:t>
            </w:r>
          </w:p>
        </w:tc>
        <w:tc>
          <w:tcPr>
            <w:tcW w:type="dxa" w:w="55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The agent operates on the Controller's ERP infrastructure. The Processor is not responsible for the availability of the Controller's ERP.</w:t>
            </w:r>
          </w:p>
        </w:tc>
      </w:tr>
      <w:tr>
        <w:tc>
          <w:tcPr>
            <w:tcW w:type="dxa" w:w="35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Security testing</w:t>
            </w:r>
          </w:p>
        </w:tc>
        <w:tc>
          <w:tcPr>
            <w:tcW w:type="dxa" w:w="55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Security review of agent code before each deployment. Guardian Certificate includes security verification.</w:t>
            </w:r>
          </w:p>
        </w:tc>
      </w:tr>
      <w:tr>
        <w:tc>
          <w:tcPr>
            <w:tcW w:type="dxa" w:w="35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Audit</w:t>
            </w:r>
          </w:p>
        </w:tc>
        <w:tc>
          <w:tcPr>
            <w:tcW w:type="dxa" w:w="55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Logs of all agent actions available to the Controller in the Autonomy Dashboard throughout the contract term.</w:t>
            </w:r>
          </w:p>
        </w:tc>
      </w:tr>
    </w:tbl>
    <w:p>
      <w:pPr>
        <w:spacing w:after="60" w:before="60"/>
      </w:pPr>
      <w:r>
        <w:t xml:space="preserve"/>
      </w:r>
    </w:p>
    <w:p>
      <w:pPr>
        <w:pStyle w:val="Heading2"/>
        <w:spacing w:after="80" w:before="240"/>
      </w:pPr>
      <w:r>
        <w:rPr>
          <w:rFonts w:ascii="Arial" w:cs="Arial" w:eastAsia="Arial" w:hAnsi="Arial"/>
          <w:b/>
          <w:bCs/>
          <w:color w:val="1A2E4A"/>
          <w:sz w:val="22"/>
          <w:szCs w:val="22"/>
        </w:rPr>
        <w:t xml:space="preserve">3.4 Sub-processors</w:t>
      </w:r>
    </w:p>
    <w:p>
      <w:pPr>
        <w:spacing w:after="60" w:before="60"/>
      </w:pPr>
      <w:r>
        <w:rPr>
          <w:rFonts w:ascii="Arial" w:cs="Arial" w:eastAsia="Arial" w:hAnsi="Arial"/>
          <w:color w:val="1A2E4A"/>
          <w:sz w:val="20"/>
          <w:szCs w:val="20"/>
        </w:rPr>
        <w:t xml:space="preserve">The Processor may engage sub-processors for service delivery. At the date of signing this DPA, the authorised sub-processors are: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026"/>
      </w:tblGrid>
      <w:tr>
        <w:tc>
          <w:tcPr>
            <w:tcW w:type="dxa" w:w="2500"/>
            <w:tcBorders>
              <w:top w:val="single" w:color="C5D5E0" w:sz="1"/>
              <w:left w:val="single" w:color="C5D5E0" w:sz="1"/>
              <w:bottom w:val="single" w:color="C5D5E0" w:sz="1"/>
              <w:right w:val="single" w:color="C5D5E0" w:sz="1"/>
            </w:tcBorders>
            <w:shd w:fill="0A84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Sub-processor</w:t>
            </w:r>
          </w:p>
        </w:tc>
        <w:tc>
          <w:tcPr>
            <w:tcW w:type="dxa" w:w="2500"/>
            <w:tcBorders>
              <w:top w:val="single" w:color="C5D5E0" w:sz="1"/>
              <w:left w:val="single" w:color="C5D5E0" w:sz="1"/>
              <w:bottom w:val="single" w:color="C5D5E0" w:sz="1"/>
              <w:right w:val="single" w:color="C5D5E0" w:sz="1"/>
            </w:tcBorders>
            <w:shd w:fill="0A84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Service</w:t>
            </w:r>
          </w:p>
        </w:tc>
        <w:tc>
          <w:tcPr>
            <w:tcW w:type="dxa" w:w="2000"/>
            <w:tcBorders>
              <w:top w:val="single" w:color="C5D5E0" w:sz="1"/>
              <w:left w:val="single" w:color="C5D5E0" w:sz="1"/>
              <w:bottom w:val="single" w:color="C5D5E0" w:sz="1"/>
              <w:right w:val="single" w:color="C5D5E0" w:sz="1"/>
            </w:tcBorders>
            <w:shd w:fill="0A84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Country</w:t>
            </w:r>
          </w:p>
        </w:tc>
        <w:tc>
          <w:tcPr>
            <w:tcW w:type="dxa" w:w="2026"/>
            <w:tcBorders>
              <w:top w:val="single" w:color="C5D5E0" w:sz="1"/>
              <w:left w:val="single" w:color="C5D5E0" w:sz="1"/>
              <w:bottom w:val="single" w:color="C5D5E0" w:sz="1"/>
              <w:right w:val="single" w:color="C5D5E0" w:sz="1"/>
            </w:tcBorders>
            <w:shd w:fill="0A84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Safeguards</w:t>
            </w:r>
          </w:p>
        </w:tc>
      </w:tr>
      <w:tr>
        <w:tc>
          <w:tcPr>
            <w:tcW w:type="dxa" w:w="25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xAI (Grok API)</w:t>
            </w:r>
          </w:p>
        </w:tc>
        <w:tc>
          <w:tcPr>
            <w:tcW w:type="dxa" w:w="250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Agent reasoning engine</w:t>
            </w:r>
          </w:p>
        </w:tc>
        <w:tc>
          <w:tcPr>
            <w:tcW w:type="dxa" w:w="200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EEUU</w:t>
            </w:r>
          </w:p>
        </w:tc>
        <w:tc>
          <w:tcPr>
            <w:tcW w:type="dxa" w:w="20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EU Standard Contractual Clauses (SCCs)</w:t>
            </w:r>
          </w:p>
        </w:tc>
      </w:tr>
      <w:tr>
        <w:tc>
          <w:tcPr>
            <w:tcW w:type="dxa" w:w="25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Google (Gemini API)</w:t>
            </w:r>
          </w:p>
        </w:tc>
        <w:tc>
          <w:tcPr>
            <w:tcW w:type="dxa" w:w="250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Multi-model comparator (certification)</w:t>
            </w:r>
          </w:p>
        </w:tc>
        <w:tc>
          <w:tcPr>
            <w:tcW w:type="dxa" w:w="200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EEUU / UE</w:t>
            </w:r>
          </w:p>
        </w:tc>
        <w:tc>
          <w:tcPr>
            <w:tcW w:type="dxa" w:w="20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EU Standard Contractual Clauses (SCCs)</w:t>
            </w:r>
          </w:p>
        </w:tc>
      </w:tr>
      <w:tr>
        <w:tc>
          <w:tcPr>
            <w:tcW w:type="dxa" w:w="25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Anthropic (Claude API)</w:t>
            </w:r>
          </w:p>
        </w:tc>
        <w:tc>
          <w:tcPr>
            <w:tcW w:type="dxa" w:w="250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Multi-model comparator (certification)</w:t>
            </w:r>
          </w:p>
        </w:tc>
        <w:tc>
          <w:tcPr>
            <w:tcW w:type="dxa" w:w="200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EEUU</w:t>
            </w:r>
          </w:p>
        </w:tc>
        <w:tc>
          <w:tcPr>
            <w:tcW w:type="dxa" w:w="20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EU Standard Contractual Clauses (SCCs)</w:t>
            </w:r>
          </w:p>
        </w:tc>
      </w:tr>
      <w:tr>
        <w:tc>
          <w:tcPr>
            <w:tcW w:type="dxa" w:w="25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GitHub Pages</w:t>
            </w:r>
          </w:p>
        </w:tc>
        <w:tc>
          <w:tcPr>
            <w:tcW w:type="dxa" w:w="250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Web and dashboard hosting (no personal data)</w:t>
            </w:r>
          </w:p>
        </w:tc>
        <w:tc>
          <w:tcPr>
            <w:tcW w:type="dxa" w:w="200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EEUU / UE</w:t>
            </w:r>
          </w:p>
        </w:tc>
        <w:tc>
          <w:tcPr>
            <w:tcW w:type="dxa" w:w="20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Microsoft DPA</w:t>
            </w:r>
          </w:p>
        </w:tc>
      </w:tr>
    </w:tbl>
    <w:p>
      <w:pPr>
        <w:spacing w:after="60" w:before="60"/>
      </w:pPr>
      <w:r>
        <w:t xml:space="preserve"/>
      </w:r>
    </w:p>
    <w:p>
      <w:pPr>
        <w:spacing w:after="60" w:before="60"/>
      </w:pPr>
      <w:r>
        <w:rPr>
          <w:rFonts w:ascii="Arial" w:cs="Arial" w:eastAsia="Arial" w:hAnsi="Arial"/>
          <w:color w:val="8FA3C0"/>
          <w:sz w:val="18"/>
          <w:szCs w:val="18"/>
        </w:rPr>
        <w:t xml:space="preserve">The Processor shall notify the Controller at least 14 days in advance of any change to sub-processors that may affect the processing of personal data. The Controller may object to such change by written notice.</w:t>
      </w:r>
    </w:p>
    <w:p>
      <w:pPr>
        <w:spacing w:after="60" w:before="60"/>
      </w:pPr>
      <w:r>
        <w:t xml:space="preserve"/>
      </w:r>
    </w:p>
    <w:p>
      <w:pPr>
        <w:pStyle w:val="Heading2"/>
        <w:spacing w:after="80" w:before="240"/>
      </w:pPr>
      <w:r>
        <w:rPr>
          <w:rFonts w:ascii="Arial" w:cs="Arial" w:eastAsia="Arial" w:hAnsi="Arial"/>
          <w:b/>
          <w:bCs/>
          <w:color w:val="1A2E4A"/>
          <w:sz w:val="22"/>
          <w:szCs w:val="22"/>
        </w:rPr>
        <w:t xml:space="preserve">3.5 Assistance to the Controller</w:t>
      </w:r>
    </w:p>
    <w:p>
      <w:pPr>
        <w:spacing w:after="60" w:before="60"/>
      </w:pPr>
      <w:r>
        <w:rPr>
          <w:rFonts w:ascii="Arial" w:cs="Arial" w:eastAsia="Arial" w:hAnsi="Arial"/>
          <w:color w:val="1A2E4A"/>
          <w:sz w:val="20"/>
          <w:szCs w:val="20"/>
        </w:rPr>
        <w:t xml:space="preserve">The Processor shall assist the Controller in fulfilling its obligations regarding:</w:t>
      </w:r>
    </w:p>
    <w:p>
      <w:pPr>
        <w:pStyle w:val="ListParagraph"/>
        <w:numPr>
          <w:ilvl w:val="0"/>
          <w:numId w:val="2"/>
        </w:numPr>
        <w:spacing w:after="40" w:before="40"/>
      </w:pPr>
      <w:r>
        <w:rPr>
          <w:rFonts w:ascii="Arial" w:cs="Arial" w:eastAsia="Arial" w:hAnsi="Arial"/>
          <w:color w:val="1A2E4A"/>
          <w:sz w:val="20"/>
          <w:szCs w:val="20"/>
        </w:rPr>
        <w:t xml:space="preserve">Data subject rights requests (access, rectification, erasure, portability, objection)</w:t>
      </w:r>
    </w:p>
    <w:p>
      <w:pPr>
        <w:pStyle w:val="ListParagraph"/>
        <w:numPr>
          <w:ilvl w:val="0"/>
          <w:numId w:val="2"/>
        </w:numPr>
        <w:spacing w:after="40" w:before="40"/>
      </w:pPr>
      <w:r>
        <w:rPr>
          <w:rFonts w:ascii="Arial" w:cs="Arial" w:eastAsia="Arial" w:hAnsi="Arial"/>
          <w:color w:val="1A2E4A"/>
          <w:sz w:val="20"/>
          <w:szCs w:val="20"/>
        </w:rPr>
        <w:t xml:space="preserve">Notification of security breaches to the supervisory authority (deadline: 24 hours from detection by the Processor)</w:t>
      </w:r>
    </w:p>
    <w:p>
      <w:pPr>
        <w:pStyle w:val="ListParagraph"/>
        <w:numPr>
          <w:ilvl w:val="0"/>
          <w:numId w:val="2"/>
        </w:numPr>
        <w:spacing w:after="40" w:before="40"/>
      </w:pPr>
      <w:r>
        <w:rPr>
          <w:rFonts w:ascii="Arial" w:cs="Arial" w:eastAsia="Arial" w:hAnsi="Arial"/>
          <w:color w:val="1A2E4A"/>
          <w:sz w:val="20"/>
          <w:szCs w:val="20"/>
        </w:rPr>
        <w:t xml:space="preserve">Data Protection Impact Assessments (DPIAs) when required by the Controller</w:t>
      </w:r>
    </w:p>
    <w:p>
      <w:pPr>
        <w:pStyle w:val="ListParagraph"/>
        <w:numPr>
          <w:ilvl w:val="0"/>
          <w:numId w:val="2"/>
        </w:numPr>
        <w:spacing w:after="40" w:before="40"/>
      </w:pPr>
      <w:r>
        <w:rPr>
          <w:rFonts w:ascii="Arial" w:cs="Arial" w:eastAsia="Arial" w:hAnsi="Arial"/>
          <w:color w:val="1A2E4A"/>
          <w:sz w:val="20"/>
          <w:szCs w:val="20"/>
        </w:rPr>
        <w:t xml:space="preserve">Prior consultations with the supervisory authority</w:t>
      </w:r>
    </w:p>
    <w:p>
      <w:pPr>
        <w:spacing w:after="60" w:before="60"/>
      </w:pPr>
      <w:r>
        <w:t xml:space="preserve"/>
      </w:r>
    </w:p>
    <w:p>
      <w:pPr>
        <w:pStyle w:val="Heading2"/>
        <w:spacing w:after="80" w:before="240"/>
      </w:pPr>
      <w:r>
        <w:rPr>
          <w:rFonts w:ascii="Arial" w:cs="Arial" w:eastAsia="Arial" w:hAnsi="Arial"/>
          <w:b/>
          <w:bCs/>
          <w:color w:val="1A2E4A"/>
          <w:sz w:val="22"/>
          <w:szCs w:val="22"/>
        </w:rPr>
        <w:t xml:space="preserve">3.6 International Transfers</w:t>
      </w:r>
    </w:p>
    <w:p>
      <w:pPr>
        <w:spacing w:after="60" w:before="60"/>
      </w:pPr>
      <w:r>
        <w:rPr>
          <w:rFonts w:ascii="Arial" w:cs="Arial" w:eastAsia="Arial" w:hAnsi="Arial"/>
          <w:color w:val="1A2E4A"/>
          <w:sz w:val="20"/>
          <w:szCs w:val="20"/>
        </w:rPr>
        <w:t xml:space="preserve">The sub-processors listed in section 3.4 may involve transfers of data outside the European Economic Area (EEA). Such transfers are covered by Standard Contractual Clauses approved by the European Commission (Decision 2021/914), ensuring an equivalent level of protection to the GDPR.</w:t>
      </w:r>
    </w:p>
    <w:p>
      <w:pPr>
        <w:spacing w:after="60" w:before="60"/>
      </w:pPr>
      <w:r>
        <w:rPr>
          <w:rFonts w:ascii="Arial" w:cs="Arial" w:eastAsia="Arial" w:hAnsi="Arial"/>
          <w:i/>
          <w:iCs/>
          <w:color w:val="8FA3C0"/>
          <w:sz w:val="18"/>
          <w:szCs w:val="18"/>
        </w:rPr>
        <w:t xml:space="preserve">Important note: Prompts sent to AI APIs do not contain direct personal data. The Processor applies pseudonymisation and data minimisation before any external API call.</w:t>
      </w:r>
    </w:p>
    <w:p>
      <w:pPr>
        <w:spacing w:after="60" w:before="60"/>
      </w:pPr>
      <w:r>
        <w:t xml:space="preserve"/>
      </w:r>
    </w:p>
    <w:p>
      <w:pPr>
        <w:spacing w:after="60" w:before="60"/>
      </w:pPr>
      <w:r>
        <w:t xml:space="preserve"/>
      </w:r>
    </w:p>
    <w:p>
      <w:pPr>
        <w:pStyle w:val="Heading1"/>
        <w:spacing w:after="120" w:before="320"/>
      </w:pPr>
      <w:r>
        <w:rPr>
          <w:rFonts w:ascii="Arial" w:cs="Arial" w:eastAsia="Arial" w:hAnsi="Arial"/>
          <w:b/>
          <w:bCs/>
          <w:color w:val="0A84A0"/>
          <w:sz w:val="28"/>
          <w:szCs w:val="28"/>
        </w:rPr>
        <w:t xml:space="preserve">4. CONTROLLER OBLIGATIONS</w:t>
      </w:r>
    </w:p>
    <w:p>
      <w:pPr>
        <w:spacing w:after="60" w:before="60"/>
      </w:pPr>
      <w:r>
        <w:t xml:space="preserve"/>
      </w:r>
    </w:p>
    <w:p>
      <w:pPr>
        <w:pStyle w:val="ListParagraph"/>
        <w:numPr>
          <w:ilvl w:val="0"/>
          <w:numId w:val="2"/>
        </w:numPr>
        <w:spacing w:after="40" w:before="40"/>
      </w:pPr>
      <w:r>
        <w:rPr>
          <w:rFonts w:ascii="Arial" w:cs="Arial" w:eastAsia="Arial" w:hAnsi="Arial"/>
          <w:color w:val="1A2E4A"/>
          <w:sz w:val="20"/>
          <w:szCs w:val="20"/>
        </w:rPr>
        <w:t xml:space="preserve">Provide clear and lawful instructions for personal data processing</w:t>
      </w:r>
    </w:p>
    <w:p>
      <w:pPr>
        <w:pStyle w:val="ListParagraph"/>
        <w:numPr>
          <w:ilvl w:val="0"/>
          <w:numId w:val="2"/>
        </w:numPr>
        <w:spacing w:after="40" w:before="40"/>
      </w:pPr>
      <w:r>
        <w:rPr>
          <w:rFonts w:ascii="Arial" w:cs="Arial" w:eastAsia="Arial" w:hAnsi="Arial"/>
          <w:color w:val="1A2E4A"/>
          <w:sz w:val="20"/>
          <w:szCs w:val="20"/>
        </w:rPr>
        <w:t xml:space="preserve">Ensure it has a valid legal basis for the processing of data provided to the Processor</w:t>
      </w:r>
    </w:p>
    <w:p>
      <w:pPr>
        <w:pStyle w:val="ListParagraph"/>
        <w:numPr>
          <w:ilvl w:val="0"/>
          <w:numId w:val="2"/>
        </w:numPr>
        <w:spacing w:after="40" w:before="40"/>
      </w:pPr>
      <w:r>
        <w:rPr>
          <w:rFonts w:ascii="Arial" w:cs="Arial" w:eastAsia="Arial" w:hAnsi="Arial"/>
          <w:color w:val="1A2E4A"/>
          <w:sz w:val="20"/>
          <w:szCs w:val="20"/>
        </w:rPr>
        <w:t xml:space="preserve">Inform data subjects about the processing of their data, including the existence of the autonomous agent, in accordance with Art. 13/14 GDPR</w:t>
      </w:r>
    </w:p>
    <w:p>
      <w:pPr>
        <w:pStyle w:val="ListParagraph"/>
        <w:numPr>
          <w:ilvl w:val="0"/>
          <w:numId w:val="2"/>
        </w:numPr>
        <w:spacing w:after="40" w:before="40"/>
      </w:pPr>
      <w:r>
        <w:rPr>
          <w:rFonts w:ascii="Arial" w:cs="Arial" w:eastAsia="Arial" w:hAnsi="Arial"/>
          <w:color w:val="1A2E4A"/>
          <w:sz w:val="20"/>
          <w:szCs w:val="20"/>
        </w:rPr>
        <w:t xml:space="preserve">Notify the Processor of any data subject rights request received that affects the processing under this DPA</w:t>
      </w:r>
    </w:p>
    <w:p>
      <w:pPr>
        <w:pStyle w:val="ListParagraph"/>
        <w:numPr>
          <w:ilvl w:val="0"/>
          <w:numId w:val="2"/>
        </w:numPr>
        <w:spacing w:after="40" w:before="40"/>
      </w:pPr>
      <w:r>
        <w:rPr>
          <w:rFonts w:ascii="Arial" w:cs="Arial" w:eastAsia="Arial" w:hAnsi="Arial"/>
          <w:color w:val="1A2E4A"/>
          <w:sz w:val="20"/>
          <w:szCs w:val="20"/>
        </w:rPr>
        <w:t xml:space="preserve">Maintain the Record of Processing Activities (RoPA) updated with the activity covered by this DPA</w:t>
      </w:r>
    </w:p>
    <w:p>
      <w:pPr>
        <w:pStyle w:val="ListParagraph"/>
        <w:numPr>
          <w:ilvl w:val="0"/>
          <w:numId w:val="2"/>
        </w:numPr>
        <w:spacing w:after="40" w:before="40"/>
      </w:pPr>
      <w:r>
        <w:rPr>
          <w:rFonts w:ascii="Arial" w:cs="Arial" w:eastAsia="Arial" w:hAnsi="Arial"/>
          <w:color w:val="1A2E4A"/>
          <w:sz w:val="20"/>
          <w:szCs w:val="20"/>
        </w:rPr>
        <w:t xml:space="preserve">Designate a point of contact for data protection communications</w:t>
      </w:r>
    </w:p>
    <w:p>
      <w:pPr>
        <w:spacing w:after="60" w:before="60"/>
      </w:pPr>
      <w:r>
        <w:t xml:space="preserve"/>
      </w:r>
    </w:p>
    <w:p>
      <w:pPr>
        <w:spacing w:after="60" w:before="60"/>
      </w:pPr>
      <w:r>
        <w:t xml:space="preserve"/>
      </w:r>
    </w:p>
    <w:p>
      <w:pPr>
        <w:pStyle w:val="Heading1"/>
        <w:spacing w:after="120" w:before="320"/>
      </w:pPr>
      <w:r>
        <w:rPr>
          <w:rFonts w:ascii="Arial" w:cs="Arial" w:eastAsia="Arial" w:hAnsi="Arial"/>
          <w:b/>
          <w:bCs/>
          <w:color w:val="0A84A0"/>
          <w:sz w:val="28"/>
          <w:szCs w:val="28"/>
        </w:rPr>
        <w:t xml:space="preserve">5. AUDIT AND INSPECTION RIGHTS</w:t>
      </w:r>
    </w:p>
    <w:p>
      <w:pPr>
        <w:spacing w:after="60" w:before="60"/>
      </w:pPr>
      <w:r>
        <w:rPr>
          <w:rFonts w:ascii="Arial" w:cs="Arial" w:eastAsia="Arial" w:hAnsi="Arial"/>
          <w:color w:val="1A2E4A"/>
          <w:sz w:val="20"/>
          <w:szCs w:val="20"/>
        </w:rPr>
        <w:t xml:space="preserve">The Controller has the right to conduct or commission audits of the Processor's compliance with this DPA. The Processor shall:</w:t>
      </w:r>
    </w:p>
    <w:p>
      <w:pPr>
        <w:spacing w:after="60" w:before="60"/>
      </w:pPr>
      <w:r>
        <w:t xml:space="preserve"/>
      </w:r>
    </w:p>
    <w:p>
      <w:pPr>
        <w:pStyle w:val="ListParagraph"/>
        <w:numPr>
          <w:ilvl w:val="0"/>
          <w:numId w:val="2"/>
        </w:numPr>
        <w:spacing w:after="40" w:before="40"/>
      </w:pPr>
      <w:r>
        <w:rPr>
          <w:rFonts w:ascii="Arial" w:cs="Arial" w:eastAsia="Arial" w:hAnsi="Arial"/>
          <w:color w:val="1A2E4A"/>
          <w:sz w:val="20"/>
          <w:szCs w:val="20"/>
        </w:rPr>
        <w:t xml:space="preserve">Make available to the Controller all information necessary to demonstrate compliance with the obligations set out in Art. 28 GDPR</w:t>
      </w:r>
    </w:p>
    <w:p>
      <w:pPr>
        <w:pStyle w:val="ListParagraph"/>
        <w:numPr>
          <w:ilvl w:val="0"/>
          <w:numId w:val="2"/>
        </w:numPr>
        <w:spacing w:after="40" w:before="40"/>
      </w:pPr>
      <w:r>
        <w:rPr>
          <w:rFonts w:ascii="Arial" w:cs="Arial" w:eastAsia="Arial" w:hAnsi="Arial"/>
          <w:color w:val="1A2E4A"/>
          <w:sz w:val="20"/>
          <w:szCs w:val="20"/>
        </w:rPr>
        <w:t xml:space="preserve">Allow for and contribute to audits, including inspections, conducted by the Controller or an auditor mandated by the Controller</w:t>
      </w:r>
    </w:p>
    <w:p>
      <w:pPr>
        <w:pStyle w:val="ListParagraph"/>
        <w:numPr>
          <w:ilvl w:val="0"/>
          <w:numId w:val="2"/>
        </w:numPr>
        <w:spacing w:after="40" w:before="40"/>
      </w:pPr>
      <w:r>
        <w:rPr>
          <w:rFonts w:ascii="Arial" w:cs="Arial" w:eastAsia="Arial" w:hAnsi="Arial"/>
          <w:color w:val="1A2E4A"/>
          <w:sz w:val="20"/>
          <w:szCs w:val="20"/>
        </w:rPr>
        <w:t xml:space="preserve">Audits shall be conducted with a minimum of 30 days prior notice, during business hours, without disrupting service delivery</w:t>
      </w:r>
    </w:p>
    <w:p>
      <w:pPr>
        <w:pStyle w:val="ListParagraph"/>
        <w:numPr>
          <w:ilvl w:val="0"/>
          <w:numId w:val="2"/>
        </w:numPr>
        <w:spacing w:after="40" w:before="40"/>
      </w:pPr>
      <w:r>
        <w:rPr>
          <w:rFonts w:ascii="Arial" w:cs="Arial" w:eastAsia="Arial" w:hAnsi="Arial"/>
          <w:color w:val="1A2E4A"/>
          <w:sz w:val="20"/>
          <w:szCs w:val="20"/>
        </w:rPr>
        <w:t xml:space="preserve">Audit costs shall be borne by the Controller unless the audit reveals non-compliance by the Processor</w:t>
      </w:r>
    </w:p>
    <w:p>
      <w:pPr>
        <w:spacing w:after="60" w:before="60"/>
      </w:pPr>
      <w:r>
        <w:t xml:space="preserve"/>
      </w:r>
    </w:p>
    <w:p>
      <w:pPr>
        <w:spacing w:after="60" w:before="60"/>
      </w:pPr>
      <w:r>
        <w:rPr>
          <w:rFonts w:ascii="Arial" w:cs="Arial" w:eastAsia="Arial" w:hAnsi="Arial"/>
          <w:color w:val="1A2E4A"/>
          <w:sz w:val="20"/>
          <w:szCs w:val="20"/>
        </w:rPr>
        <w:t xml:space="preserve">The Autonomy Dashboard includes complete logs of all agent actions, available in real time to the Controller, facilitating continuous supervision without the need for formal audits.</w:t>
      </w:r>
    </w:p>
    <w:p>
      <w:pPr>
        <w:spacing w:after="60" w:before="60"/>
      </w:pPr>
      <w:r>
        <w:t xml:space="preserve"/>
      </w:r>
    </w:p>
    <w:p>
      <w:pPr>
        <w:spacing w:after="60" w:before="60"/>
      </w:pPr>
      <w:r>
        <w:t xml:space="preserve"/>
      </w:r>
    </w:p>
    <w:p>
      <w:pPr>
        <w:pStyle w:val="Heading1"/>
        <w:spacing w:after="120" w:before="320"/>
      </w:pPr>
      <w:r>
        <w:rPr>
          <w:rFonts w:ascii="Arial" w:cs="Arial" w:eastAsia="Arial" w:hAnsi="Arial"/>
          <w:b/>
          <w:bCs/>
          <w:color w:val="0A84A0"/>
          <w:sz w:val="28"/>
          <w:szCs w:val="28"/>
        </w:rPr>
        <w:t xml:space="preserve">6. SECURITY BREACH NOTIFICATION</w:t>
      </w:r>
    </w:p>
    <w:p>
      <w:pPr>
        <w:spacing w:after="60" w:before="60"/>
      </w:pPr>
      <w:r>
        <w:rPr>
          <w:rFonts w:ascii="Arial" w:cs="Arial" w:eastAsia="Arial" w:hAnsi="Arial"/>
          <w:color w:val="1A2E4A"/>
          <w:sz w:val="20"/>
          <w:szCs w:val="20"/>
        </w:rPr>
        <w:t xml:space="preserve">In the event that the Processor becomes aware of a security breach affecting personal data processed under this DPA:</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C5D5E0" w:sz="1"/>
              <w:left w:val="single" w:color="C5D5E0" w:sz="1"/>
              <w:bottom w:val="single" w:color="C5D5E0" w:sz="1"/>
              <w:right w:val="single" w:color="C5D5E0" w:sz="1"/>
            </w:tcBorders>
            <w:shd w:fill="0A84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Timeframe</w:t>
            </w:r>
          </w:p>
        </w:tc>
        <w:tc>
          <w:tcPr>
            <w:tcW w:type="dxa" w:w="7526"/>
            <w:tcBorders>
              <w:top w:val="single" w:color="C5D5E0" w:sz="1"/>
              <w:left w:val="single" w:color="C5D5E0" w:sz="1"/>
              <w:bottom w:val="single" w:color="C5D5E0" w:sz="1"/>
              <w:right w:val="single" w:color="C5D5E0" w:sz="1"/>
            </w:tcBorders>
            <w:shd w:fill="0A84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Processor Action</w:t>
            </w:r>
          </w:p>
        </w:tc>
      </w:tr>
      <w:tr>
        <w:tc>
          <w:tcPr>
            <w:tcW w:type="dxa" w:w="15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center"/>
            </w:pPr>
            <w:r>
              <w:rPr>
                <w:rFonts w:ascii="Arial" w:cs="Arial" w:eastAsia="Arial" w:hAnsi="Arial"/>
                <w:b/>
                <w:bCs/>
                <w:color w:val="1A2E4A"/>
                <w:sz w:val="20"/>
                <w:szCs w:val="20"/>
              </w:rPr>
              <w:t xml:space="preserve">&lt; 24 h</w:t>
            </w:r>
          </w:p>
        </w:tc>
        <w:tc>
          <w:tcPr>
            <w:tcW w:type="dxa" w:w="75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Initial notification to the Controller by email to the designated contact address. To include: provisional description of the breach, categories and approximate number of affected data subjects, measures taken.</w:t>
            </w:r>
          </w:p>
        </w:tc>
      </w:tr>
      <w:tr>
        <w:tc>
          <w:tcPr>
            <w:tcW w:type="dxa" w:w="15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center"/>
            </w:pPr>
            <w:r>
              <w:rPr>
                <w:rFonts w:ascii="Arial" w:cs="Arial" w:eastAsia="Arial" w:hAnsi="Arial"/>
                <w:b/>
                <w:bCs/>
                <w:color w:val="1A2E4A"/>
                <w:sz w:val="20"/>
                <w:szCs w:val="20"/>
              </w:rPr>
              <w:t xml:space="preserve">&lt; 72 h</w:t>
            </w:r>
          </w:p>
        </w:tc>
        <w:tc>
          <w:tcPr>
            <w:tcW w:type="dxa" w:w="75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Full report to the Controller with all available information so that the Controller can fulfil its notification obligation to the supervisory authority (AEPD in Spain / ICO in UK / relevant authority) if applicable.</w:t>
            </w:r>
          </w:p>
        </w:tc>
      </w:tr>
      <w:tr>
        <w:tc>
          <w:tcPr>
            <w:tcW w:type="dxa" w:w="15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center"/>
            </w:pPr>
            <w:r>
              <w:rPr>
                <w:rFonts w:ascii="Arial" w:cs="Arial" w:eastAsia="Arial" w:hAnsi="Arial"/>
                <w:b/>
                <w:bCs/>
                <w:color w:val="1A2E4A"/>
                <w:sz w:val="20"/>
                <w:szCs w:val="20"/>
              </w:rPr>
              <w:t xml:space="preserve">Ongoing</w:t>
            </w:r>
          </w:p>
        </w:tc>
        <w:tc>
          <w:tcPr>
            <w:tcW w:type="dxa" w:w="75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Cooperacion activa con el Responsable durante la gestion del incidente. Implementation de medidas correctoras. Documentacion del incidente y acciones tomadas.</w:t>
            </w:r>
          </w:p>
        </w:tc>
      </w:tr>
    </w:tbl>
    <w:p>
      <w:pPr>
        <w:spacing w:after="60" w:before="60"/>
      </w:pPr>
      <w:r>
        <w:t xml:space="preserve"/>
      </w:r>
    </w:p>
    <w:p>
      <w:pPr>
        <w:spacing w:after="60" w:before="60"/>
      </w:pPr>
      <w:r>
        <w:t xml:space="preserve"/>
      </w:r>
    </w:p>
    <w:p>
      <w:pPr>
        <w:pStyle w:val="Heading1"/>
        <w:spacing w:after="120" w:before="320"/>
      </w:pPr>
      <w:r>
        <w:rPr>
          <w:rFonts w:ascii="Arial" w:cs="Arial" w:eastAsia="Arial" w:hAnsi="Arial"/>
          <w:b/>
          <w:bCs/>
          <w:color w:val="0A84A0"/>
          <w:sz w:val="28"/>
          <w:szCs w:val="28"/>
        </w:rPr>
        <w:t xml:space="preserve">7. DATA RETURN AND DELETION</w:t>
      </w:r>
    </w:p>
    <w:p>
      <w:pPr>
        <w:spacing w:after="60" w:before="60"/>
      </w:pPr>
      <w:r>
        <w:rPr>
          <w:rFonts w:ascii="Arial" w:cs="Arial" w:eastAsia="Arial" w:hAnsi="Arial"/>
          <w:color w:val="1A2E4A"/>
          <w:sz w:val="20"/>
          <w:szCs w:val="20"/>
        </w:rPr>
        <w:t xml:space="preserve">A la finalizacion del Contrato de Services, cualquiera que sea la causa:</w:t>
      </w:r>
    </w:p>
    <w:p>
      <w:pPr>
        <w:spacing w:after="60" w:before="60"/>
      </w:pPr>
      <w:r>
        <w:t xml:space="preserve"/>
      </w:r>
    </w:p>
    <w:p>
      <w:pPr>
        <w:pStyle w:val="ListParagraph"/>
        <w:numPr>
          <w:ilvl w:val="0"/>
          <w:numId w:val="2"/>
        </w:numPr>
        <w:spacing w:after="40" w:before="40"/>
      </w:pPr>
      <w:r>
        <w:rPr>
          <w:rFonts w:ascii="Arial" w:cs="Arial" w:eastAsia="Arial" w:hAnsi="Arial"/>
          <w:color w:val="1A2E4A"/>
          <w:sz w:val="20"/>
          <w:szCs w:val="20"/>
        </w:rPr>
        <w:t xml:space="preserve">The Processor shall securely delete all audit logs containing personal data within a maximum of 30 calendar days</w:t>
      </w:r>
    </w:p>
    <w:p>
      <w:pPr>
        <w:pStyle w:val="ListParagraph"/>
        <w:numPr>
          <w:ilvl w:val="0"/>
          <w:numId w:val="2"/>
        </w:numPr>
        <w:spacing w:after="40" w:before="40"/>
      </w:pPr>
      <w:r>
        <w:rPr>
          <w:rFonts w:ascii="Arial" w:cs="Arial" w:eastAsia="Arial" w:hAnsi="Arial"/>
          <w:color w:val="1A2E4A"/>
          <w:sz w:val="20"/>
          <w:szCs w:val="20"/>
        </w:rPr>
        <w:t xml:space="preserve">The Controller may request, before deletion, export of logs in JSON or CSV format for its own records</w:t>
      </w:r>
    </w:p>
    <w:p>
      <w:pPr>
        <w:pStyle w:val="ListParagraph"/>
        <w:numPr>
          <w:ilvl w:val="0"/>
          <w:numId w:val="2"/>
        </w:numPr>
        <w:spacing w:after="40" w:before="40"/>
      </w:pPr>
      <w:r>
        <w:rPr>
          <w:rFonts w:ascii="Arial" w:cs="Arial" w:eastAsia="Arial" w:hAnsi="Arial"/>
          <w:color w:val="1A2E4A"/>
          <w:sz w:val="20"/>
          <w:szCs w:val="20"/>
        </w:rPr>
        <w:t xml:space="preserve">The Processor shall issue a written certificate of deletion in accordance with this article</w:t>
      </w:r>
    </w:p>
    <w:p>
      <w:pPr>
        <w:pStyle w:val="ListParagraph"/>
        <w:numPr>
          <w:ilvl w:val="0"/>
          <w:numId w:val="2"/>
        </w:numPr>
        <w:spacing w:after="40" w:before="40"/>
      </w:pPr>
      <w:r>
        <w:rPr>
          <w:rFonts w:ascii="Arial" w:cs="Arial" w:eastAsia="Arial" w:hAnsi="Arial"/>
          <w:color w:val="1A2E4A"/>
          <w:sz w:val="20"/>
          <w:szCs w:val="20"/>
        </w:rPr>
        <w:t xml:space="preserve">Access credentials to the Controller's ERP shall be revoked on the same day as contract termination</w:t>
      </w:r>
    </w:p>
    <w:p>
      <w:pPr>
        <w:pStyle w:val="ListParagraph"/>
        <w:numPr>
          <w:ilvl w:val="0"/>
          <w:numId w:val="2"/>
        </w:numPr>
        <w:spacing w:after="40" w:before="40"/>
      </w:pPr>
      <w:r>
        <w:rPr>
          <w:rFonts w:ascii="Arial" w:cs="Arial" w:eastAsia="Arial" w:hAnsi="Arial"/>
          <w:color w:val="1A2E4A"/>
          <w:sz w:val="20"/>
          <w:szCs w:val="20"/>
        </w:rPr>
        <w:t xml:space="preserve">The AI models used (xAI, Google, Anthropic) do not retain prompt data beyond their own retention policy, which does not exceed 30 days</w:t>
      </w:r>
    </w:p>
    <w:p>
      <w:pPr>
        <w:spacing w:after="60" w:before="60"/>
      </w:pPr>
      <w:r>
        <w:t xml:space="preserve"/>
      </w:r>
    </w:p>
    <w:p>
      <w:pPr>
        <w:spacing w:after="60" w:before="60"/>
      </w:pPr>
      <w:r>
        <w:t xml:space="preserve"/>
      </w:r>
    </w:p>
    <w:p>
      <w:pPr>
        <w:pStyle w:val="Heading1"/>
        <w:spacing w:after="120" w:before="320"/>
      </w:pPr>
      <w:r>
        <w:rPr>
          <w:rFonts w:ascii="Arial" w:cs="Arial" w:eastAsia="Arial" w:hAnsi="Arial"/>
          <w:b/>
          <w:bCs/>
          <w:color w:val="0A84A0"/>
          <w:sz w:val="28"/>
          <w:szCs w:val="28"/>
        </w:rPr>
        <w:t xml:space="preserve">8. FINAL PROVISIONS</w:t>
      </w:r>
    </w:p>
    <w:p>
      <w:pPr>
        <w:spacing w:after="60" w:before="60"/>
      </w:pPr>
      <w:r>
        <w:t xml:space="preserve"/>
      </w:r>
    </w:p>
    <w:p>
      <w:pPr>
        <w:pStyle w:val="Heading2"/>
        <w:spacing w:after="80" w:before="240"/>
      </w:pPr>
      <w:r>
        <w:rPr>
          <w:rFonts w:ascii="Arial" w:cs="Arial" w:eastAsia="Arial" w:hAnsi="Arial"/>
          <w:b/>
          <w:bCs/>
          <w:color w:val="1A2E4A"/>
          <w:sz w:val="22"/>
          <w:szCs w:val="22"/>
        </w:rPr>
        <w:t xml:space="preserve">8.1 Term</w:t>
      </w:r>
    </w:p>
    <w:p>
      <w:pPr>
        <w:spacing w:after="60" w:before="60"/>
      </w:pPr>
      <w:r>
        <w:rPr>
          <w:rFonts w:ascii="Arial" w:cs="Arial" w:eastAsia="Arial" w:hAnsi="Arial"/>
          <w:color w:val="1A2E4A"/>
          <w:sz w:val="20"/>
          <w:szCs w:val="20"/>
        </w:rPr>
        <w:t xml:space="preserve">Este DPA tiene la misma vigencia que el Contrato de Services principal. Las obligaciones de confidencialidad y supresion de datos subsisten tras su finalizacion.</w:t>
      </w:r>
    </w:p>
    <w:p>
      <w:pPr>
        <w:spacing w:after="60" w:before="60"/>
      </w:pPr>
      <w:r>
        <w:t xml:space="preserve"/>
      </w:r>
    </w:p>
    <w:p>
      <w:pPr>
        <w:pStyle w:val="Heading2"/>
        <w:spacing w:after="80" w:before="240"/>
      </w:pPr>
      <w:r>
        <w:rPr>
          <w:rFonts w:ascii="Arial" w:cs="Arial" w:eastAsia="Arial" w:hAnsi="Arial"/>
          <w:b/>
          <w:bCs/>
          <w:color w:val="1A2E4A"/>
          <w:sz w:val="22"/>
          <w:szCs w:val="22"/>
        </w:rPr>
        <w:t xml:space="preserve">8.2 Regulatory Hierarchy</w:t>
      </w:r>
    </w:p>
    <w:p>
      <w:pPr>
        <w:spacing w:after="60" w:before="60"/>
      </w:pPr>
      <w:r>
        <w:rPr>
          <w:rFonts w:ascii="Arial" w:cs="Arial" w:eastAsia="Arial" w:hAnsi="Arial"/>
          <w:color w:val="1A2E4A"/>
          <w:sz w:val="20"/>
          <w:szCs w:val="20"/>
        </w:rPr>
        <w:t xml:space="preserve">En caso de conflicto entre este DPA, el Contrato de Services y la normativa aplicable, prevalece el GDPR y la normativa de proteccion de datos sobre cualquier otro instrumento contractual.</w:t>
      </w:r>
    </w:p>
    <w:p>
      <w:pPr>
        <w:spacing w:after="60" w:before="60"/>
      </w:pPr>
      <w:r>
        <w:t xml:space="preserve"/>
      </w:r>
    </w:p>
    <w:p>
      <w:pPr>
        <w:pStyle w:val="Heading2"/>
        <w:spacing w:after="80" w:before="240"/>
      </w:pPr>
      <w:r>
        <w:rPr>
          <w:rFonts w:ascii="Arial" w:cs="Arial" w:eastAsia="Arial" w:hAnsi="Arial"/>
          <w:b/>
          <w:bCs/>
          <w:color w:val="1A2E4A"/>
          <w:sz w:val="22"/>
          <w:szCs w:val="22"/>
        </w:rPr>
        <w:t xml:space="preserve">8.3 Amendments</w:t>
      </w:r>
    </w:p>
    <w:p>
      <w:pPr>
        <w:spacing w:after="60" w:before="60"/>
      </w:pPr>
      <w:r>
        <w:rPr>
          <w:rFonts w:ascii="Arial" w:cs="Arial" w:eastAsia="Arial" w:hAnsi="Arial"/>
          <w:color w:val="1A2E4A"/>
          <w:sz w:val="20"/>
          <w:szCs w:val="20"/>
        </w:rPr>
        <w:t xml:space="preserve">Any amendment to this DPA requires written agreement signed by both parties. The Processor may unilaterally update the sub-processor list in section 3.4 with the notice period established therein.</w:t>
      </w:r>
    </w:p>
    <w:p>
      <w:pPr>
        <w:spacing w:after="60" w:before="60"/>
      </w:pPr>
      <w:r>
        <w:t xml:space="preserve"/>
      </w:r>
    </w:p>
    <w:p>
      <w:pPr>
        <w:pStyle w:val="Heading2"/>
        <w:spacing w:after="80" w:before="240"/>
      </w:pPr>
      <w:r>
        <w:rPr>
          <w:rFonts w:ascii="Arial" w:cs="Arial" w:eastAsia="Arial" w:hAnsi="Arial"/>
          <w:b/>
          <w:bCs/>
          <w:color w:val="1A2E4A"/>
          <w:sz w:val="22"/>
          <w:szCs w:val="22"/>
        </w:rPr>
        <w:t xml:space="preserve">8.4 Jurisdiction</w:t>
      </w:r>
    </w:p>
    <w:p>
      <w:pPr>
        <w:spacing w:after="60" w:before="60"/>
      </w:pPr>
      <w:r>
        <w:rPr>
          <w:rFonts w:ascii="Arial" w:cs="Arial" w:eastAsia="Arial" w:hAnsi="Arial"/>
          <w:color w:val="1A2E4A"/>
          <w:sz w:val="20"/>
          <w:szCs w:val="20"/>
        </w:rPr>
        <w:t xml:space="preserve">This DPA is governed by Spanish law and the GDPR. For any dispute, the parties submit to the Courts of Valencia, without prejudice to the right of any data subject to lodge a complaint with the competent supervisory authority (AEPD in Spain, or the relevant authority in the data subject's country of residence).</w:t>
      </w:r>
    </w:p>
    <w:p>
      <w:pPr>
        <w:spacing w:after="60" w:before="60"/>
      </w:pPr>
      <w:r>
        <w:t xml:space="preserve"/>
      </w:r>
    </w:p>
    <w:p>
      <w:pPr>
        <w:spacing w:after="60" w:before="60"/>
      </w:pPr>
      <w:r>
        <w:t xml:space="preserve"/>
      </w:r>
    </w:p>
    <w:p>
      <w:pPr>
        <w:pStyle w:val="Heading1"/>
        <w:spacing w:after="120" w:before="320"/>
      </w:pPr>
      <w:r>
        <w:rPr>
          <w:rFonts w:ascii="Arial" w:cs="Arial" w:eastAsia="Arial" w:hAnsi="Arial"/>
          <w:b/>
          <w:bCs/>
          <w:color w:val="0A84A0"/>
          <w:sz w:val="28"/>
          <w:szCs w:val="28"/>
        </w:rPr>
        <w:t xml:space="preserve">9. SIGNATURES</w:t>
      </w:r>
    </w:p>
    <w:p>
      <w:pPr>
        <w:pBdr>
          <w:bottom w:val="single" w:color="0A84A0" w:sz="6" w:space="1"/>
        </w:pBdr>
        <w:spacing w:after="40" w:before="40"/>
      </w:pPr>
      <w:r>
        <w:t xml:space="preserve"/>
      </w:r>
    </w:p>
    <w:p>
      <w:pPr>
        <w:spacing w:after="60" w:before="60"/>
      </w:pPr>
      <w:r>
        <w:t xml:space="preserve"/>
      </w:r>
    </w:p>
    <w:p>
      <w:pPr>
        <w:spacing w:after="60" w:before="60"/>
      </w:pPr>
      <w:r>
        <w:rPr>
          <w:rFonts w:ascii="Arial" w:cs="Arial" w:eastAsia="Arial" w:hAnsi="Arial"/>
          <w:color w:val="1A2E4A"/>
          <w:sz w:val="20"/>
          <w:szCs w:val="20"/>
        </w:rPr>
        <w:t xml:space="preserve">The parties, acknowledging mutual legal capacity, execute this Data Processing Agreement.</w:t>
      </w:r>
    </w:p>
    <w:p>
      <w:pPr>
        <w:spacing w:after="60" w:before="60"/>
      </w:pPr>
      <w:r>
        <w:t xml:space="preserve"/>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200"/>
        <w:gridCol w:w="4413"/>
      </w:tblGrid>
      <w:tr>
        <w:tc>
          <w:tcPr>
            <w:tcW w:type="dxa" w:w="4413"/>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r>
              <w:rPr>
                <w:rFonts w:ascii="Arial" w:cs="Arial" w:eastAsia="Arial" w:hAnsi="Arial"/>
                <w:b/>
                <w:bCs/>
                <w:color w:val="0A84A0"/>
                <w:sz w:val="18"/>
                <w:szCs w:val="18"/>
              </w:rPr>
              <w:t xml:space="preserve">EL DATA CONTROLLER</w:t>
            </w:r>
          </w:p>
          <w:p>
            <w:pPr>
              <w:spacing w:after="0" w:before="80"/>
            </w:pPr>
            <w:r>
              <w:rPr>
                <w:rFonts w:ascii="Arial" w:cs="Arial" w:eastAsia="Arial" w:hAnsi="Arial"/>
                <w:sz w:val="20"/>
                <w:szCs w:val="20"/>
              </w:rPr>
              <w:t xml:space="preserve">Company: ___________________________</w:t>
            </w:r>
          </w:p>
          <w:p>
            <w:r>
              <w:rPr>
                <w:rFonts w:ascii="Arial" w:cs="Arial" w:eastAsia="Arial" w:hAnsi="Arial"/>
                <w:color w:val="8FA3C0"/>
                <w:sz w:val="18"/>
                <w:szCs w:val="18"/>
              </w:rPr>
              <w:t xml:space="preserve">Representative: _____________________</w:t>
            </w:r>
          </w:p>
          <w:p>
            <w:r>
              <w:rPr>
                <w:rFonts w:ascii="Arial" w:cs="Arial" w:eastAsia="Arial" w:hAnsi="Arial"/>
                <w:color w:val="8FA3C0"/>
                <w:sz w:val="18"/>
                <w:szCs w:val="18"/>
              </w:rPr>
              <w:t xml:space="preserve">Title: _____________________________</w:t>
            </w:r>
          </w:p>
          <w:p>
            <w:pPr>
              <w:spacing w:after="60" w:before="60"/>
            </w:pPr>
            <w:r>
              <w:t xml:space="preserve"/>
            </w:r>
          </w:p>
          <w:p>
            <w:pPr>
              <w:spacing w:after="60" w:before="60"/>
            </w:pPr>
            <w:r>
              <w:t xml:space="preserve"/>
            </w:r>
          </w:p>
          <w:p>
            <w:pPr>
              <w:pBdr>
                <w:bottom w:val="single" w:color="C5D5E0" w:sz="4" w:space="1"/>
              </w:pBdr>
              <w:spacing w:before="200"/>
            </w:pPr>
            <w:r>
              <w:t xml:space="preserve"/>
            </w:r>
          </w:p>
          <w:p>
            <w:pPr>
              <w:spacing w:after="0" w:before="40"/>
            </w:pPr>
            <w:r>
              <w:rPr>
                <w:rFonts w:ascii="Arial" w:cs="Arial" w:eastAsia="Arial" w:hAnsi="Arial"/>
                <w:i/>
                <w:iCs/>
                <w:color w:val="8FA3C0"/>
                <w:sz w:val="16"/>
                <w:szCs w:val="16"/>
              </w:rPr>
              <w:t xml:space="preserve">Signature and date</w:t>
            </w:r>
          </w:p>
        </w:tc>
        <w:tc>
          <w:tcPr>
            <w:tcW w:type="dxa" w:w="200"/>
            <w:tcBorders>
              <w:top w:val="none" w:color="FFFFFF" w:sz="0"/>
              <w:left w:val="none" w:color="FFFFFF" w:sz="0"/>
              <w:bottom w:val="none" w:color="FFFFFF" w:sz="0"/>
              <w:right w:val="none" w:color="FFFFFF" w:sz="0"/>
            </w:tcBorders>
          </w:tcPr>
          <w:p>
            <w:r>
              <w:t xml:space="preserve"/>
            </w:r>
          </w:p>
        </w:tc>
        <w:tc>
          <w:tcPr>
            <w:tcW w:type="dxa" w:w="4413"/>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r>
              <w:rPr>
                <w:rFonts w:ascii="Arial" w:cs="Arial" w:eastAsia="Arial" w:hAnsi="Arial"/>
                <w:b/>
                <w:bCs/>
                <w:color w:val="0A84A0"/>
                <w:sz w:val="18"/>
                <w:szCs w:val="18"/>
              </w:rPr>
              <w:t xml:space="preserve">EL DATA PROCESSOR</w:t>
            </w:r>
          </w:p>
          <w:p>
            <w:pPr>
              <w:spacing w:after="0" w:before="80"/>
            </w:pPr>
            <w:r>
              <w:rPr>
                <w:rFonts w:ascii="Arial" w:cs="Arial" w:eastAsia="Arial" w:hAnsi="Arial"/>
                <w:b/>
                <w:bCs/>
                <w:sz w:val="20"/>
                <w:szCs w:val="20"/>
              </w:rPr>
              <w:t xml:space="preserve">Agentic Zero powered by Dis-Solutions</w:t>
            </w:r>
          </w:p>
          <w:p>
            <w:r>
              <w:rPr>
                <w:rFonts w:ascii="Arial" w:cs="Arial" w:eastAsia="Arial" w:hAnsi="Arial"/>
                <w:color w:val="8FA3C0"/>
                <w:sz w:val="18"/>
                <w:szCs w:val="18"/>
              </w:rPr>
              <w:t xml:space="preserve">Alberto Munoz Waissen — Founder &amp; CEO</w:t>
            </w:r>
          </w:p>
          <w:p>
            <w:pPr>
              <w:spacing w:after="60" w:before="60"/>
            </w:pPr>
            <w:r>
              <w:t xml:space="preserve"/>
            </w:r>
          </w:p>
          <w:p>
            <w:pPr>
              <w:spacing w:after="60" w:before="60"/>
            </w:pPr>
            <w:r>
              <w:t xml:space="preserve"/>
            </w:r>
          </w:p>
          <w:p>
            <w:pPr>
              <w:pBdr>
                <w:bottom w:val="single" w:color="C5D5E0" w:sz="4" w:space="1"/>
              </w:pBdr>
              <w:spacing w:before="200"/>
            </w:pPr>
            <w:r>
              <w:t xml:space="preserve"/>
            </w:r>
          </w:p>
          <w:p>
            <w:pPr>
              <w:spacing w:after="0" w:before="40"/>
            </w:pPr>
            <w:r>
              <w:rPr>
                <w:rFonts w:ascii="Arial" w:cs="Arial" w:eastAsia="Arial" w:hAnsi="Arial"/>
                <w:i/>
                <w:iCs/>
                <w:color w:val="8FA3C0"/>
                <w:sz w:val="16"/>
                <w:szCs w:val="16"/>
              </w:rPr>
              <w:t xml:space="preserve">Signature and date</w:t>
            </w:r>
          </w:p>
        </w:tc>
      </w:tr>
    </w:tbl>
    <w:p>
      <w:pPr>
        <w:spacing w:after="60" w:before="60"/>
      </w:pPr>
      <w:r>
        <w:t xml:space="preserve"/>
      </w:r>
    </w:p>
    <w:p>
      <w:pPr>
        <w:spacing w:after="60" w:before="60"/>
      </w:pPr>
      <w:r>
        <w:t xml:space="preserve"/>
      </w:r>
    </w:p>
    <w:p>
      <w:pPr>
        <w:shd w:fill="EAF6F9" w:val="clear"/>
        <w:spacing w:after="120" w:before="120"/>
        <w:jc w:val="center"/>
      </w:pPr>
      <w:r>
        <w:rPr>
          <w:rFonts w:ascii="Arial" w:cs="Arial" w:eastAsia="Arial" w:hAnsi="Arial"/>
          <w:i/>
          <w:iCs/>
          <w:color w:val="8FA3C0"/>
          <w:sz w:val="16"/>
          <w:szCs w:val="16"/>
        </w:rPr>
        <w:t xml:space="preserve">Agentic Zero  |  agentic-zero.com  |  Ref: AZ-DPA-v1.0-EN  |  Pursuant to GDPR Art. 28</w:t>
      </w:r>
    </w:p>
    <w:sectPr>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84A0" w:sz="4" w:space="4"/>
      </w:pBdr>
      <w:spacing w:before="80"/>
      <w:jc w:val="center"/>
    </w:pPr>
    <w:r>
      <w:rPr>
        <w:rFonts w:ascii="Arial" w:cs="Arial" w:eastAsia="Arial" w:hAnsi="Arial"/>
        <w:color w:val="8FA3C0"/>
        <w:sz w:val="16"/>
        <w:szCs w:val="16"/>
      </w:rPr>
      <w:t xml:space="preserve">Agentic Zero  |  Data Processing Agreement (DPA)  |  Confidential  |  GDPR Art. 28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E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A84A0"/>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A2E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2026-06-15T12:48:22.458Z</dcterms:created>
  <dcterms:modified xsi:type="dcterms:W3CDTF">2026-06-15T12:48:22.458Z</dcterms:modified>
</cp:coreProperties>
</file>

<file path=docProps/custom.xml><?xml version="1.0" encoding="utf-8"?>
<Properties xmlns="http://schemas.openxmlformats.org/officeDocument/2006/custom-properties" xmlns:vt="http://schemas.openxmlformats.org/officeDocument/2006/docPropsVTypes"/>
</file>