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before="0"/>
        <w:jc w:val="center"/>
      </w:pPr>
      <w:r>
        <w:rPr>
          <w:rFonts w:ascii="Arial" w:cs="Arial" w:eastAsia="Arial" w:hAnsi="Arial"/>
          <w:b/>
          <w:bCs/>
          <w:color w:val="0A84A0"/>
          <w:sz w:val="40"/>
          <w:szCs w:val="40"/>
        </w:rPr>
        <w:t xml:space="preserve">AGENTIC ZERO</w:t>
      </w:r>
    </w:p>
    <w:p>
      <w:pPr>
        <w:spacing w:after="4" w:before="0"/>
        <w:jc w:val="center"/>
      </w:pPr>
      <w:r>
        <w:rPr>
          <w:rFonts w:ascii="Arial" w:cs="Arial" w:eastAsia="Arial" w:hAnsi="Arial"/>
          <w:color w:val="8FA3C0"/>
          <w:sz w:val="18"/>
          <w:szCs w:val="18"/>
        </w:rPr>
        <w:t xml:space="preserve">powered by Dis-Solutions</w:t>
      </w:r>
    </w:p>
    <w:p>
      <w:pPr>
        <w:spacing w:after="60" w:before="60"/>
      </w:pPr>
      <w:r>
        <w:t xml:space="preserve"/>
      </w:r>
    </w:p>
    <w:p>
      <w:pPr>
        <w:spacing w:after="8" w:before="0"/>
        <w:jc w:val="center"/>
      </w:pPr>
      <w:r>
        <w:rPr>
          <w:rFonts w:ascii="Arial" w:cs="Arial" w:eastAsia="Arial" w:hAnsi="Arial"/>
          <w:b/>
          <w:bCs/>
          <w:color w:val="1A2E4A"/>
          <w:sz w:val="32"/>
          <w:szCs w:val="32"/>
        </w:rPr>
        <w:t xml:space="preserve">ACUERDO DE ENCARGO DE TRATAMIENTO</w:t>
      </w:r>
    </w:p>
    <w:p>
      <w:pPr>
        <w:spacing w:after="4" w:before="0"/>
        <w:jc w:val="center"/>
      </w:pPr>
      <w:r>
        <w:rPr>
          <w:rFonts w:ascii="Arial" w:cs="Arial" w:eastAsia="Arial" w:hAnsi="Arial"/>
          <w:color w:val="8FA3C0"/>
          <w:sz w:val="22"/>
          <w:szCs w:val="22"/>
        </w:rPr>
        <w:t xml:space="preserve">Data Processing Agreement (DPA)</w:t>
      </w:r>
    </w:p>
    <w:p>
      <w:pPr>
        <w:spacing w:after="40" w:before="0"/>
        <w:jc w:val="center"/>
      </w:pPr>
      <w:r>
        <w:rPr>
          <w:rFonts w:ascii="Arial" w:cs="Arial" w:eastAsia="Arial" w:hAnsi="Arial"/>
          <w:i/>
          <w:iCs/>
          <w:color w:val="8FA3C0"/>
          <w:sz w:val="18"/>
          <w:szCs w:val="18"/>
        </w:rPr>
        <w:t xml:space="preserve">Conforme al Reglamento (UE) 2016/679 (GDPR) - Articulo 28</w:t>
      </w:r>
    </w:p>
    <w:p>
      <w:pPr>
        <w:pBdr>
          <w:bottom w:val="single" w:color="0A84A0" w:sz="6" w:space="1"/>
        </w:pBdr>
        <w:spacing w:after="40" w:before="4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RESPONSABLE DEL TRATAMIENTO</w:t>
            </w:r>
          </w:p>
        </w:tc>
        <w:tc>
          <w:tcPr>
            <w:tcW w:type="dxa" w:w="6226"/>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val="false"/>
                <w:bCs w:val="false"/>
                <w:color w:val="8FA3C0"/>
                <w:sz w:val="20"/>
                <w:szCs w:val="20"/>
              </w:rPr>
              <w:t xml:space="preserve">(el Cliente — rellenar en el momento de la firma)</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Empresa</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NIF / CIF</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Domicilio</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Representante legal</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Email DPO / contacto</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ENCARGADO DEL TRATAMIENTO</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Agentic Zero powered by Dis-Solutions</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Representante</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Alberto Munoz Waissen — Founder &amp; CEO</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Email</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alberto@agentic-zero.com</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Web</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agentic-zero.com</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Contrato principal</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Contrato de Servicios Essential / Standard / Enterprise</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Fecha DPA</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bl>
    <w:p>
      <w:pPr>
        <w:spacing w:after="60" w:before="60"/>
      </w:pPr>
      <w:r>
        <w:t xml:space="preserve"/>
      </w:r>
    </w:p>
    <w:p>
      <w:pPr>
        <w:spacing w:after="60" w:before="60"/>
      </w:pPr>
      <w:r>
        <w:t xml:space="preserve"/>
      </w:r>
    </w:p>
    <w:p>
      <w:pPr>
        <w:pBdr>
          <w:bottom w:val="single" w:color="0A84A0" w:sz="6" w:space="1"/>
        </w:pBdr>
        <w:spacing w:after="40" w:before="4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1. OBJETO Y AMBITO</w:t>
      </w:r>
    </w:p>
    <w:p>
      <w:pPr>
        <w:spacing w:after="60" w:before="60"/>
      </w:pPr>
      <w:r>
        <w:rPr>
          <w:rFonts w:ascii="Arial" w:cs="Arial" w:eastAsia="Arial" w:hAnsi="Arial"/>
          <w:color w:val="1A2E4A"/>
          <w:sz w:val="20"/>
          <w:szCs w:val="20"/>
        </w:rPr>
        <w:t xml:space="preserve">El presente Acuerdo de Encargo de Tratamiento (en adelante, DPA) regula las condiciones bajo las cuales Agentic Zero powered by Dis-Solutions (en adelante, el Encargado) trata datos personales por cuenta del Cliente (en adelante, el Responsable), en el marco de la prestacion de los servicios de automatizacion de procesos operacionales mediante agentes de inteligencia artificial, tal y como se define en el Contrato de Servicios suscrito entre las partes.</w:t>
      </w:r>
    </w:p>
    <w:p>
      <w:pPr>
        <w:spacing w:after="60" w:before="60"/>
      </w:pPr>
      <w:r>
        <w:t xml:space="preserve"/>
      </w:r>
    </w:p>
    <w:p>
      <w:pPr>
        <w:spacing w:after="60" w:before="60"/>
      </w:pPr>
      <w:r>
        <w:rPr>
          <w:rFonts w:ascii="Arial" w:cs="Arial" w:eastAsia="Arial" w:hAnsi="Arial"/>
          <w:color w:val="1A2E4A"/>
          <w:sz w:val="20"/>
          <w:szCs w:val="20"/>
        </w:rPr>
        <w:t xml:space="preserve">Este DPA se suscribe en cumplimiento del articulo 28 del Reglamento (UE) 2016/679 del Parlamento Europeo y del Consejo, de 27 de abril de 2016 (GDPR), y complementa el Contrato de Servicios principal. En caso de conflicto, prevalece el GDPR.</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2. NATURALEZA Y FINALIDAD DEL TRATAMIENTO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6017"/>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Detalle</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Finalidad del tratamiento</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Automatizacion de procesos operacionales del Responsable mediante agentes de IA autonomos certificados (ej. Order-to-Cash, Procure-to-Pay, MRP, planificacion). El tratamiento es instrumental a la prestacion del servicio.</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Naturaleza del tratamiento</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Acceso, lectura, procesamiento automatizado y escritura de datos en los sistemas ERP del Responsable (SAP u otros) para ejecutar las operaciones del proceso automatizado. Sin almacenamiento en sistemas del Encargado salvo logs de auditoria.</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Tipo de datos personales</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Datos de clientes del Responsable: nombre, NIF/CIF, direccion, email, telefono, datos bancarios (para emision de facturas). Datos de empleados del Responsable que interactuan con el proceso. No se tratan categorias especiales de datos (Art. 9 GDPR).</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Categorias de interesados</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Clientes del Responsable · Empleados del Responsable que intervienen en el proceso</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Duracion del tratamiento</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Durante la vigencia del Contrato de Servicios. A su finalizacion, el Encargado suprimira o devolvera todos los datos personales conforme al articulo 8 de este DPA.</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Base juridica del Responsable</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Ejecucion de contrato (Art. 6.1.b GDPR) para datos de clientes. Interes legitimo (Art. 6.1.f) para datos de empleados en el contexto del proceso. El Responsable es quien determina y documenta la base juridica.</w:t>
            </w:r>
          </w:p>
        </w:tc>
      </w:tr>
    </w:tbl>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3. OBLIGACIONES DEL ENCARGADO</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3.1 Instrucciones del Responsable</w:t>
      </w:r>
    </w:p>
    <w:p>
      <w:pPr>
        <w:spacing w:after="60" w:before="60"/>
      </w:pPr>
      <w:r>
        <w:rPr>
          <w:rFonts w:ascii="Arial" w:cs="Arial" w:eastAsia="Arial" w:hAnsi="Arial"/>
          <w:color w:val="1A2E4A"/>
          <w:sz w:val="20"/>
          <w:szCs w:val="20"/>
        </w:rPr>
        <w:t xml:space="preserve">El Encargado tratara los datos personales unicamente siguiendo las instrucciones documentadas del Responsable, incluyendo las establecidas en el Contrato de Servicios y en el SIOP (System Integration &amp; Operations Profile) firmado por ambas partes. Si el Encargado considera que una instruccion infringe el GDPR, lo notificara inmediatamente al Responsable.</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3.2 Confidencialidad</w:t>
      </w:r>
    </w:p>
    <w:p>
      <w:pPr>
        <w:spacing w:after="60" w:before="60"/>
      </w:pPr>
      <w:r>
        <w:rPr>
          <w:rFonts w:ascii="Arial" w:cs="Arial" w:eastAsia="Arial" w:hAnsi="Arial"/>
          <w:color w:val="1A2E4A"/>
          <w:sz w:val="20"/>
          <w:szCs w:val="20"/>
        </w:rPr>
        <w:t xml:space="preserve">El Encargado garantiza que las personas autorizadas para tratar los datos personales se han comprometido a mantener la confidencialidad o estan sujetas a una obligacion legal de confidencialidad. Esta obligacion subsiste tras la finalizacion del contrato.</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3.3 Medidas de seguridad</w:t>
      </w:r>
    </w:p>
    <w:p>
      <w:pPr>
        <w:spacing w:after="60" w:before="60"/>
      </w:pPr>
      <w:r>
        <w:rPr>
          <w:rFonts w:ascii="Arial" w:cs="Arial" w:eastAsia="Arial" w:hAnsi="Arial"/>
          <w:color w:val="1A2E4A"/>
          <w:sz w:val="20"/>
          <w:szCs w:val="20"/>
        </w:rPr>
        <w:t xml:space="preserve">El Encargado aplicara, como minimo, las siguientes medidas tecnicas y organizativas conforme al articulo 32 GDPR: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Medida</w:t>
            </w:r>
          </w:p>
        </w:tc>
        <w:tc>
          <w:tcPr>
            <w:tcW w:type="dxa" w:w="55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Implementacion</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Cifrado en transito</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TLS 1.3 en todas las comunicaciones API con sistemas del Responsable</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Cifrado en reposo</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Logs de auditoria cifrados en AES-256. No se almacenan datos personales en sistemas del Encargado fuera de los logs.</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Control de acceso</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Principio de minimo privilegio. Credenciales SAP con permisos minimos definidos en el SIOP. MFA en todos los accesos administrativos.</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Pseudonimizacion</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Los logs de auditoria del agente referencian IDs de transaccion, no datos personales directos, siempre que sea tecnicamente posible.</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Disponibilidad y resiliencia</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El agente opera sobre la infraestructura ERP del Responsable. El Encargado no es responsable de la disponibilidad del ERP del Responsable.</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Pruebas de seguridad</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Revision de seguridad del codigo del agente antes de cada deploy. Guardian Certificate incluye verificacion de seguridad.</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Auditoria</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Logs de todas las acciones del agente disponibles para el Responsable en el Autonomy Dashboard durante la vigencia del contrato.</w:t>
            </w:r>
          </w:p>
        </w:tc>
      </w:tr>
    </w:tbl>
    <w:p>
      <w:pPr>
        <w:spacing w:after="60" w:before="60"/>
      </w:pPr>
      <w:r>
        <w:t xml:space="preserve"/>
      </w:r>
    </w:p>
    <w:p>
      <w:pPr>
        <w:pStyle w:val="Heading2"/>
        <w:spacing w:after="80" w:before="240"/>
      </w:pPr>
      <w:r>
        <w:rPr>
          <w:rFonts w:ascii="Arial" w:cs="Arial" w:eastAsia="Arial" w:hAnsi="Arial"/>
          <w:b/>
          <w:bCs/>
          <w:color w:val="1A2E4A"/>
          <w:sz w:val="22"/>
          <w:szCs w:val="22"/>
        </w:rPr>
        <w:t xml:space="preserve">3.4 Subencargados</w:t>
      </w:r>
    </w:p>
    <w:p>
      <w:pPr>
        <w:spacing w:after="60" w:before="60"/>
      </w:pPr>
      <w:r>
        <w:rPr>
          <w:rFonts w:ascii="Arial" w:cs="Arial" w:eastAsia="Arial" w:hAnsi="Arial"/>
          <w:color w:val="1A2E4A"/>
          <w:sz w:val="20"/>
          <w:szCs w:val="20"/>
        </w:rPr>
        <w:t xml:space="preserve">El Encargado podra recurrir a subencargados para la prestacion del servicio. En la fecha de firma de este DPA, los subencargados autorizados 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Subencargado</w:t>
            </w:r>
          </w:p>
        </w:tc>
        <w:tc>
          <w:tcPr>
            <w:tcW w:type="dxa" w:w="2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Servicio</w:t>
            </w:r>
          </w:p>
        </w:tc>
        <w:tc>
          <w:tcPr>
            <w:tcW w:type="dxa" w:w="20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Pais</w:t>
            </w:r>
          </w:p>
        </w:tc>
        <w:tc>
          <w:tcPr>
            <w:tcW w:type="dxa" w:w="20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Garantias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xAI (Grok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Motor de razonamiento del agente</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Clausulas contractuales tipo UE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Google (Gemini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Comparador multi-modelo (certificacion)</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 / UE</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Clausulas contractuales tipo UE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Anthropic (Claude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Comparador multi-modelo (certificacion)</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Clausulas contractuales tipo UE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GitHub Pages</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Hosting web y dashboard (no datos personales)</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 / UE</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Microsoft DPA</w:t>
            </w:r>
          </w:p>
        </w:tc>
      </w:tr>
    </w:tbl>
    <w:p>
      <w:pPr>
        <w:spacing w:after="60" w:before="60"/>
      </w:pPr>
      <w:r>
        <w:t xml:space="preserve"/>
      </w:r>
    </w:p>
    <w:p>
      <w:pPr>
        <w:spacing w:after="60" w:before="60"/>
      </w:pPr>
      <w:r>
        <w:rPr>
          <w:rFonts w:ascii="Arial" w:cs="Arial" w:eastAsia="Arial" w:hAnsi="Arial"/>
          <w:color w:val="8FA3C0"/>
          <w:sz w:val="18"/>
          <w:szCs w:val="18"/>
        </w:rPr>
        <w:t xml:space="preserve">El Encargado notificara al Responsable con al menos 14 dias de antelacion cualquier cambio en los subencargados que pueda afectar al tratamiento de datos personales. El Responsable podra oponerse a dicho cambio mediante notificacion escrita.</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3.5 Asistencia al Responsable</w:t>
      </w:r>
    </w:p>
    <w:p>
      <w:pPr>
        <w:spacing w:after="60" w:before="60"/>
      </w:pPr>
      <w:r>
        <w:rPr>
          <w:rFonts w:ascii="Arial" w:cs="Arial" w:eastAsia="Arial" w:hAnsi="Arial"/>
          <w:color w:val="1A2E4A"/>
          <w:sz w:val="20"/>
          <w:szCs w:val="20"/>
        </w:rPr>
        <w:t xml:space="preserve">El Encargado asistira al Responsable en el cumplimiento de sus obligaciones respecto a:</w:t>
      </w:r>
    </w:p>
    <w:p>
      <w:pPr>
        <w:pStyle w:val="ListParagraph"/>
        <w:numPr>
          <w:ilvl w:val="0"/>
          <w:numId w:val="2"/>
        </w:numPr>
        <w:spacing w:after="40" w:before="40"/>
      </w:pPr>
      <w:r>
        <w:rPr>
          <w:rFonts w:ascii="Arial" w:cs="Arial" w:eastAsia="Arial" w:hAnsi="Arial"/>
          <w:color w:val="1A2E4A"/>
          <w:sz w:val="20"/>
          <w:szCs w:val="20"/>
        </w:rPr>
        <w:t xml:space="preserve">Solicitudes de ejercicio de derechos de los interesados (acceso, rectificacion, supresion, portabilidad, oposicion)</w:t>
      </w:r>
    </w:p>
    <w:p>
      <w:pPr>
        <w:pStyle w:val="ListParagraph"/>
        <w:numPr>
          <w:ilvl w:val="0"/>
          <w:numId w:val="2"/>
        </w:numPr>
        <w:spacing w:after="40" w:before="40"/>
      </w:pPr>
      <w:r>
        <w:rPr>
          <w:rFonts w:ascii="Arial" w:cs="Arial" w:eastAsia="Arial" w:hAnsi="Arial"/>
          <w:color w:val="1A2E4A"/>
          <w:sz w:val="20"/>
          <w:szCs w:val="20"/>
        </w:rPr>
        <w:t xml:space="preserve">Notificacion de brechas de seguridad a la autoridad de control (plazo: 24 horas desde deteccion por el Encargado)</w:t>
      </w:r>
    </w:p>
    <w:p>
      <w:pPr>
        <w:pStyle w:val="ListParagraph"/>
        <w:numPr>
          <w:ilvl w:val="0"/>
          <w:numId w:val="2"/>
        </w:numPr>
        <w:spacing w:after="40" w:before="40"/>
      </w:pPr>
      <w:r>
        <w:rPr>
          <w:rFonts w:ascii="Arial" w:cs="Arial" w:eastAsia="Arial" w:hAnsi="Arial"/>
          <w:color w:val="1A2E4A"/>
          <w:sz w:val="20"/>
          <w:szCs w:val="20"/>
        </w:rPr>
        <w:t xml:space="preserve">Evaluaciones de impacto relativas a la proteccion de datos (EIPD/DPIA) cuando el Responsable las requiera</w:t>
      </w:r>
    </w:p>
    <w:p>
      <w:pPr>
        <w:pStyle w:val="ListParagraph"/>
        <w:numPr>
          <w:ilvl w:val="0"/>
          <w:numId w:val="2"/>
        </w:numPr>
        <w:spacing w:after="40" w:before="40"/>
      </w:pPr>
      <w:r>
        <w:rPr>
          <w:rFonts w:ascii="Arial" w:cs="Arial" w:eastAsia="Arial" w:hAnsi="Arial"/>
          <w:color w:val="1A2E4A"/>
          <w:sz w:val="20"/>
          <w:szCs w:val="20"/>
        </w:rPr>
        <w:t xml:space="preserve">Consultas previas a la autoridad de control</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3.6 Transferencias internacionales</w:t>
      </w:r>
    </w:p>
    <w:p>
      <w:pPr>
        <w:spacing w:after="60" w:before="60"/>
      </w:pPr>
      <w:r>
        <w:rPr>
          <w:rFonts w:ascii="Arial" w:cs="Arial" w:eastAsia="Arial" w:hAnsi="Arial"/>
          <w:color w:val="1A2E4A"/>
          <w:sz w:val="20"/>
          <w:szCs w:val="20"/>
        </w:rPr>
        <w:t xml:space="preserve">Los subencargados listados en el apartado 3.4 pueden implicar transferencias de datos fuera del Espacio Economico Europeo (EEE). Dichas transferencias se realizan amparadas en Clausulas Contractuales Tipo aprobadas por la Comision Europea (Decision 2021/914), garantizando un nivel de proteccion equivalente al GDPR.</w:t>
      </w:r>
    </w:p>
    <w:p>
      <w:pPr>
        <w:spacing w:after="60" w:before="60"/>
      </w:pPr>
      <w:r>
        <w:rPr>
          <w:rFonts w:ascii="Arial" w:cs="Arial" w:eastAsia="Arial" w:hAnsi="Arial"/>
          <w:i/>
          <w:iCs/>
          <w:color w:val="8FA3C0"/>
          <w:sz w:val="18"/>
          <w:szCs w:val="18"/>
        </w:rPr>
        <w:t xml:space="preserve">Nota importante: Los prompts enviados a las APIs de IA no contienen datos personales directos. El Encargado aplica pseudonimizacion y minimizacion de datos antes de cualquier llamada a API externa.</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4. OBLIGACIONES DEL RESPONSABLE</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Proporcionar instrucciones claras y licitas para el tratamiento de datos personales</w:t>
      </w:r>
    </w:p>
    <w:p>
      <w:pPr>
        <w:pStyle w:val="ListParagraph"/>
        <w:numPr>
          <w:ilvl w:val="0"/>
          <w:numId w:val="2"/>
        </w:numPr>
        <w:spacing w:after="40" w:before="40"/>
      </w:pPr>
      <w:r>
        <w:rPr>
          <w:rFonts w:ascii="Arial" w:cs="Arial" w:eastAsia="Arial" w:hAnsi="Arial"/>
          <w:color w:val="1A2E4A"/>
          <w:sz w:val="20"/>
          <w:szCs w:val="20"/>
        </w:rPr>
        <w:t xml:space="preserve">Garantizar que dispone de base juridica valida para el tratamiento de los datos que facilita al Encargado</w:t>
      </w:r>
    </w:p>
    <w:p>
      <w:pPr>
        <w:pStyle w:val="ListParagraph"/>
        <w:numPr>
          <w:ilvl w:val="0"/>
          <w:numId w:val="2"/>
        </w:numPr>
        <w:spacing w:after="40" w:before="40"/>
      </w:pPr>
      <w:r>
        <w:rPr>
          <w:rFonts w:ascii="Arial" w:cs="Arial" w:eastAsia="Arial" w:hAnsi="Arial"/>
          <w:color w:val="1A2E4A"/>
          <w:sz w:val="20"/>
          <w:szCs w:val="20"/>
        </w:rPr>
        <w:t xml:space="preserve">Informar a los interesados sobre el tratamiento de sus datos, incluyendo la existencia del agente autonomo, conforme al Art. 13/14 GDPR</w:t>
      </w:r>
    </w:p>
    <w:p>
      <w:pPr>
        <w:pStyle w:val="ListParagraph"/>
        <w:numPr>
          <w:ilvl w:val="0"/>
          <w:numId w:val="2"/>
        </w:numPr>
        <w:spacing w:after="40" w:before="40"/>
      </w:pPr>
      <w:r>
        <w:rPr>
          <w:rFonts w:ascii="Arial" w:cs="Arial" w:eastAsia="Arial" w:hAnsi="Arial"/>
          <w:color w:val="1A2E4A"/>
          <w:sz w:val="20"/>
          <w:szCs w:val="20"/>
        </w:rPr>
        <w:t xml:space="preserve">Notificar al Encargado cualquier solicitud de ejercicio de derechos recibida de interesados que afecte al tratamiento objeto de este DPA</w:t>
      </w:r>
    </w:p>
    <w:p>
      <w:pPr>
        <w:pStyle w:val="ListParagraph"/>
        <w:numPr>
          <w:ilvl w:val="0"/>
          <w:numId w:val="2"/>
        </w:numPr>
        <w:spacing w:after="40" w:before="40"/>
      </w:pPr>
      <w:r>
        <w:rPr>
          <w:rFonts w:ascii="Arial" w:cs="Arial" w:eastAsia="Arial" w:hAnsi="Arial"/>
          <w:color w:val="1A2E4A"/>
          <w:sz w:val="20"/>
          <w:szCs w:val="20"/>
        </w:rPr>
        <w:t xml:space="preserve">Mantener actualizado el Registro de Actividades de Tratamiento (RAT) con la actividad objeto de este DPA</w:t>
      </w:r>
    </w:p>
    <w:p>
      <w:pPr>
        <w:pStyle w:val="ListParagraph"/>
        <w:numPr>
          <w:ilvl w:val="0"/>
          <w:numId w:val="2"/>
        </w:numPr>
        <w:spacing w:after="40" w:before="40"/>
      </w:pPr>
      <w:r>
        <w:rPr>
          <w:rFonts w:ascii="Arial" w:cs="Arial" w:eastAsia="Arial" w:hAnsi="Arial"/>
          <w:color w:val="1A2E4A"/>
          <w:sz w:val="20"/>
          <w:szCs w:val="20"/>
        </w:rPr>
        <w:t xml:space="preserve">Designar un punto de contacto para las comunicaciones en materia de proteccion de datos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5. DERECHOS DE AUDITORIA E INSPECCION</w:t>
      </w:r>
    </w:p>
    <w:p>
      <w:pPr>
        <w:spacing w:after="60" w:before="60"/>
      </w:pPr>
      <w:r>
        <w:rPr>
          <w:rFonts w:ascii="Arial" w:cs="Arial" w:eastAsia="Arial" w:hAnsi="Arial"/>
          <w:color w:val="1A2E4A"/>
          <w:sz w:val="20"/>
          <w:szCs w:val="20"/>
        </w:rPr>
        <w:t xml:space="preserve">El Responsable tiene derecho a realizar o encargar auditorias del cumplimiento de este DPA por parte del Encargado. El Encargado:</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Pondra a disposicion del Responsable toda la informacion necesaria para demostrar el cumplimiento de las obligaciones establecidas en el Art. 28 GDPR</w:t>
      </w:r>
    </w:p>
    <w:p>
      <w:pPr>
        <w:pStyle w:val="ListParagraph"/>
        <w:numPr>
          <w:ilvl w:val="0"/>
          <w:numId w:val="2"/>
        </w:numPr>
        <w:spacing w:after="40" w:before="40"/>
      </w:pPr>
      <w:r>
        <w:rPr>
          <w:rFonts w:ascii="Arial" w:cs="Arial" w:eastAsia="Arial" w:hAnsi="Arial"/>
          <w:color w:val="1A2E4A"/>
          <w:sz w:val="20"/>
          <w:szCs w:val="20"/>
        </w:rPr>
        <w:t xml:space="preserve">Permitira y contribuira a las auditorias, incluidas las inspecciones, realizadas por el Responsable o un auditor autorizado por este</w:t>
      </w:r>
    </w:p>
    <w:p>
      <w:pPr>
        <w:pStyle w:val="ListParagraph"/>
        <w:numPr>
          <w:ilvl w:val="0"/>
          <w:numId w:val="2"/>
        </w:numPr>
        <w:spacing w:after="40" w:before="40"/>
      </w:pPr>
      <w:r>
        <w:rPr>
          <w:rFonts w:ascii="Arial" w:cs="Arial" w:eastAsia="Arial" w:hAnsi="Arial"/>
          <w:color w:val="1A2E4A"/>
          <w:sz w:val="20"/>
          <w:szCs w:val="20"/>
        </w:rPr>
        <w:t xml:space="preserve">Las auditorias se realizaran con un preaviso minimo de 30 dias, en horario laboral, y sin interrumpir la prestacion del servicio</w:t>
      </w:r>
    </w:p>
    <w:p>
      <w:pPr>
        <w:pStyle w:val="ListParagraph"/>
        <w:numPr>
          <w:ilvl w:val="0"/>
          <w:numId w:val="2"/>
        </w:numPr>
        <w:spacing w:after="40" w:before="40"/>
      </w:pPr>
      <w:r>
        <w:rPr>
          <w:rFonts w:ascii="Arial" w:cs="Arial" w:eastAsia="Arial" w:hAnsi="Arial"/>
          <w:color w:val="1A2E4A"/>
          <w:sz w:val="20"/>
          <w:szCs w:val="20"/>
        </w:rPr>
        <w:t xml:space="preserve">Los costes de la auditoria correran a cargo del Responsable salvo que la auditoria revele incumplimientos del Encargado</w:t>
      </w:r>
    </w:p>
    <w:p>
      <w:pPr>
        <w:spacing w:after="60" w:before="60"/>
      </w:pPr>
      <w:r>
        <w:t xml:space="preserve"/>
      </w:r>
    </w:p>
    <w:p>
      <w:pPr>
        <w:spacing w:after="60" w:before="60"/>
      </w:pPr>
      <w:r>
        <w:rPr>
          <w:rFonts w:ascii="Arial" w:cs="Arial" w:eastAsia="Arial" w:hAnsi="Arial"/>
          <w:color w:val="1A2E4A"/>
          <w:sz w:val="20"/>
          <w:szCs w:val="20"/>
        </w:rPr>
        <w:t xml:space="preserve">El Autonomy Dashboard incluye logs completos de todas las acciones del agente, disponibles en tiempo real para el Responsable, lo que facilita la supervision continua sin necesidad de auditorias formales.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6. NOTIFICACION DE BRECHAS DE SEGURIDAD</w:t>
      </w:r>
    </w:p>
    <w:p>
      <w:pPr>
        <w:spacing w:after="60" w:before="60"/>
      </w:pPr>
      <w:r>
        <w:rPr>
          <w:rFonts w:ascii="Arial" w:cs="Arial" w:eastAsia="Arial" w:hAnsi="Arial"/>
          <w:color w:val="1A2E4A"/>
          <w:sz w:val="20"/>
          <w:szCs w:val="20"/>
        </w:rPr>
        <w:t xml:space="preserve">En caso de que el Encargado tenga conocimiento de una brecha de seguridad que afecte a datos personales tratados en virtud de este DPA: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Plazo</w:t>
            </w:r>
          </w:p>
        </w:tc>
        <w:tc>
          <w:tcPr>
            <w:tcW w:type="dxa" w:w="75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Accion del Encargado</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&lt; 24 h</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Notificacion inicial al Responsable por email a la direccion de contacto designada. Incluira: descripcion provisional de la brecha, categorias y numero aproximado de interesados afectados, medidas adoptadas.</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&lt; 72 h</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Informe completo al Responsable con toda la informacion disponible para que este pueda cumplir su obligacion de notificacion a la autoridad de control (AEPD en Espana) si procede.</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Continuo</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Cooperacion activa con el Responsable durante la gestion del incidente. Implementacion de medidas correctoras. Documentacion del incidente y acciones tomadas.</w:t>
            </w:r>
          </w:p>
        </w:tc>
      </w:tr>
    </w:tbl>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7. DEVOLUCION Y SUPRESION DE DATOS</w:t>
      </w:r>
    </w:p>
    <w:p>
      <w:pPr>
        <w:spacing w:after="60" w:before="60"/>
      </w:pPr>
      <w:r>
        <w:rPr>
          <w:rFonts w:ascii="Arial" w:cs="Arial" w:eastAsia="Arial" w:hAnsi="Arial"/>
          <w:color w:val="1A2E4A"/>
          <w:sz w:val="20"/>
          <w:szCs w:val="20"/>
        </w:rPr>
        <w:t xml:space="preserve">A la finalizacion del Contrato de Servicios, cualquiera que sea la causa:</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El Encargado eliminara de forma segura todos los logs de auditoria que contengan datos personales en un plazo maximo de 30 dias naturales</w:t>
      </w:r>
    </w:p>
    <w:p>
      <w:pPr>
        <w:pStyle w:val="ListParagraph"/>
        <w:numPr>
          <w:ilvl w:val="0"/>
          <w:numId w:val="2"/>
        </w:numPr>
        <w:spacing w:after="40" w:before="40"/>
      </w:pPr>
      <w:r>
        <w:rPr>
          <w:rFonts w:ascii="Arial" w:cs="Arial" w:eastAsia="Arial" w:hAnsi="Arial"/>
          <w:color w:val="1A2E4A"/>
          <w:sz w:val="20"/>
          <w:szCs w:val="20"/>
        </w:rPr>
        <w:t xml:space="preserve">El Responsable podra solicitar, antes de la eliminacion, la exportacion de los logs en formato JSON o CSV para su propio archivo</w:t>
      </w:r>
    </w:p>
    <w:p>
      <w:pPr>
        <w:pStyle w:val="ListParagraph"/>
        <w:numPr>
          <w:ilvl w:val="0"/>
          <w:numId w:val="2"/>
        </w:numPr>
        <w:spacing w:after="40" w:before="40"/>
      </w:pPr>
      <w:r>
        <w:rPr>
          <w:rFonts w:ascii="Arial" w:cs="Arial" w:eastAsia="Arial" w:hAnsi="Arial"/>
          <w:color w:val="1A2E4A"/>
          <w:sz w:val="20"/>
          <w:szCs w:val="20"/>
        </w:rPr>
        <w:t xml:space="preserve">El Encargado emitira certificado escrito de supresion conforme a lo establecido en este articulo</w:t>
      </w:r>
    </w:p>
    <w:p>
      <w:pPr>
        <w:pStyle w:val="ListParagraph"/>
        <w:numPr>
          <w:ilvl w:val="0"/>
          <w:numId w:val="2"/>
        </w:numPr>
        <w:spacing w:after="40" w:before="40"/>
      </w:pPr>
      <w:r>
        <w:rPr>
          <w:rFonts w:ascii="Arial" w:cs="Arial" w:eastAsia="Arial" w:hAnsi="Arial"/>
          <w:color w:val="1A2E4A"/>
          <w:sz w:val="20"/>
          <w:szCs w:val="20"/>
        </w:rPr>
        <w:t xml:space="preserve">Las credenciales de acceso al ERP del Responsable seran revocadas el mismo dia de la finalizacion del contrato</w:t>
      </w:r>
    </w:p>
    <w:p>
      <w:pPr>
        <w:pStyle w:val="ListParagraph"/>
        <w:numPr>
          <w:ilvl w:val="0"/>
          <w:numId w:val="2"/>
        </w:numPr>
        <w:spacing w:after="40" w:before="40"/>
      </w:pPr>
      <w:r>
        <w:rPr>
          <w:rFonts w:ascii="Arial" w:cs="Arial" w:eastAsia="Arial" w:hAnsi="Arial"/>
          <w:color w:val="1A2E4A"/>
          <w:sz w:val="20"/>
          <w:szCs w:val="20"/>
        </w:rPr>
        <w:t xml:space="preserve">Los modelos de IA utilizados (xAI, Google, Anthropic) no retienen datos de los prompts enviados mas alla de su politica propia de retencion, que no supera los 30 dias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8. DISPOSICIONES FINALES</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8.1 Vigencia</w:t>
      </w:r>
    </w:p>
    <w:p>
      <w:pPr>
        <w:spacing w:after="60" w:before="60"/>
      </w:pPr>
      <w:r>
        <w:rPr>
          <w:rFonts w:ascii="Arial" w:cs="Arial" w:eastAsia="Arial" w:hAnsi="Arial"/>
          <w:color w:val="1A2E4A"/>
          <w:sz w:val="20"/>
          <w:szCs w:val="20"/>
        </w:rPr>
        <w:t xml:space="preserve">Este DPA tiene la misma vigencia que el Contrato de Servicios principal. Las obligaciones de confidencialidad y supresion de datos subsisten tras su finalizacion.</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8.2 Jerarquia normativa</w:t>
      </w:r>
    </w:p>
    <w:p>
      <w:pPr>
        <w:spacing w:after="60" w:before="60"/>
      </w:pPr>
      <w:r>
        <w:rPr>
          <w:rFonts w:ascii="Arial" w:cs="Arial" w:eastAsia="Arial" w:hAnsi="Arial"/>
          <w:color w:val="1A2E4A"/>
          <w:sz w:val="20"/>
          <w:szCs w:val="20"/>
        </w:rPr>
        <w:t xml:space="preserve">En caso de conflicto entre este DPA, el Contrato de Servicios y la normativa aplicable, prevalece el GDPR y la normativa de proteccion de datos sobre cualquier otro instrumento contractual.</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8.3 Modificaciones</w:t>
      </w:r>
    </w:p>
    <w:p>
      <w:pPr>
        <w:spacing w:after="60" w:before="60"/>
      </w:pPr>
      <w:r>
        <w:rPr>
          <w:rFonts w:ascii="Arial" w:cs="Arial" w:eastAsia="Arial" w:hAnsi="Arial"/>
          <w:color w:val="1A2E4A"/>
          <w:sz w:val="20"/>
          <w:szCs w:val="20"/>
        </w:rPr>
        <w:t xml:space="preserve">Cualquier modificacion de este DPA requerira acuerdo escrito firmado por ambas partes. El Encargado podra actualizar unilateralmente la lista de subencargados del apartado 3.4 con el preaviso establecido en dicho articulo.</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8.4 Jurisdiccion</w:t>
      </w:r>
    </w:p>
    <w:p>
      <w:pPr>
        <w:spacing w:after="60" w:before="60"/>
      </w:pPr>
      <w:r>
        <w:rPr>
          <w:rFonts w:ascii="Arial" w:cs="Arial" w:eastAsia="Arial" w:hAnsi="Arial"/>
          <w:color w:val="1A2E4A"/>
          <w:sz w:val="20"/>
          <w:szCs w:val="20"/>
        </w:rPr>
        <w:t xml:space="preserve">Este DPA se rige por la legislacion espanola y el GDPR. Para cualquier controversia, las partes se someten a los Juzgados y Tribunales de Valencia, sin perjuicio del derecho del interesado a presentar reclamacion ante la Agencia Espanola de Proteccion de Datos (AEPD).</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9. FIRMA</w:t>
      </w:r>
    </w:p>
    <w:p>
      <w:pPr>
        <w:pBdr>
          <w:bottom w:val="single" w:color="0A84A0" w:sz="6" w:space="1"/>
        </w:pBdr>
        <w:spacing w:after="40" w:before="40"/>
      </w:pPr>
      <w:r>
        <w:t xml:space="preserve"/>
      </w:r>
    </w:p>
    <w:p>
      <w:pPr>
        <w:spacing w:after="60" w:before="60"/>
      </w:pPr>
      <w:r>
        <w:t xml:space="preserve"/>
      </w:r>
    </w:p>
    <w:p>
      <w:pPr>
        <w:spacing w:after="60" w:before="60"/>
      </w:pPr>
      <w:r>
        <w:rPr>
          <w:rFonts w:ascii="Arial" w:cs="Arial" w:eastAsia="Arial" w:hAnsi="Arial"/>
          <w:color w:val="1A2E4A"/>
          <w:sz w:val="20"/>
          <w:szCs w:val="20"/>
        </w:rPr>
        <w:t xml:space="preserve">Las partes, reconociendose mutua capacidad legal, suscriben el presente Acuerdo de Encargo de Tratamiento.</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r>
              <w:rPr>
                <w:rFonts w:ascii="Arial" w:cs="Arial" w:eastAsia="Arial" w:hAnsi="Arial"/>
                <w:b/>
                <w:bCs/>
                <w:color w:val="0A84A0"/>
                <w:sz w:val="18"/>
                <w:szCs w:val="18"/>
              </w:rPr>
              <w:t xml:space="preserve">EL RESPONSABLE DEL TRATAMIENTO</w:t>
            </w:r>
          </w:p>
          <w:p>
            <w:pPr>
              <w:spacing w:after="0" w:before="80"/>
            </w:pPr>
            <w:r>
              <w:rPr>
                <w:rFonts w:ascii="Arial" w:cs="Arial" w:eastAsia="Arial" w:hAnsi="Arial"/>
                <w:sz w:val="20"/>
                <w:szCs w:val="20"/>
              </w:rPr>
              <w:t xml:space="preserve">Empresa: ___________________________</w:t>
            </w:r>
          </w:p>
          <w:p>
            <w:r>
              <w:rPr>
                <w:rFonts w:ascii="Arial" w:cs="Arial" w:eastAsia="Arial" w:hAnsi="Arial"/>
                <w:color w:val="8FA3C0"/>
                <w:sz w:val="18"/>
                <w:szCs w:val="18"/>
              </w:rPr>
              <w:t xml:space="preserve">Representante: _____________________</w:t>
            </w:r>
          </w:p>
          <w:p>
            <w:r>
              <w:rPr>
                <w:rFonts w:ascii="Arial" w:cs="Arial" w:eastAsia="Arial" w:hAnsi="Arial"/>
                <w:color w:val="8FA3C0"/>
                <w:sz w:val="18"/>
                <w:szCs w:val="18"/>
              </w:rPr>
              <w:t xml:space="preserve">Cargo: _____________________________</w:t>
            </w:r>
          </w:p>
          <w:p>
            <w:pPr>
              <w:spacing w:after="60" w:before="60"/>
            </w:pPr>
            <w:r>
              <w:t xml:space="preserve"/>
            </w:r>
          </w:p>
          <w:p>
            <w:pPr>
              <w:spacing w:after="60" w:before="60"/>
            </w:pPr>
            <w:r>
              <w:t xml:space="preserve"/>
            </w:r>
          </w:p>
          <w:p>
            <w:pPr>
              <w:pBdr>
                <w:bottom w:val="single" w:color="C5D5E0" w:sz="4" w:space="1"/>
              </w:pBdr>
              <w:spacing w:before="200"/>
            </w:pPr>
            <w:r>
              <w:t xml:space="preserve"/>
            </w:r>
          </w:p>
          <w:p>
            <w:pPr>
              <w:spacing w:after="0" w:before="40"/>
            </w:pPr>
            <w:r>
              <w:rPr>
                <w:rFonts w:ascii="Arial" w:cs="Arial" w:eastAsia="Arial" w:hAnsi="Arial"/>
                <w:i/>
                <w:iCs/>
                <w:color w:val="8FA3C0"/>
                <w:sz w:val="16"/>
                <w:szCs w:val="16"/>
              </w:rPr>
              <w:t xml:space="preserve">Firma y fecha</w:t>
            </w:r>
          </w:p>
        </w:tc>
        <w:tc>
          <w:tcPr>
            <w:tcW w:type="dxa" w:w="200"/>
            <w:tcBorders>
              <w:top w:val="none" w:color="FFFFFF" w:sz="0"/>
              <w:left w:val="none" w:color="FFFFFF" w:sz="0"/>
              <w:bottom w:val="none" w:color="FFFFFF" w:sz="0"/>
              <w:right w:val="none" w:color="FFFFFF" w:sz="0"/>
            </w:tcBorders>
          </w:tcPr>
          <w:p>
            <w:r>
              <w:t xml:space="preserve"/>
            </w:r>
          </w:p>
        </w:tc>
        <w:tc>
          <w:tcPr>
            <w:tcW w:type="dxa" w:w="4413"/>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r>
              <w:rPr>
                <w:rFonts w:ascii="Arial" w:cs="Arial" w:eastAsia="Arial" w:hAnsi="Arial"/>
                <w:b/>
                <w:bCs/>
                <w:color w:val="0A84A0"/>
                <w:sz w:val="18"/>
                <w:szCs w:val="18"/>
              </w:rPr>
              <w:t xml:space="preserve">EL ENCARGADO DEL TRATAMIENTO</w:t>
            </w:r>
          </w:p>
          <w:p>
            <w:pPr>
              <w:spacing w:after="0" w:before="80"/>
            </w:pPr>
            <w:r>
              <w:rPr>
                <w:rFonts w:ascii="Arial" w:cs="Arial" w:eastAsia="Arial" w:hAnsi="Arial"/>
                <w:b/>
                <w:bCs/>
                <w:sz w:val="20"/>
                <w:szCs w:val="20"/>
              </w:rPr>
              <w:t xml:space="preserve">Agentic Zero powered by Dis-Solutions</w:t>
            </w:r>
          </w:p>
          <w:p>
            <w:r>
              <w:rPr>
                <w:rFonts w:ascii="Arial" w:cs="Arial" w:eastAsia="Arial" w:hAnsi="Arial"/>
                <w:color w:val="8FA3C0"/>
                <w:sz w:val="18"/>
                <w:szCs w:val="18"/>
              </w:rPr>
              <w:t xml:space="preserve">Alberto Munoz Waissen — Founder &amp; CEO</w:t>
            </w:r>
          </w:p>
          <w:p>
            <w:pPr>
              <w:spacing w:after="60" w:before="60"/>
            </w:pPr>
            <w:r>
              <w:t xml:space="preserve"/>
            </w:r>
          </w:p>
          <w:p>
            <w:pPr>
              <w:spacing w:after="60" w:before="60"/>
            </w:pPr>
            <w:r>
              <w:t xml:space="preserve"/>
            </w:r>
          </w:p>
          <w:p>
            <w:pPr>
              <w:pBdr>
                <w:bottom w:val="single" w:color="C5D5E0" w:sz="4" w:space="1"/>
              </w:pBdr>
              <w:spacing w:before="200"/>
            </w:pPr>
            <w:r>
              <w:t xml:space="preserve"/>
            </w:r>
          </w:p>
          <w:p>
            <w:pPr>
              <w:spacing w:after="0" w:before="40"/>
            </w:pPr>
            <w:r>
              <w:rPr>
                <w:rFonts w:ascii="Arial" w:cs="Arial" w:eastAsia="Arial" w:hAnsi="Arial"/>
                <w:i/>
                <w:iCs/>
                <w:color w:val="8FA3C0"/>
                <w:sz w:val="16"/>
                <w:szCs w:val="16"/>
              </w:rPr>
              <w:t xml:space="preserve">Firma y fecha</w:t>
            </w:r>
          </w:p>
        </w:tc>
      </w:tr>
    </w:tbl>
    <w:p>
      <w:pPr>
        <w:spacing w:after="60" w:before="60"/>
      </w:pPr>
      <w:r>
        <w:t xml:space="preserve"/>
      </w:r>
    </w:p>
    <w:p>
      <w:pPr>
        <w:spacing w:after="60" w:before="60"/>
      </w:pPr>
      <w:r>
        <w:t xml:space="preserve"/>
      </w:r>
    </w:p>
    <w:p>
      <w:pPr>
        <w:shd w:fill="EAF6F9" w:val="clear"/>
        <w:spacing w:after="120" w:before="120"/>
        <w:jc w:val="center"/>
      </w:pPr>
      <w:r>
        <w:rPr>
          <w:rFonts w:ascii="Arial" w:cs="Arial" w:eastAsia="Arial" w:hAnsi="Arial"/>
          <w:i/>
          <w:iCs/>
          <w:color w:val="8FA3C0"/>
          <w:sz w:val="16"/>
          <w:szCs w:val="16"/>
        </w:rPr>
        <w:t xml:space="preserve">Agentic Zero  |  agentic-zero.com  |  Ref: AZ-DPA-v1.0  |  Conforme GDPR Art. 28</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4A0" w:sz="4" w:space="4"/>
      </w:pBdr>
      <w:spacing w:before="80"/>
      <w:jc w:val="center"/>
    </w:pPr>
    <w:r>
      <w:rPr>
        <w:rFonts w:ascii="Arial" w:cs="Arial" w:eastAsia="Arial" w:hAnsi="Arial"/>
        <w:color w:val="8FA3C0"/>
        <w:sz w:val="16"/>
        <w:szCs w:val="16"/>
      </w:rPr>
      <w:t xml:space="preserve">Agentic Zero  |  Data Processing Agreement (DPA)  |  Confidencial  |  GDPR Art. 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84A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2026-06-18T08:18:33.599Z</dcterms:created>
  <dcterms:modified xsi:type="dcterms:W3CDTF">2026-06-18T08:18:33.599Z</dcterms:modified>
</cp:coreProperties>
</file>

<file path=docProps/custom.xml><?xml version="1.0" encoding="utf-8"?>
<Properties xmlns="http://schemas.openxmlformats.org/officeDocument/2006/custom-properties" xmlns:vt="http://schemas.openxmlformats.org/officeDocument/2006/docPropsVTypes"/>
</file>