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240"/>
        <w:jc w:val="center"/>
      </w:pPr>
      <w:r>
        <w:rPr>
          <w:rFonts w:ascii="Arial" w:cs="Arial" w:eastAsia="Arial" w:hAnsi="Arial"/>
          <w:b/>
          <w:bCs/>
          <w:color w:val="1F3864"/>
          <w:sz w:val="56"/>
          <w:szCs w:val="56"/>
        </w:rPr>
        <w:t xml:space="preserve">SYNTHETIC DATA SOLUTIONS</w:t>
      </w:r>
    </w:p>
    <w:p>
      <w:pPr>
        <w:spacing w:before="0" w:after="120"/>
        <w:jc w:val="center"/>
      </w:pPr>
      <w:r>
        <w:rPr>
          <w:rFonts w:ascii="Arial" w:cs="Arial" w:eastAsia="Arial" w:hAnsi="Arial"/>
          <w:b/>
          <w:bCs/>
          <w:color w:val="1B6CA8"/>
          <w:sz w:val="40"/>
          <w:szCs w:val="40"/>
        </w:rPr>
        <w:t xml:space="preserve">FOR TRAINING AGENT CAPABILITIES OF</w:t>
      </w:r>
    </w:p>
    <w:p>
      <w:pPr>
        <w:spacing w:before="0" w:after="480"/>
        <w:jc w:val="center"/>
      </w:pPr>
      <w:r>
        <w:rPr>
          <w:rFonts w:ascii="Arial" w:cs="Arial" w:eastAsia="Arial" w:hAnsi="Arial"/>
          <w:b/>
          <w:bCs/>
          <w:color w:val="1B6CA8"/>
          <w:sz w:val="40"/>
          <w:szCs w:val="40"/>
        </w:rPr>
        <w:t xml:space="preserve">LARGE LANGUAGE &amp; MULTIMODAL MODELS</w:t>
      </w:r>
    </w:p>
    <w:p>
      <w:pPr>
        <w:pBdr>
          <w:top w:val="single" w:color="2E5FAC" w:sz="6"/>
          <w:bottom w:val="single" w:color="2E5FAC" w:sz="6"/>
        </w:pBdr>
        <w:spacing w:before="240" w:after="240"/>
        <w:jc w:val="center"/>
      </w:pPr>
      <w:r>
        <w:rPr>
          <w:rFonts w:ascii="Arial" w:cs="Arial" w:eastAsia="Arial" w:hAnsi="Arial"/>
          <w:i/>
          <w:iCs/>
          <w:color w:val="2E5FAC"/>
          <w:sz w:val="24"/>
          <w:szCs w:val="24"/>
        </w:rPr>
        <w:t xml:space="preserve">A Comprehensive Overview — Research Synthesis (2022–2025)</w:t>
      </w:r>
    </w:p>
    <w:p>
      <w:pPr>
        <w:spacing w:before="480" w:after="0"/>
      </w:pPr>
      <w:r>
        <w:t xml:space="preserve"/>
      </w:r>
    </w:p>
    <w:p>
      <w:pPr>
        <w:spacing w:before="0" w:after="80"/>
        <w:jc w:val="center"/>
      </w:pPr>
      <w:r>
        <w:rPr>
          <w:rFonts w:ascii="Arial" w:cs="Arial" w:eastAsia="Arial" w:hAnsi="Arial"/>
          <w:color w:val="444444"/>
          <w:sz w:val="22"/>
          <w:szCs w:val="22"/>
        </w:rPr>
        <w:t xml:space="preserve">Covering: Reasoning · Planning · Mathematics · Coding · Tool Calling</w:t>
      </w:r>
    </w:p>
    <w:p>
      <w:pPr>
        <w:spacing w:before="0" w:after="80"/>
        <w:jc w:val="center"/>
      </w:pPr>
      <w:r>
        <w:rPr>
          <w:rFonts w:ascii="Arial" w:cs="Arial" w:eastAsia="Arial" w:hAnsi="Arial"/>
          <w:color w:val="444444"/>
          <w:sz w:val="22"/>
          <w:szCs w:val="22"/>
        </w:rPr>
        <w:t xml:space="preserve">Long-Horizon Workflows · Multimodal Agents · Self-Play &amp; RL</w:t>
      </w:r>
    </w:p>
    <w:p>
      <w:pPr>
        <w:spacing w:before="960" w:after="0"/>
      </w:pPr>
      <w:r>
        <w:t xml:space="preserve"/>
      </w:r>
    </w:p>
    <w:p>
      <w:pPr>
        <w:jc w:val="center"/>
      </w:pPr>
      <w:r>
        <w:rPr>
          <w:rFonts w:ascii="Arial" w:cs="Arial" w:eastAsia="Arial" w:hAnsi="Arial"/>
          <w:color w:val="444444"/>
          <w:sz w:val="22"/>
          <w:szCs w:val="22"/>
        </w:rPr>
        <w:t xml:space="preserve">March 2026</w:t>
      </w:r>
    </w:p>
    <w:p>
      <w:r>
        <w:br w:type="page"/>
      </w:r>
    </w:p>
    <w:p>
      <w:pPr>
        <w:pStyle w:val="Heading1"/>
        <w:pBdr>
          <w:bottom w:val="single" w:color="2E5FAC" w:sz="4" w:space="6"/>
        </w:pBdr>
        <w:spacing w:before="480" w:after="180"/>
      </w:pPr>
      <w:r>
        <w:rPr>
          <w:rFonts w:ascii="Arial" w:cs="Arial" w:eastAsia="Arial" w:hAnsi="Arial"/>
          <w:b/>
          <w:bCs/>
          <w:color w:val="1F3864"/>
          <w:sz w:val="32"/>
          <w:szCs w:val="32"/>
        </w:rPr>
        <w:t xml:space="preserve">Executive Summary</w:t>
      </w:r>
    </w:p>
    <w:p>
      <w:pPr>
        <w:spacing w:before="80" w:after="140" w:line="280"/>
        <w:jc w:val="both"/>
      </w:pPr>
      <w:r>
        <w:rPr>
          <w:rFonts w:ascii="Arial" w:cs="Arial" w:eastAsia="Arial" w:hAnsi="Arial"/>
          <w:color w:val="444444"/>
          <w:sz w:val="21"/>
          <w:szCs w:val="21"/>
        </w:rPr>
        <w:t xml:space="preserve">The rise of autonomous AI agents — systems capable of reasoning, planning, writing code, calling tools, and orchestrating multi-step workflows — demands training data that goes far beyond simple question-answer pairs. Synthetic data has emerged as the foundational strategy for assembling this training signal at scale, enabling labs and researchers to move from hand-curated datasets limited in size and scope to programmatically generated corpora spanning millions of high-quality, verifiable examples.</w:t>
      </w:r>
    </w:p>
    <w:p>
      <w:pPr>
        <w:spacing w:before="80" w:after="140" w:line="280"/>
        <w:jc w:val="both"/>
      </w:pPr>
      <w:r>
        <w:rPr>
          <w:rFonts w:ascii="Arial" w:cs="Arial" w:eastAsia="Arial" w:hAnsi="Arial"/>
          <w:color w:val="444444"/>
          <w:sz w:val="21"/>
          <w:szCs w:val="21"/>
        </w:rPr>
        <w:t xml:space="preserve">This report synthesizes the state of the art across the full landscape of synthetic data for agent-capability training, drawing on over 150 papers published between 2022 and early 2026. It organizes the findings into eight major capability domains — general instruction following, chain-of-thought reasoning, mathematical reasoning, code generation, tool/function calling, long-horizon agentic workflows, multimodal grounding, and reinforcement learning with verifiable rewards — and provides a unified framework for understanding the data generation methodologies, quality requirements, pitfalls, and open challenges in each.</w:t>
      </w:r>
    </w:p>
    <w:p>
      <w:pPr>
        <w:pBdr>
          <w:left w:val="thick" w:color="2E5FAC" w:sz="12" w:space="10"/>
        </w:pBdr>
        <w:shd w:fill="D6E4F7" w:val="clear"/>
        <w:spacing w:before="120" w:after="120" w:line="280"/>
        <w:ind w:left="360" w:right="360"/>
      </w:pPr>
      <w:r>
        <w:rPr>
          <w:rFonts w:ascii="Arial" w:cs="Arial" w:eastAsia="Arial" w:hAnsi="Arial"/>
          <w:i/>
          <w:iCs/>
          <w:color w:val="1F3864"/>
          <w:sz w:val="21"/>
          <w:szCs w:val="21"/>
        </w:rPr>
        <w:t xml:space="preserve">Key finding: The frontier has shifted from 'how to collect data' to 'how to generate data that self-verifies, scales without model collapse, and covers the long tail of agent failure modes.' The techniques of self-play, Monte Carlo Tree Search over reasoning traces, execution-based verification, multi-agent simulation, and persona-driven diversity have each delivered step-change improvements in trained model capability.</w:t>
      </w:r>
    </w:p>
    <w:p>
      <w:pPr>
        <w:spacing w:before="120" w:after="0"/>
      </w:pPr>
      <w:r>
        <w:t xml:space="preserve"/>
      </w:r>
    </w:p>
    <w:p>
      <w:pPr>
        <w:pStyle w:val="Heading1"/>
        <w:pBdr>
          <w:bottom w:val="single" w:color="2E5FAC" w:sz="4" w:space="6"/>
        </w:pBdr>
        <w:spacing w:before="480" w:after="180"/>
      </w:pPr>
      <w:r>
        <w:rPr>
          <w:rFonts w:ascii="Arial" w:cs="Arial" w:eastAsia="Arial" w:hAnsi="Arial"/>
          <w:b/>
          <w:bCs/>
          <w:color w:val="1F3864"/>
          <w:sz w:val="32"/>
          <w:szCs w:val="32"/>
        </w:rPr>
        <w:t xml:space="preserve">1. Motivation: Why Synthetic Data for Agents?</w:t>
      </w:r>
    </w:p>
    <w:p>
      <w:pPr>
        <w:pStyle w:val="Heading2"/>
        <w:spacing w:before="320" w:after="120"/>
      </w:pPr>
      <w:r>
        <w:rPr>
          <w:rFonts w:ascii="Arial" w:cs="Arial" w:eastAsia="Arial" w:hAnsi="Arial"/>
          <w:b/>
          <w:bCs/>
          <w:color w:val="1B6CA8"/>
          <w:sz w:val="26"/>
          <w:szCs w:val="26"/>
        </w:rPr>
        <w:t xml:space="preserve">1.1 The Human-Data Bottleneck</w:t>
      </w:r>
    </w:p>
    <w:p>
      <w:pPr>
        <w:spacing w:before="80" w:after="140" w:line="280"/>
        <w:jc w:val="both"/>
      </w:pPr>
      <w:r>
        <w:rPr>
          <w:rFonts w:ascii="Arial" w:cs="Arial" w:eastAsia="Arial" w:hAnsi="Arial"/>
          <w:color w:val="444444"/>
          <w:sz w:val="21"/>
          <w:szCs w:val="21"/>
        </w:rPr>
        <w:t xml:space="preserve">Training LLMs to be capable agents requires vast quantities of demonstrations covering the full range of agent behaviors: multi-step planning trajectories, function-call sequences with correct parameter schemas, verified mathematical derivations with intermediate steps, repository-level code edits, and long-horizon interaction logs. Human annotation of such data is prohibitively expensive, slow to scale, inconsistent in quality, and limited in coverage of rare edge cases and complex tool-call chains.</w:t>
      </w:r>
    </w:p>
    <w:p>
      <w:pPr>
        <w:spacing w:before="80" w:after="140" w:line="280"/>
        <w:jc w:val="both"/>
      </w:pPr>
      <w:r>
        <w:rPr>
          <w:rFonts w:ascii="Arial" w:cs="Arial" w:eastAsia="Arial" w:hAnsi="Arial"/>
          <w:color w:val="444444"/>
          <w:sz w:val="21"/>
          <w:szCs w:val="21"/>
        </w:rPr>
        <w:t xml:space="preserve">Villalobos et al. (2024) estimated that the stock of high-quality human-generated text available for training will be exhausted at current consumption rates within a few years. This data wall makes synthetic generation not merely convenient but structurally necessary for continued capability scaling.</w:t>
      </w:r>
    </w:p>
    <w:p>
      <w:pPr>
        <w:pStyle w:val="Heading2"/>
        <w:spacing w:before="320" w:after="120"/>
      </w:pPr>
      <w:r>
        <w:rPr>
          <w:rFonts w:ascii="Arial" w:cs="Arial" w:eastAsia="Arial" w:hAnsi="Arial"/>
          <w:b/>
          <w:bCs/>
          <w:color w:val="1B6CA8"/>
          <w:sz w:val="26"/>
          <w:szCs w:val="26"/>
        </w:rPr>
        <w:t xml:space="preserve">1.2 What Synthetic Data Enables</w:t>
      </w:r>
    </w:p>
    <w:p>
      <w:pPr>
        <w:pStyle w:val="ListParagraph"/>
        <w:numPr>
          <w:ilvl w:val="0"/>
          <w:numId w:val="2"/>
        </w:numPr>
        <w:spacing w:before="40" w:after="60"/>
      </w:pPr>
      <w:r>
        <w:rPr>
          <w:rFonts w:ascii="Arial" w:cs="Arial" w:eastAsia="Arial" w:hAnsi="Arial"/>
          <w:color w:val="444444"/>
          <w:sz w:val="21"/>
          <w:szCs w:val="21"/>
        </w:rPr>
        <w:t xml:space="preserve">Massive scale: Millions to billions of training examples can be generated at marginal cost compared to human annotation.</w:t>
      </w:r>
    </w:p>
    <w:p>
      <w:pPr>
        <w:pStyle w:val="ListParagraph"/>
        <w:numPr>
          <w:ilvl w:val="0"/>
          <w:numId w:val="2"/>
        </w:numPr>
        <w:spacing w:before="40" w:after="60"/>
      </w:pPr>
      <w:r>
        <w:rPr>
          <w:rFonts w:ascii="Arial" w:cs="Arial" w:eastAsia="Arial" w:hAnsi="Arial"/>
          <w:color w:val="444444"/>
          <w:sz w:val="21"/>
          <w:szCs w:val="21"/>
        </w:rPr>
        <w:t xml:space="preserve">Targeted coverage: Specific capability gaps (rare API usage patterns, competition-level math, edge-case tool failures) can be filled on demand.</w:t>
      </w:r>
    </w:p>
    <w:p>
      <w:pPr>
        <w:pStyle w:val="ListParagraph"/>
        <w:numPr>
          <w:ilvl w:val="0"/>
          <w:numId w:val="2"/>
        </w:numPr>
        <w:spacing w:before="40" w:after="60"/>
      </w:pPr>
      <w:r>
        <w:rPr>
          <w:rFonts w:ascii="Arial" w:cs="Arial" w:eastAsia="Arial" w:hAnsi="Arial"/>
          <w:color w:val="444444"/>
          <w:sz w:val="21"/>
          <w:szCs w:val="21"/>
        </w:rPr>
        <w:t xml:space="preserve">Verifiability: For domains like code and math, correctness can be automatically checked by execution or symbolic solvers, enabling large-scale filtering.</w:t>
      </w:r>
    </w:p>
    <w:p>
      <w:pPr>
        <w:pStyle w:val="ListParagraph"/>
        <w:numPr>
          <w:ilvl w:val="0"/>
          <w:numId w:val="2"/>
        </w:numPr>
        <w:spacing w:before="40" w:after="60"/>
      </w:pPr>
      <w:r>
        <w:rPr>
          <w:rFonts w:ascii="Arial" w:cs="Arial" w:eastAsia="Arial" w:hAnsi="Arial"/>
          <w:color w:val="444444"/>
          <w:sz w:val="21"/>
          <w:szCs w:val="21"/>
        </w:rPr>
        <w:t xml:space="preserve">Diversity control: Persona-based generation, evolutionary instruction mutation, and scenario simulation allow direct control over the distribution of task types and difficulty levels.</w:t>
      </w:r>
    </w:p>
    <w:p>
      <w:pPr>
        <w:pStyle w:val="ListParagraph"/>
        <w:numPr>
          <w:ilvl w:val="0"/>
          <w:numId w:val="2"/>
        </w:numPr>
        <w:spacing w:before="40" w:after="60"/>
      </w:pPr>
      <w:r>
        <w:rPr>
          <w:rFonts w:ascii="Arial" w:cs="Arial" w:eastAsia="Arial" w:hAnsi="Arial"/>
          <w:color w:val="444444"/>
          <w:sz w:val="21"/>
          <w:szCs w:val="21"/>
        </w:rPr>
        <w:t xml:space="preserve">Preference signals: Synthetic preference data (chosen vs. rejected responses) can be generated at scale to train reward models and perform DPO/RLHF.</w:t>
      </w:r>
    </w:p>
    <w:p>
      <w:pPr>
        <w:pStyle w:val="ListParagraph"/>
        <w:numPr>
          <w:ilvl w:val="0"/>
          <w:numId w:val="2"/>
        </w:numPr>
        <w:spacing w:before="40" w:after="60"/>
      </w:pPr>
      <w:r>
        <w:rPr>
          <w:rFonts w:ascii="Arial" w:cs="Arial" w:eastAsia="Arial" w:hAnsi="Arial"/>
          <w:color w:val="444444"/>
          <w:sz w:val="21"/>
          <w:szCs w:val="21"/>
        </w:rPr>
        <w:t xml:space="preserve">Cold-start data for RL: Synthetic demonstrations provide the bootstrapping signal needed before pure RL methods can take over.</w:t>
      </w:r>
    </w:p>
    <w:p>
      <w:pPr>
        <w:pStyle w:val="Heading2"/>
        <w:spacing w:before="320" w:after="120"/>
      </w:pPr>
      <w:r>
        <w:rPr>
          <w:rFonts w:ascii="Arial" w:cs="Arial" w:eastAsia="Arial" w:hAnsi="Arial"/>
          <w:b/>
          <w:bCs/>
          <w:color w:val="1B6CA8"/>
          <w:sz w:val="26"/>
          <w:szCs w:val="26"/>
        </w:rPr>
        <w:t xml:space="preserve">1.3 The Training Pipeline Context</w:t>
      </w:r>
    </w:p>
    <w:p>
      <w:pPr>
        <w:spacing w:before="80" w:after="140" w:line="280"/>
        <w:jc w:val="both"/>
      </w:pPr>
      <w:r>
        <w:rPr>
          <w:rFonts w:ascii="Arial" w:cs="Arial" w:eastAsia="Arial" w:hAnsi="Arial"/>
          <w:color w:val="444444"/>
          <w:sz w:val="21"/>
          <w:szCs w:val="21"/>
        </w:rPr>
        <w:t xml:space="preserve">Synthetic data is deployed across all major training stages of modern LLMs and VLMs:</w:t>
      </w:r>
    </w:p>
    <w:p>
      <w:pPr>
        <w:spacing w:before="60" w:after="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500"/>
        <w:gridCol w:w="3360"/>
        <w:gridCol w:w="3000"/>
      </w:tblGrid>
      <w:tr>
        <w:trPr>
          <w:tblHeader/>
        </w:trPr>
        <w:tc>
          <w:tcPr>
            <w:tcW w:type="dxa" w:w="2500"/>
            <w:tcBorders>
              <w:top w:val="single" w:color="BBCCDD" w:sz="1"/>
              <w:left w:val="single" w:color="BBCCDD" w:sz="1"/>
              <w:bottom w:val="single" w:color="BBCCDD" w:sz="1"/>
              <w:right w:val="single" w:color="BBCCD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Training Stage</w:t>
            </w:r>
          </w:p>
        </w:tc>
        <w:tc>
          <w:tcPr>
            <w:tcW w:type="dxa" w:w="3360"/>
            <w:tcBorders>
              <w:top w:val="single" w:color="BBCCDD" w:sz="1"/>
              <w:left w:val="single" w:color="BBCCDD" w:sz="1"/>
              <w:bottom w:val="single" w:color="BBCCDD" w:sz="1"/>
              <w:right w:val="single" w:color="BBCCD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 of Synthetic Data</w:t>
            </w:r>
          </w:p>
        </w:tc>
        <w:tc>
          <w:tcPr>
            <w:tcW w:type="dxa" w:w="3000"/>
            <w:tcBorders>
              <w:top w:val="single" w:color="BBCCDD" w:sz="1"/>
              <w:left w:val="single" w:color="BBCCDD" w:sz="1"/>
              <w:bottom w:val="single" w:color="BBCCDD" w:sz="1"/>
              <w:right w:val="single" w:color="BBCCD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Representative Works</w:t>
            </w:r>
          </w:p>
        </w:tc>
      </w:tr>
      <w:tr>
        <w:tc>
          <w:tcPr>
            <w:tcW w:type="dxa" w:w="25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Pre-training</w:t>
            </w:r>
          </w:p>
        </w:tc>
        <w:tc>
          <w:tcPr>
            <w:tcW w:type="dxa" w:w="336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Textbook-style and QA-rephrased web content; formal language corpora</w:t>
            </w:r>
          </w:p>
        </w:tc>
        <w:tc>
          <w:tcPr>
            <w:tcW w:type="dxa" w:w="3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Phi-1/1.5/4 (Microsoft), DeepSeekMath Corpus</w:t>
            </w:r>
          </w:p>
        </w:tc>
      </w:tr>
      <w:tr>
        <w:tc>
          <w:tcPr>
            <w:tcW w:type="dxa" w:w="25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Mid-training / Continued Pre-training</w:t>
            </w:r>
          </w:p>
        </w:tc>
        <w:tc>
          <w:tcPr>
            <w:tcW w:type="dxa" w:w="336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Domain-specialized data: math, code, science; reasoning chains</w:t>
            </w:r>
          </w:p>
        </w:tc>
        <w:tc>
          <w:tcPr>
            <w:tcW w:type="dxa" w:w="30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Llama 3.1 mid-training, DeepSeek-R1 cold-start SFT</w:t>
            </w:r>
          </w:p>
        </w:tc>
      </w:tr>
      <w:tr>
        <w:tc>
          <w:tcPr>
            <w:tcW w:type="dxa" w:w="25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Supervised Fine-Tuning (SFT)</w:t>
            </w:r>
          </w:p>
        </w:tc>
        <w:tc>
          <w:tcPr>
            <w:tcW w:type="dxa" w:w="336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Instruction-response pairs; tool-call trajectories; CoT demonstrations</w:t>
            </w:r>
          </w:p>
        </w:tc>
        <w:tc>
          <w:tcPr>
            <w:tcW w:type="dxa" w:w="3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Self-Instruct, WizardLM, Magicoder, APIGen, MATRIX-Gen</w:t>
            </w:r>
          </w:p>
        </w:tc>
      </w:tr>
      <w:tr>
        <w:tc>
          <w:tcPr>
            <w:tcW w:type="dxa" w:w="25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Preference Tuning (RLHF/DPO)</w:t>
            </w:r>
          </w:p>
        </w:tc>
        <w:tc>
          <w:tcPr>
            <w:tcW w:type="dxa" w:w="336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Chosen/rejected pairs; reward modeling data</w:t>
            </w:r>
          </w:p>
        </w:tc>
        <w:tc>
          <w:tcPr>
            <w:tcW w:type="dxa" w:w="30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UltraFeedback, West-of-N, Self-Rewarding LMs</w:t>
            </w:r>
          </w:p>
        </w:tc>
      </w:tr>
      <w:tr>
        <w:tc>
          <w:tcPr>
            <w:tcW w:type="dxa" w:w="25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RL with Verifiable Rewards (RLVR)</w:t>
            </w:r>
          </w:p>
        </w:tc>
        <w:tc>
          <w:tcPr>
            <w:tcW w:type="dxa" w:w="336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Verifiable problem sets for math/code; reward signals from execution</w:t>
            </w:r>
          </w:p>
        </w:tc>
        <w:tc>
          <w:tcPr>
            <w:tcW w:type="dxa" w:w="3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DeepSeek-R1, GRPO, SYNTHETIC-1, OpenR1</w:t>
            </w:r>
          </w:p>
        </w:tc>
      </w:tr>
      <w:tr>
        <w:tc>
          <w:tcPr>
            <w:tcW w:type="dxa" w:w="25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Agentic RL</w:t>
            </w:r>
          </w:p>
        </w:tc>
        <w:tc>
          <w:tcPr>
            <w:tcW w:type="dxa" w:w="336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Long-horizon task environments; tool-use rollouts with sparse rewards</w:t>
            </w:r>
          </w:p>
        </w:tc>
        <w:tc>
          <w:tcPr>
            <w:tcW w:type="dxa" w:w="30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ToolACE, APIGen-MT, TOUCAN, LEARN-BY-INTERACT</w:t>
            </w:r>
          </w:p>
        </w:tc>
      </w:tr>
    </w:tbl>
    <w:p>
      <w:pPr>
        <w:spacing w:before="160" w:after="0"/>
      </w:pPr>
      <w:r>
        <w:t xml:space="preserve"/>
      </w:r>
    </w:p>
    <w:p>
      <w:r>
        <w:br w:type="page"/>
      </w:r>
    </w:p>
    <w:p>
      <w:pPr>
        <w:pStyle w:val="Heading1"/>
        <w:pBdr>
          <w:bottom w:val="single" w:color="2E5FAC" w:sz="4" w:space="6"/>
        </w:pBdr>
        <w:spacing w:before="480" w:after="180"/>
      </w:pPr>
      <w:r>
        <w:rPr>
          <w:rFonts w:ascii="Arial" w:cs="Arial" w:eastAsia="Arial" w:hAnsi="Arial"/>
          <w:b/>
          <w:bCs/>
          <w:color w:val="1F3864"/>
          <w:sz w:val="32"/>
          <w:szCs w:val="32"/>
        </w:rPr>
        <w:t xml:space="preserve">2. Core Synthetic Data Generation Methodologies</w:t>
      </w:r>
    </w:p>
    <w:p>
      <w:pPr>
        <w:spacing w:before="80" w:after="140" w:line="280"/>
        <w:jc w:val="both"/>
      </w:pPr>
      <w:r>
        <w:rPr>
          <w:rFonts w:ascii="Arial" w:cs="Arial" w:eastAsia="Arial" w:hAnsi="Arial"/>
          <w:color w:val="444444"/>
          <w:sz w:val="21"/>
          <w:szCs w:val="21"/>
        </w:rPr>
        <w:t xml:space="preserve">Across all capability domains, a consistent toolkit of generation strategies has emerged. Understanding these meta-level methodologies is essential before examining their application in individual domains.</w:t>
      </w:r>
    </w:p>
    <w:p>
      <w:pPr>
        <w:pStyle w:val="Heading2"/>
        <w:spacing w:before="320" w:after="120"/>
      </w:pPr>
      <w:r>
        <w:rPr>
          <w:rFonts w:ascii="Arial" w:cs="Arial" w:eastAsia="Arial" w:hAnsi="Arial"/>
          <w:b/>
          <w:bCs/>
          <w:color w:val="1B6CA8"/>
          <w:sz w:val="26"/>
          <w:szCs w:val="26"/>
        </w:rPr>
        <w:t xml:space="preserve">2.1 Self-Instruct and Seed Expansion</w:t>
      </w:r>
    </w:p>
    <w:p>
      <w:pPr>
        <w:spacing w:before="80" w:after="140" w:line="280"/>
        <w:jc w:val="both"/>
      </w:pPr>
      <w:r>
        <w:rPr>
          <w:rFonts w:ascii="Arial" w:cs="Arial" w:eastAsia="Arial" w:hAnsi="Arial"/>
          <w:color w:val="444444"/>
          <w:sz w:val="21"/>
          <w:szCs w:val="21"/>
        </w:rPr>
        <w:t xml:space="preserve">Introduced by Wang et al. (2022), Self-Instruct uses a base LLM to generate new instruction-response pairs from a small set of human-written seed examples. The model is prompted to produce instructions, then produce responses, then filter for quality and novelty. This bootstrapping approach underlies Alpaca, Code Alpaca, and many subsequent systems.</w:t>
      </w:r>
    </w:p>
    <w:p>
      <w:pPr>
        <w:spacing w:before="80" w:after="140" w:line="280"/>
        <w:jc w:val="both"/>
      </w:pPr>
      <w:r>
        <w:rPr>
          <w:rFonts w:ascii="Arial" w:cs="Arial" w:eastAsia="Arial" w:hAnsi="Arial"/>
          <w:color w:val="444444"/>
          <w:sz w:val="21"/>
          <w:szCs w:val="21"/>
        </w:rPr>
        <w:t xml:space="preserve">Evol-Instruct (WizardLM, WizardCoder) extends this by iteratively mutating instructions to increase complexity, adding constraints, changing formats, combining topics, and increasing the number of reasoning steps required. Each mutation round produces a harder variant that forces the trained model to generalize more deeply.</w:t>
      </w:r>
    </w:p>
    <w:p>
      <w:pPr>
        <w:pBdr>
          <w:left w:val="thick" w:color="2E5FAC" w:sz="12" w:space="10"/>
        </w:pBdr>
        <w:shd w:fill="D6E4F7" w:val="clear"/>
        <w:spacing w:before="120" w:after="120" w:line="280"/>
        <w:ind w:left="360" w:right="360"/>
      </w:pPr>
      <w:r>
        <w:rPr>
          <w:rFonts w:ascii="Arial" w:cs="Arial" w:eastAsia="Arial" w:hAnsi="Arial"/>
          <w:i/>
          <w:iCs/>
          <w:color w:val="1F3864"/>
          <w:sz w:val="21"/>
          <w:szCs w:val="21"/>
        </w:rPr>
        <w:t xml:space="preserve">Evol-Instruct mutation operators include: 'add more constraints,' 'increase difficulty by requiring code,' 'combine two separate topics,' 'add a step-by-step requirement,' and 'deepen the breadth.' These operators can be applied recursively across multiple generations.</w:t>
      </w:r>
    </w:p>
    <w:p>
      <w:pPr>
        <w:pStyle w:val="Heading2"/>
        <w:spacing w:before="320" w:after="120"/>
      </w:pPr>
      <w:r>
        <w:rPr>
          <w:rFonts w:ascii="Arial" w:cs="Arial" w:eastAsia="Arial" w:hAnsi="Arial"/>
          <w:b/>
          <w:bCs/>
          <w:color w:val="1B6CA8"/>
          <w:sz w:val="26"/>
          <w:szCs w:val="26"/>
        </w:rPr>
        <w:t xml:space="preserve">2.2 Knowledge Distillation from Stronger Models</w:t>
      </w:r>
    </w:p>
    <w:p>
      <w:pPr>
        <w:spacing w:before="80" w:after="140" w:line="280"/>
        <w:jc w:val="both"/>
      </w:pPr>
      <w:r>
        <w:rPr>
          <w:rFonts w:ascii="Arial" w:cs="Arial" w:eastAsia="Arial" w:hAnsi="Arial"/>
          <w:color w:val="444444"/>
          <w:sz w:val="21"/>
          <w:szCs w:val="21"/>
        </w:rPr>
        <w:t xml:space="preserve">A powerful and practical strategy is distillation: using a larger or more capable teacher model (GPT-4, Claude-3.5-Sonnet, DeepSeek-R1) to generate high-quality responses for a dataset of prompts, then fine-tuning a smaller student model on those responses. This transfers the reasoning patterns and behavioral style of the teacher without the student needing to reproduce the teacher's full RL training pipeline.</w:t>
      </w:r>
    </w:p>
    <w:p>
      <w:pPr>
        <w:spacing w:before="80" w:after="140" w:line="280"/>
        <w:jc w:val="both"/>
      </w:pPr>
      <w:r>
        <w:rPr>
          <w:rFonts w:ascii="Arial" w:cs="Arial" w:eastAsia="Arial" w:hAnsi="Arial"/>
          <w:color w:val="444444"/>
          <w:sz w:val="21"/>
          <w:szCs w:val="21"/>
        </w:rPr>
        <w:t xml:space="preserve">DeepSeek-R1-Distill demonstrated that small 7B-14B models trained purely via SFT on R1-generated reasoning traces can reach performance comparable to much larger models trained without distillation. The SYNTHETIC-1 dataset (1.4M+ samples across math, code, science, and software engineering) extends this principle to a massive open-source corpus.</w:t>
      </w:r>
    </w:p>
    <w:p>
      <w:pPr>
        <w:pStyle w:val="Heading2"/>
        <w:spacing w:before="320" w:after="120"/>
      </w:pPr>
      <w:r>
        <w:rPr>
          <w:rFonts w:ascii="Arial" w:cs="Arial" w:eastAsia="Arial" w:hAnsi="Arial"/>
          <w:b/>
          <w:bCs/>
          <w:color w:val="1B6CA8"/>
          <w:sz w:val="26"/>
          <w:szCs w:val="26"/>
        </w:rPr>
        <w:t xml:space="preserve">2.3 Self-Play and Proposer-Solver-Verifier Frameworks</w:t>
      </w:r>
    </w:p>
    <w:p>
      <w:pPr>
        <w:spacing w:before="80" w:after="140" w:line="280"/>
        <w:jc w:val="both"/>
      </w:pPr>
      <w:r>
        <w:rPr>
          <w:rFonts w:ascii="Arial" w:cs="Arial" w:eastAsia="Arial" w:hAnsi="Arial"/>
          <w:color w:val="444444"/>
          <w:sz w:val="21"/>
          <w:szCs w:val="21"/>
        </w:rPr>
        <w:t xml:space="preserve">Self-play frameworks structure data generation as a game between model roles. A Proposer generates problems or tasks; a Solver attempts to solve them; a Verifier assesses correctness. In domains with automatic verification (math, code), this loop can run without human intervention, producing an unlimited stream of problem-solution pairs calibrated to the current capability level of the solver.</w:t>
      </w:r>
    </w:p>
    <w:p>
      <w:pPr>
        <w:spacing w:before="80" w:after="140" w:line="280"/>
        <w:jc w:val="both"/>
      </w:pPr>
      <w:r>
        <w:rPr>
          <w:rFonts w:ascii="Arial" w:cs="Arial" w:eastAsia="Arial" w:hAnsi="Arial"/>
          <w:color w:val="444444"/>
          <w:sz w:val="21"/>
          <w:szCs w:val="21"/>
        </w:rPr>
        <w:t xml:space="preserve">STaR (Zelikman et al., 2022) pioneered iterative rationalization: generate rationales, filter to those that produce correct answers, fine-tune, and repeat. Later works such as ReST, SPIN, and Self-Play Fine-Tuning (SPFT) formalize this into a rigorous training loop. The requirement for the verifier to track the solver's improving capabilities — what recent analysis calls 'strong-to-weak synchronization' — is critical to prevent the loop from stagnating.</w:t>
      </w:r>
    </w:p>
    <w:p>
      <w:pPr>
        <w:pStyle w:val="Heading2"/>
        <w:spacing w:before="320" w:after="120"/>
      </w:pPr>
      <w:r>
        <w:rPr>
          <w:rFonts w:ascii="Arial" w:cs="Arial" w:eastAsia="Arial" w:hAnsi="Arial"/>
          <w:b/>
          <w:bCs/>
          <w:color w:val="1B6CA8"/>
          <w:sz w:val="26"/>
          <w:szCs w:val="26"/>
        </w:rPr>
        <w:t xml:space="preserve">2.4 Persona-Driven and Scenario-Simulated Generation</w:t>
      </w:r>
    </w:p>
    <w:p>
      <w:pPr>
        <w:spacing w:before="80" w:after="140" w:line="280"/>
        <w:jc w:val="both"/>
      </w:pPr>
      <w:r>
        <w:rPr>
          <w:rFonts w:ascii="Arial" w:cs="Arial" w:eastAsia="Arial" w:hAnsi="Arial"/>
          <w:color w:val="444444"/>
          <w:sz w:val="21"/>
          <w:szCs w:val="21"/>
        </w:rPr>
        <w:t xml:space="preserve">PersonaHub (Ge et al., 2024) scales diversity by using one billion distinct AI-generated personas as conditioning contexts for instruction generation. Rather than generating instructions from generic prompts, the model is asked what a specific type of user (e.g., 'a software engineer specializing in distributed systems,' 'a high school math teacher designing word problems') would want from an AI assistant. This produces instruction distributions that are far broader and more realistic than unconditioned generation.</w:t>
      </w:r>
    </w:p>
    <w:p>
      <w:pPr>
        <w:spacing w:before="80" w:after="140" w:line="280"/>
        <w:jc w:val="both"/>
      </w:pPr>
      <w:r>
        <w:rPr>
          <w:rFonts w:ascii="Arial" w:cs="Arial" w:eastAsia="Arial" w:hAnsi="Arial"/>
          <w:color w:val="444444"/>
          <w:sz w:val="21"/>
          <w:szCs w:val="21"/>
        </w:rPr>
        <w:t xml:space="preserve">MATRIX (2025) takes this further by simulating multi-agent social scenarios. Multiple AI agents with different roles interact in a simulated environment; their interactions generate task specifications that are grounded in realistic social context. A Llama-3-8B model trained on just 20K MATRIX-generated pairs outperforms Meta's Llama-3-8B-Instruct trained on 10M+ pairs.</w:t>
      </w:r>
    </w:p>
    <w:p>
      <w:pPr>
        <w:pStyle w:val="Heading2"/>
        <w:spacing w:before="320" w:after="120"/>
      </w:pPr>
      <w:r>
        <w:rPr>
          <w:rFonts w:ascii="Arial" w:cs="Arial" w:eastAsia="Arial" w:hAnsi="Arial"/>
          <w:b/>
          <w:bCs/>
          <w:color w:val="1B6CA8"/>
          <w:sz w:val="26"/>
          <w:szCs w:val="26"/>
        </w:rPr>
        <w:t xml:space="preserve">2.5 Execution-Based Verification and Filtering</w:t>
      </w:r>
    </w:p>
    <w:p>
      <w:pPr>
        <w:spacing w:before="80" w:after="140" w:line="280"/>
        <w:jc w:val="both"/>
      </w:pPr>
      <w:r>
        <w:rPr>
          <w:rFonts w:ascii="Arial" w:cs="Arial" w:eastAsia="Arial" w:hAnsi="Arial"/>
          <w:color w:val="444444"/>
          <w:sz w:val="21"/>
          <w:szCs w:val="21"/>
        </w:rPr>
        <w:t xml:space="preserve">For code and mathematical synthesis, the ability to execute generated solutions and check them against test cases or symbolic verifiers provides a ground-truth quality signal unavailable in most other domains. This 'correct-by-construction' paradigm underlies the quality of code benchmarks (HumanEval, MBPP, LiveCodeBench) and math verification (NuminaMath, MATH-verify library).</w:t>
      </w:r>
    </w:p>
    <w:p>
      <w:pPr>
        <w:spacing w:before="80" w:after="140" w:line="280"/>
        <w:jc w:val="both"/>
      </w:pPr>
      <w:r>
        <w:rPr>
          <w:rFonts w:ascii="Arial" w:cs="Arial" w:eastAsia="Arial" w:hAnsi="Arial"/>
          <w:color w:val="444444"/>
          <w:sz w:val="21"/>
          <w:szCs w:val="21"/>
        </w:rPr>
        <w:t xml:space="preserve">APIGen uses an execution pipeline where generated function-call data is verified against live or sandboxed API endpoints before inclusion. This eliminates the large fraction of plausible-looking but incorrect tool-call trajectories that plague LLM-generated data.</w:t>
      </w:r>
    </w:p>
    <w:p>
      <w:pPr>
        <w:pStyle w:val="Heading2"/>
        <w:spacing w:before="320" w:after="120"/>
      </w:pPr>
      <w:r>
        <w:rPr>
          <w:rFonts w:ascii="Arial" w:cs="Arial" w:eastAsia="Arial" w:hAnsi="Arial"/>
          <w:b/>
          <w:bCs/>
          <w:color w:val="1B6CA8"/>
          <w:sz w:val="26"/>
          <w:szCs w:val="26"/>
        </w:rPr>
        <w:t xml:space="preserve">2.6 Rejection Sampling and Quality Filtering</w:t>
      </w:r>
    </w:p>
    <w:p>
      <w:pPr>
        <w:spacing w:before="80" w:after="140" w:line="280"/>
        <w:jc w:val="both"/>
      </w:pPr>
      <w:r>
        <w:rPr>
          <w:rFonts w:ascii="Arial" w:cs="Arial" w:eastAsia="Arial" w:hAnsi="Arial"/>
          <w:color w:val="444444"/>
          <w:sz w:val="21"/>
          <w:szCs w:val="21"/>
        </w:rPr>
        <w:t xml:space="preserve">Not all synthetically generated data is equal. Rejection sampling strategies include: LLM-judge scoring (using a separate model to rate quality on multiple dimensions), perplexity filtering (removing outliers from the base model's distribution), deduplication via embedding clustering, difficulty calibration (targeting a ~50% success rate for the model being trained), and semantic diversity metrics.</w:t>
      </w:r>
    </w:p>
    <w:p>
      <w:pPr>
        <w:spacing w:before="80" w:after="140" w:line="280"/>
        <w:jc w:val="both"/>
      </w:pPr>
      <w:r>
        <w:rPr>
          <w:rFonts w:ascii="Arial" w:cs="Arial" w:eastAsia="Arial" w:hAnsi="Arial"/>
          <w:color w:val="444444"/>
          <w:sz w:val="21"/>
          <w:szCs w:val="21"/>
        </w:rPr>
        <w:t xml:space="preserve">The LIMA (Less Is More for Alignment) paper demonstrated that 1,000 carefully curated high-quality examples can outperform fine-tuning on 50,000+ lower-quality ones, establishing that quality-controlled selection is often more impactful than brute-force scale.</w:t>
      </w:r>
    </w:p>
    <w:p>
      <w:pPr>
        <w:pStyle w:val="Heading2"/>
        <w:spacing w:before="320" w:after="120"/>
      </w:pPr>
      <w:r>
        <w:rPr>
          <w:rFonts w:ascii="Arial" w:cs="Arial" w:eastAsia="Arial" w:hAnsi="Arial"/>
          <w:b/>
          <w:bCs/>
          <w:color w:val="1B6CA8"/>
          <w:sz w:val="26"/>
          <w:szCs w:val="26"/>
        </w:rPr>
        <w:t xml:space="preserve">2.7 Monte Carlo Tree Search (MCTS) for Reasoning Traces</w:t>
      </w:r>
    </w:p>
    <w:p>
      <w:pPr>
        <w:spacing w:before="80" w:after="140" w:line="280"/>
        <w:jc w:val="both"/>
      </w:pPr>
      <w:r>
        <w:rPr>
          <w:rFonts w:ascii="Arial" w:cs="Arial" w:eastAsia="Arial" w:hAnsi="Arial"/>
          <w:color w:val="444444"/>
          <w:sz w:val="21"/>
          <w:szCs w:val="21"/>
        </w:rPr>
        <w:t xml:space="preserve">MCTS enables structured exploration of solution spaces by expanding promising reasoning paths and backtracking from dead ends. Applied to math and code, it generates search trees where each node is a reasoning step annotated with its Q-value (estimated probability of eventual success). The Astro framework (2025) builds 20,700 math search trees and extracts 105,000 linearized chain-of-thought solutions with embedded self-reflection and backtracking signals.</w:t>
      </w:r>
    </w:p>
    <w:p>
      <w:pPr>
        <w:spacing w:before="80" w:after="140" w:line="280"/>
        <w:jc w:val="both"/>
      </w:pPr>
      <w:r>
        <w:rPr>
          <w:rFonts w:ascii="Arial" w:cs="Arial" w:eastAsia="Arial" w:hAnsi="Arial"/>
          <w:color w:val="444444"/>
          <w:sz w:val="21"/>
          <w:szCs w:val="21"/>
        </w:rPr>
        <w:t xml:space="preserve">The resulting data teaches models not just correct answers but the meta-cognitive process of recognizing failure and pivoting — a capability absent from datasets that only show successful trajectories.</w:t>
      </w:r>
    </w:p>
    <w:p>
      <w:pPr>
        <w:spacing w:before="120" w:after="0"/>
      </w:pPr>
      <w:r>
        <w:t xml:space="preserve"/>
      </w:r>
    </w:p>
    <w:p>
      <w:r>
        <w:br w:type="page"/>
      </w:r>
    </w:p>
    <w:p>
      <w:pPr>
        <w:pStyle w:val="Heading1"/>
        <w:pBdr>
          <w:bottom w:val="single" w:color="2E5FAC" w:sz="4" w:space="6"/>
        </w:pBdr>
        <w:spacing w:before="480" w:after="180"/>
      </w:pPr>
      <w:r>
        <w:rPr>
          <w:rFonts w:ascii="Arial" w:cs="Arial" w:eastAsia="Arial" w:hAnsi="Arial"/>
          <w:b/>
          <w:bCs/>
          <w:color w:val="1F3864"/>
          <w:sz w:val="32"/>
          <w:szCs w:val="32"/>
        </w:rPr>
        <w:t xml:space="preserve">3. Chain-of-Thought and General Reasoning</w:t>
      </w:r>
    </w:p>
    <w:p>
      <w:pPr>
        <w:pStyle w:val="Heading2"/>
        <w:spacing w:before="320" w:after="120"/>
      </w:pPr>
      <w:r>
        <w:rPr>
          <w:rFonts w:ascii="Arial" w:cs="Arial" w:eastAsia="Arial" w:hAnsi="Arial"/>
          <w:b/>
          <w:bCs/>
          <w:color w:val="1B6CA8"/>
          <w:sz w:val="26"/>
          <w:szCs w:val="26"/>
        </w:rPr>
        <w:t xml:space="preserve">3.1 Foundational Approaches</w:t>
      </w:r>
    </w:p>
    <w:p>
      <w:pPr>
        <w:spacing w:before="80" w:after="140" w:line="280"/>
        <w:jc w:val="both"/>
      </w:pPr>
      <w:r>
        <w:rPr>
          <w:rFonts w:ascii="Arial" w:cs="Arial" w:eastAsia="Arial" w:hAnsi="Arial"/>
          <w:color w:val="444444"/>
          <w:sz w:val="21"/>
          <w:szCs w:val="21"/>
        </w:rPr>
        <w:t xml:space="preserve">Chain-of-thought (CoT) prompting revealed that models trained or prompted to produce intermediate reasoning steps outperform those that produce direct answers. But generating high-quality CoT data at scale requires more than asking a model to 'think step by step' — it requires ensuring that the reasoning steps are correct, that the chain genuinely supports the conclusion, and that the difficulty distribution challenges the model appropriately.</w:t>
      </w:r>
    </w:p>
    <w:p>
      <w:pPr>
        <w:spacing w:before="80" w:after="140" w:line="280"/>
        <w:jc w:val="both"/>
      </w:pPr>
      <w:r>
        <w:rPr>
          <w:rFonts w:ascii="Arial" w:cs="Arial" w:eastAsia="Arial" w:hAnsi="Arial"/>
          <w:color w:val="444444"/>
          <w:sz w:val="21"/>
          <w:szCs w:val="21"/>
        </w:rPr>
        <w:t xml:space="preserve">STaR (Zelikman et al., 2022) established the bootstrapping principle: generate rationales, filter by whether the final answer is correct, fine-tune, repeat. This iterative process progressively teaches the model reasoning patterns it did not originally possess.</w:t>
      </w:r>
    </w:p>
    <w:p>
      <w:pPr>
        <w:pStyle w:val="Heading2"/>
        <w:spacing w:before="320" w:after="120"/>
      </w:pPr>
      <w:r>
        <w:rPr>
          <w:rFonts w:ascii="Arial" w:cs="Arial" w:eastAsia="Arial" w:hAnsi="Arial"/>
          <w:b/>
          <w:bCs/>
          <w:color w:val="1B6CA8"/>
          <w:sz w:val="26"/>
          <w:szCs w:val="26"/>
        </w:rPr>
        <w:t xml:space="preserve">3.2 Process Reward Models (PRMs) vs. Outcome Reward Models</w:t>
      </w:r>
    </w:p>
    <w:p>
      <w:pPr>
        <w:spacing w:before="80" w:after="140" w:line="280"/>
        <w:jc w:val="both"/>
      </w:pPr>
      <w:r>
        <w:rPr>
          <w:rFonts w:ascii="Arial" w:cs="Arial" w:eastAsia="Arial" w:hAnsi="Arial"/>
          <w:color w:val="444444"/>
          <w:sz w:val="21"/>
          <w:szCs w:val="21"/>
        </w:rPr>
        <w:t xml:space="preserve">Outcome reward models (ORMs) reward only the final answer. Process reward models (PRMs) reward each reasoning step. PRMs produce better alignment between the reward signal and the quality of the reasoning chain, catching errors at the step level rather than allowing correct final answers that arrived via flawed reasoning. Lightman et al. (2023) showed that step-level verification provides a substantially better training signal for math reasoning than answer-level verification alone.</w:t>
      </w:r>
    </w:p>
    <w:p>
      <w:pPr>
        <w:spacing w:before="80" w:after="140" w:line="280"/>
        <w:jc w:val="both"/>
      </w:pPr>
      <w:r>
        <w:rPr>
          <w:rFonts w:ascii="Arial" w:cs="Arial" w:eastAsia="Arial" w:hAnsi="Arial"/>
          <w:color w:val="444444"/>
          <w:sz w:val="21"/>
          <w:szCs w:val="21"/>
        </w:rPr>
        <w:t xml:space="preserve">The practical challenge is generating step-level labels. Recent work uses Monte Carlo estimation: for each reasoning step in a generated trajectory, sample many continuations and measure how often they lead to correct final answers. The step's value is the empirical success rate across these Monte Carlo rollouts.</w:t>
      </w:r>
    </w:p>
    <w:p>
      <w:pPr>
        <w:pStyle w:val="Heading2"/>
        <w:spacing w:before="320" w:after="120"/>
      </w:pPr>
      <w:r>
        <w:rPr>
          <w:rFonts w:ascii="Arial" w:cs="Arial" w:eastAsia="Arial" w:hAnsi="Arial"/>
          <w:b/>
          <w:bCs/>
          <w:color w:val="1B6CA8"/>
          <w:sz w:val="26"/>
          <w:szCs w:val="26"/>
        </w:rPr>
        <w:t xml:space="preserve">3.3 Long Chain-of-Thought and Reasoning Models</w:t>
      </w:r>
    </w:p>
    <w:p>
      <w:pPr>
        <w:spacing w:before="80" w:after="140" w:line="280"/>
        <w:jc w:val="both"/>
      </w:pPr>
      <w:r>
        <w:rPr>
          <w:rFonts w:ascii="Arial" w:cs="Arial" w:eastAsia="Arial" w:hAnsi="Arial"/>
          <w:color w:val="444444"/>
          <w:sz w:val="21"/>
          <w:szCs w:val="21"/>
        </w:rPr>
        <w:t xml:space="preserve">The o1 and DeepSeek-R1 paradigm extended CoT to extended 'thinking' traces potentially thousands of tokens long, where the model iterates, backtracks, self-corrects, and verifies before producing a final answer. Generating synthetic training data for this capability requires:</w:t>
      </w:r>
    </w:p>
    <w:p>
      <w:pPr>
        <w:pStyle w:val="ListParagraph"/>
        <w:numPr>
          <w:ilvl w:val="0"/>
          <w:numId w:val="2"/>
        </w:numPr>
        <w:spacing w:before="40" w:after="60"/>
      </w:pPr>
      <w:r>
        <w:rPr>
          <w:rFonts w:ascii="Arial" w:cs="Arial" w:eastAsia="Arial" w:hAnsi="Arial"/>
          <w:color w:val="444444"/>
          <w:sz w:val="21"/>
          <w:szCs w:val="21"/>
        </w:rPr>
        <w:t xml:space="preserve">Cold-start SFT data: A small set (hundreds to thousands) of high-quality long-format reasoning demonstrations to initialize the reasoning style.</w:t>
      </w:r>
    </w:p>
    <w:p>
      <w:pPr>
        <w:pStyle w:val="ListParagraph"/>
        <w:numPr>
          <w:ilvl w:val="0"/>
          <w:numId w:val="2"/>
        </w:numPr>
        <w:spacing w:before="40" w:after="60"/>
      </w:pPr>
      <w:r>
        <w:rPr>
          <w:rFonts w:ascii="Arial" w:cs="Arial" w:eastAsia="Arial" w:hAnsi="Arial"/>
          <w:color w:val="444444"/>
          <w:sz w:val="21"/>
          <w:szCs w:val="21"/>
        </w:rPr>
        <w:t xml:space="preserve">RLVR training: Reinforcement learning with verifiable rewards (correct/incorrect answer) to extend and refine the reasoning behavior. DeepSeek-R1-Zero demonstrated that reasoning behaviors including self-reflection and dynamic strategy adaptation can emerge purely from RL without any supervised reasoning demonstrations.</w:t>
      </w:r>
    </w:p>
    <w:p>
      <w:pPr>
        <w:pStyle w:val="ListParagraph"/>
        <w:numPr>
          <w:ilvl w:val="0"/>
          <w:numId w:val="2"/>
        </w:numPr>
        <w:spacing w:before="40" w:after="60"/>
      </w:pPr>
      <w:r>
        <w:rPr>
          <w:rFonts w:ascii="Arial" w:cs="Arial" w:eastAsia="Arial" w:hAnsi="Arial"/>
          <w:color w:val="444444"/>
          <w:sz w:val="21"/>
          <w:szCs w:val="21"/>
        </w:rPr>
        <w:t xml:space="preserve">Diversity of reasoning patterns: Data that includes not just correct solution paths but also exploratory paths, verification sub-steps, and strategy-switching behaviors.</w:t>
      </w:r>
    </w:p>
    <w:p>
      <w:pPr>
        <w:pStyle w:val="ListParagraph"/>
        <w:numPr>
          <w:ilvl w:val="0"/>
          <w:numId w:val="2"/>
        </w:numPr>
        <w:spacing w:before="40" w:after="60"/>
      </w:pPr>
      <w:r>
        <w:rPr>
          <w:rFonts w:ascii="Arial" w:cs="Arial" w:eastAsia="Arial" w:hAnsi="Arial"/>
          <w:color w:val="444444"/>
          <w:sz w:val="21"/>
          <w:szCs w:val="21"/>
        </w:rPr>
        <w:t xml:space="preserve">Length calibration: Research shows that longer reasoning chains are not always better; chains must be calibrated to problem difficulty to avoid the 'overthinking' pathology where models elaborate unnecessarily on simple problems.</w:t>
      </w:r>
    </w:p>
    <w:p>
      <w:pPr>
        <w:pBdr>
          <w:left w:val="thick" w:color="2E5FAC" w:sz="12" w:space="10"/>
        </w:pBdr>
        <w:shd w:fill="D6E4F7" w:val="clear"/>
        <w:spacing w:before="120" w:after="120" w:line="280"/>
        <w:ind w:left="360" w:right="360"/>
      </w:pPr>
      <w:r>
        <w:rPr>
          <w:rFonts w:ascii="Arial" w:cs="Arial" w:eastAsia="Arial" w:hAnsi="Arial"/>
          <w:i/>
          <w:iCs/>
          <w:color w:val="1F3864"/>
          <w:sz w:val="21"/>
          <w:szCs w:val="21"/>
        </w:rPr>
        <w:t xml:space="preserve">DeepSeek-R1 achieved 79.8% Pass@1 on AIME 2024 and 97.3% on MATH-500 using a pipeline of: cold-start SFT (thousands of examples) → reasoning-oriented RL (GRPO) → rejection sampling → additional SFT → final RL. Each stage's synthetic data is produced by the outputs of the prior stage.</w:t>
      </w:r>
    </w:p>
    <w:p>
      <w:pPr>
        <w:pStyle w:val="Heading2"/>
        <w:spacing w:before="320" w:after="120"/>
      </w:pPr>
      <w:r>
        <w:rPr>
          <w:rFonts w:ascii="Arial" w:cs="Arial" w:eastAsia="Arial" w:hAnsi="Arial"/>
          <w:b/>
          <w:bCs/>
          <w:color w:val="1B6CA8"/>
          <w:sz w:val="26"/>
          <w:szCs w:val="26"/>
        </w:rPr>
        <w:t xml:space="preserve">3.4 Key Datasets and Benchmarks</w:t>
      </w:r>
    </w:p>
    <w:p>
      <w:pPr>
        <w:spacing w:before="80" w:after="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200"/>
        <w:gridCol w:w="2560"/>
      </w:tblGrid>
      <w:tr>
        <w:trPr>
          <w:tblHeader/>
        </w:trPr>
        <w:tc>
          <w:tcPr>
            <w:tcW w:type="dxa" w:w="2400"/>
            <w:tcBorders>
              <w:top w:val="single" w:color="BBCCDD" w:sz="1"/>
              <w:left w:val="single" w:color="BBCCDD" w:sz="1"/>
              <w:bottom w:val="single" w:color="BBCCDD" w:sz="1"/>
              <w:right w:val="single" w:color="BBCCD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Dataset / System</w:t>
            </w:r>
          </w:p>
        </w:tc>
        <w:tc>
          <w:tcPr>
            <w:tcW w:type="dxa" w:w="1400"/>
            <w:tcBorders>
              <w:top w:val="single" w:color="BBCCDD" w:sz="1"/>
              <w:left w:val="single" w:color="BBCCDD" w:sz="1"/>
              <w:bottom w:val="single" w:color="BBCCDD" w:sz="1"/>
              <w:right w:val="single" w:color="BBCCD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2200"/>
            <w:tcBorders>
              <w:top w:val="single" w:color="BBCCDD" w:sz="1"/>
              <w:left w:val="single" w:color="BBCCDD" w:sz="1"/>
              <w:bottom w:val="single" w:color="BBCCDD" w:sz="1"/>
              <w:right w:val="single" w:color="BBCCD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560"/>
            <w:tcBorders>
              <w:top w:val="single" w:color="BBCCDD" w:sz="1"/>
              <w:left w:val="single" w:color="BBCCDD" w:sz="1"/>
              <w:bottom w:val="single" w:color="BBCCDD" w:sz="1"/>
              <w:right w:val="single" w:color="BBCCD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Capability</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STaR bootstrapping</w:t>
            </w:r>
          </w:p>
        </w:tc>
        <w:tc>
          <w:tcPr>
            <w:tcW w:type="dxa" w:w="1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Task-dependent</w:t>
            </w:r>
          </w:p>
        </w:tc>
        <w:tc>
          <w:tcPr>
            <w:tcW w:type="dxa" w:w="22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Iterative self-rationalization</w:t>
            </w:r>
          </w:p>
        </w:tc>
        <w:tc>
          <w:tcPr>
            <w:tcW w:type="dxa" w:w="256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General multi-step reasoning</w:t>
            </w:r>
          </w:p>
        </w:tc>
      </w:tr>
      <w:tr>
        <w:tc>
          <w:tcPr>
            <w:tcW w:type="dxa" w:w="24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Orca 2 (Microsoft)</w:t>
            </w:r>
          </w:p>
        </w:tc>
        <w:tc>
          <w:tcPr>
            <w:tcW w:type="dxa" w:w="14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~800K</w:t>
            </w:r>
          </w:p>
        </w:tc>
        <w:tc>
          <w:tcPr>
            <w:tcW w:type="dxa" w:w="22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Teacher-student with strategy labeling</w:t>
            </w:r>
          </w:p>
        </w:tc>
        <w:tc>
          <w:tcPr>
            <w:tcW w:type="dxa" w:w="256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Diverse reasoning strategies</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OpenThoughts</w:t>
            </w:r>
          </w:p>
        </w:tc>
        <w:tc>
          <w:tcPr>
            <w:tcW w:type="dxa" w:w="1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Open community</w:t>
            </w:r>
          </w:p>
        </w:tc>
        <w:tc>
          <w:tcPr>
            <w:tcW w:type="dxa" w:w="22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DeepSeek-R1 distillation</w:t>
            </w:r>
          </w:p>
        </w:tc>
        <w:tc>
          <w:tcPr>
            <w:tcW w:type="dxa" w:w="256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Long CoT reasoning</w:t>
            </w:r>
          </w:p>
        </w:tc>
      </w:tr>
      <w:tr>
        <w:tc>
          <w:tcPr>
            <w:tcW w:type="dxa" w:w="24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LIMO (2025)</w:t>
            </w:r>
          </w:p>
        </w:tc>
        <w:tc>
          <w:tcPr>
            <w:tcW w:type="dxa" w:w="14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817 examples</w:t>
            </w:r>
          </w:p>
        </w:tc>
        <w:tc>
          <w:tcPr>
            <w:tcW w:type="dxa" w:w="22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Curated minimal high-quality CoT</w:t>
            </w:r>
          </w:p>
        </w:tc>
        <w:tc>
          <w:tcPr>
            <w:tcW w:type="dxa" w:w="256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Sample-efficient reasoning</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s1K (Muennighoff et al.)</w:t>
            </w:r>
          </w:p>
        </w:tc>
        <w:tc>
          <w:tcPr>
            <w:tcW w:type="dxa" w:w="1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1,000 examples</w:t>
            </w:r>
          </w:p>
        </w:tc>
        <w:tc>
          <w:tcPr>
            <w:tcW w:type="dxa" w:w="22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Quality-curated hard problems</w:t>
            </w:r>
          </w:p>
        </w:tc>
        <w:tc>
          <w:tcPr>
            <w:tcW w:type="dxa" w:w="256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Reasoning with minimal data</w:t>
            </w:r>
          </w:p>
        </w:tc>
      </w:tr>
      <w:tr>
        <w:tc>
          <w:tcPr>
            <w:tcW w:type="dxa" w:w="24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AM-DeepSeek-R1-Distilled-1.4M</w:t>
            </w:r>
          </w:p>
        </w:tc>
        <w:tc>
          <w:tcPr>
            <w:tcW w:type="dxa" w:w="14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1.4M</w:t>
            </w:r>
          </w:p>
        </w:tc>
        <w:tc>
          <w:tcPr>
            <w:tcW w:type="dxa" w:w="22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Multi-source distillation + dedup</w:t>
            </w:r>
          </w:p>
        </w:tc>
        <w:tc>
          <w:tcPr>
            <w:tcW w:type="dxa" w:w="256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Math, code, science reasoning</w:t>
            </w:r>
          </w:p>
        </w:tc>
      </w:tr>
    </w:tbl>
    <w:p>
      <w:pPr>
        <w:spacing w:before="160" w:after="0"/>
      </w:pPr>
      <w:r>
        <w:t xml:space="preserve"/>
      </w:r>
    </w:p>
    <w:p>
      <w:r>
        <w:br w:type="page"/>
      </w:r>
    </w:p>
    <w:p>
      <w:pPr>
        <w:pStyle w:val="Heading1"/>
        <w:pBdr>
          <w:bottom w:val="single" w:color="2E5FAC" w:sz="4" w:space="6"/>
        </w:pBdr>
        <w:spacing w:before="480" w:after="180"/>
      </w:pPr>
      <w:r>
        <w:rPr>
          <w:rFonts w:ascii="Arial" w:cs="Arial" w:eastAsia="Arial" w:hAnsi="Arial"/>
          <w:b/>
          <w:bCs/>
          <w:color w:val="1F3864"/>
          <w:sz w:val="32"/>
          <w:szCs w:val="32"/>
        </w:rPr>
        <w:t xml:space="preserve">4. Mathematical Reasoning</w:t>
      </w:r>
    </w:p>
    <w:p>
      <w:pPr>
        <w:pStyle w:val="Heading2"/>
        <w:spacing w:before="320" w:after="120"/>
      </w:pPr>
      <w:r>
        <w:rPr>
          <w:rFonts w:ascii="Arial" w:cs="Arial" w:eastAsia="Arial" w:hAnsi="Arial"/>
          <w:b/>
          <w:bCs/>
          <w:color w:val="1B6CA8"/>
          <w:sz w:val="26"/>
          <w:szCs w:val="26"/>
        </w:rPr>
        <w:t xml:space="preserve">4.1 Data Sources and Synthesis Strategies</w:t>
      </w:r>
    </w:p>
    <w:p>
      <w:pPr>
        <w:spacing w:before="80" w:after="140" w:line="280"/>
        <w:jc w:val="both"/>
      </w:pPr>
      <w:r>
        <w:rPr>
          <w:rFonts w:ascii="Arial" w:cs="Arial" w:eastAsia="Arial" w:hAnsi="Arial"/>
          <w:color w:val="444444"/>
          <w:sz w:val="21"/>
          <w:szCs w:val="21"/>
        </w:rPr>
        <w:t xml:space="preserve">Mathematical reasoning requires synthetic data pipelines that span pre-training enrichment, instruction-tuning with diverse problem types, and RL-style bootstrapping. The mathematical domain is uniquely well-suited for synthetic data because answers are verifiable, intermediate steps can be checked for logical validity, and a rich hierarchy of difficulty levels exists (elementary arithmetic through competition mathematics through formal theorem proving).</w:t>
      </w:r>
    </w:p>
    <w:p>
      <w:pPr>
        <w:pStyle w:val="Heading2"/>
        <w:spacing w:before="320" w:after="120"/>
      </w:pPr>
      <w:r>
        <w:rPr>
          <w:rFonts w:ascii="Arial" w:cs="Arial" w:eastAsia="Arial" w:hAnsi="Arial"/>
          <w:b/>
          <w:bCs/>
          <w:color w:val="1B6CA8"/>
          <w:sz w:val="26"/>
          <w:szCs w:val="26"/>
        </w:rPr>
        <w:t xml:space="preserve">4.2 Pre-training Math Data Pipelines</w:t>
      </w:r>
    </w:p>
    <w:p>
      <w:pPr>
        <w:spacing w:before="80" w:after="140" w:line="280"/>
        <w:jc w:val="both"/>
      </w:pPr>
      <w:r>
        <w:rPr>
          <w:rFonts w:ascii="Arial" w:cs="Arial" w:eastAsia="Arial" w:hAnsi="Arial"/>
          <w:color w:val="444444"/>
          <w:sz w:val="21"/>
          <w:szCs w:val="21"/>
        </w:rPr>
        <w:t xml:space="preserve">DeepSeekMath demonstrated the value of dedicated math pre-training. Their pipeline: (1) train a FastText classifier on OpenWebMath as seed data; (2) use it to classify and retrieve 120B math-related tokens from Common Crawl; (3) manually annotate high-quality math domains; (4) iteratively expand the corpus. This produced DeepSeekMath Corpus — 120B tokens forming the richest open-source mathematical pre-training dataset.</w:t>
      </w:r>
    </w:p>
    <w:p>
      <w:pPr>
        <w:spacing w:before="80" w:after="140" w:line="280"/>
        <w:jc w:val="both"/>
      </w:pPr>
      <w:r>
        <w:rPr>
          <w:rFonts w:ascii="Arial" w:cs="Arial" w:eastAsia="Arial" w:hAnsi="Arial"/>
          <w:color w:val="444444"/>
          <w:sz w:val="21"/>
          <w:szCs w:val="21"/>
        </w:rPr>
        <w:t xml:space="preserve">The Phi series (Microsoft) pioneered 'textbook-style' synthetic pre-training data: using GPT-4 to generate fictional programming exercises and mathematical worked examples in the style of high-quality educational textbooks. Phi-1 (1.3B parameters) showed that a small model trained on high-quality synthetic textbooks can exceed much larger models trained purely on web crawls.</w:t>
      </w:r>
    </w:p>
    <w:p>
      <w:pPr>
        <w:pStyle w:val="Heading2"/>
        <w:spacing w:before="320" w:after="120"/>
      </w:pPr>
      <w:r>
        <w:rPr>
          <w:rFonts w:ascii="Arial" w:cs="Arial" w:eastAsia="Arial" w:hAnsi="Arial"/>
          <w:b/>
          <w:bCs/>
          <w:color w:val="1B6CA8"/>
          <w:sz w:val="26"/>
          <w:szCs w:val="26"/>
        </w:rPr>
        <w:t xml:space="preserve">4.3 Instruction-Tuning Math Data</w:t>
      </w:r>
    </w:p>
    <w:p>
      <w:pPr>
        <w:spacing w:before="80" w:after="140" w:line="280"/>
        <w:jc w:val="both"/>
      </w:pPr>
      <w:r>
        <w:rPr>
          <w:rFonts w:ascii="Arial" w:cs="Arial" w:eastAsia="Arial" w:hAnsi="Arial"/>
          <w:color w:val="444444"/>
          <w:sz w:val="21"/>
          <w:szCs w:val="21"/>
        </w:rPr>
        <w:t xml:space="preserve">Three primary approaches dominate:</w:t>
      </w:r>
    </w:p>
    <w:p>
      <w:pPr>
        <w:pStyle w:val="ListParagraph"/>
        <w:numPr>
          <w:ilvl w:val="0"/>
          <w:numId w:val="2"/>
        </w:numPr>
        <w:spacing w:before="40" w:after="60"/>
      </w:pPr>
      <w:r>
        <w:rPr>
          <w:rFonts w:ascii="Arial" w:cs="Arial" w:eastAsia="Arial" w:hAnsi="Arial"/>
          <w:color w:val="444444"/>
          <w:sz w:val="21"/>
          <w:szCs w:val="21"/>
        </w:rPr>
        <w:t xml:space="preserve">MetaMath / MathGenie: Problem augmentation via backward reasoning (deriving new questions from known answers), solution augmentation (generating multiple solution formats: CoT, Program-of-Thought, Tool-Integrated Reasoning), and question complexity evolution.</w:t>
      </w:r>
    </w:p>
    <w:p>
      <w:pPr>
        <w:pStyle w:val="ListParagraph"/>
        <w:numPr>
          <w:ilvl w:val="0"/>
          <w:numId w:val="2"/>
        </w:numPr>
        <w:spacing w:before="40" w:after="60"/>
      </w:pPr>
      <w:r>
        <w:rPr>
          <w:rFonts w:ascii="Arial" w:cs="Arial" w:eastAsia="Arial" w:hAnsi="Arial"/>
          <w:color w:val="444444"/>
          <w:sz w:val="21"/>
          <w:szCs w:val="21"/>
        </w:rPr>
        <w:t xml:space="preserve">NuminaMath: A large dataset of competition-level mathematics problems (AIME, AMC, AoPS forums) with full solution traces. Provides the hard difficulty regime needed for RLVR training.</w:t>
      </w:r>
    </w:p>
    <w:p>
      <w:pPr>
        <w:pStyle w:val="ListParagraph"/>
        <w:numPr>
          <w:ilvl w:val="0"/>
          <w:numId w:val="2"/>
        </w:numPr>
        <w:spacing w:before="40" w:after="60"/>
      </w:pPr>
      <w:r>
        <w:rPr>
          <w:rFonts w:ascii="Arial" w:cs="Arial" w:eastAsia="Arial" w:hAnsi="Arial"/>
          <w:color w:val="444444"/>
          <w:sz w:val="21"/>
          <w:szCs w:val="21"/>
        </w:rPr>
        <w:t xml:space="preserve">Rejection-sampled SFT from RL models: The DeepSeek-R1 pipeline generates millions of solution candidates from RL-trained checkpoints, keeps only those where the final answer is verified correct, and uses these as SFT data for the next training stage.</w:t>
      </w:r>
    </w:p>
    <w:p>
      <w:pPr>
        <w:spacing w:before="80" w:after="140" w:line="280"/>
        <w:jc w:val="both"/>
      </w:pPr>
      <w:r>
        <w:rPr>
          <w:rFonts w:ascii="Arial" w:cs="Arial" w:eastAsia="Arial" w:hAnsi="Arial"/>
          <w:color w:val="444444"/>
          <w:sz w:val="21"/>
          <w:szCs w:val="21"/>
        </w:rPr>
        <w:t xml:space="preserve">The AMD (Arrows of Math Data synthesis) framework (CIKM 2025) emphasizes three dimensions for quality math data: diversity of problem types, progressive complexity increase, and correctness verification — finding that all three dimensions independently contribute to improved trained model performance.</w:t>
      </w:r>
    </w:p>
    <w:p>
      <w:pPr>
        <w:pStyle w:val="Heading2"/>
        <w:spacing w:before="320" w:after="120"/>
      </w:pPr>
      <w:r>
        <w:rPr>
          <w:rFonts w:ascii="Arial" w:cs="Arial" w:eastAsia="Arial" w:hAnsi="Arial"/>
          <w:b/>
          <w:bCs/>
          <w:color w:val="1B6CA8"/>
          <w:sz w:val="26"/>
          <w:szCs w:val="26"/>
        </w:rPr>
        <w:t xml:space="preserve">4.4 Formal Theorem Proving</w:t>
      </w:r>
    </w:p>
    <w:p>
      <w:pPr>
        <w:spacing w:before="80" w:after="140" w:line="280"/>
        <w:jc w:val="both"/>
      </w:pPr>
      <w:r>
        <w:rPr>
          <w:rFonts w:ascii="Arial" w:cs="Arial" w:eastAsia="Arial" w:hAnsi="Arial"/>
          <w:color w:val="444444"/>
          <w:sz w:val="21"/>
          <w:szCs w:val="21"/>
        </w:rPr>
        <w:t xml:space="preserve">A specialized and rapidly growing area is synthetic data for formal proof systems (Lean 4, Isabelle). AlphaProof (Google DeepMind) demonstrated that reinforcement learning over formal proof search can solve competition-level mathematics including International Mathematical Olympiad problems. Synthetic data in this setting consists of formal proof search trajectories, partial proof states, tactic applications, and verification results from the proof checker.</w:t>
      </w:r>
    </w:p>
    <w:p>
      <w:pPr>
        <w:spacing w:before="80" w:after="140" w:line="280"/>
        <w:jc w:val="both"/>
      </w:pPr>
      <w:r>
        <w:rPr>
          <w:rFonts w:ascii="Arial" w:cs="Arial" w:eastAsia="Arial" w:hAnsi="Arial"/>
          <w:color w:val="444444"/>
          <w:sz w:val="21"/>
          <w:szCs w:val="21"/>
        </w:rPr>
        <w:t xml:space="preserve">The key challenge is the extreme sparsity of valid proofs in the search space. Monte Carlo tree search with proof-step value functions and curriculum learning (starting from easy lemmas and building up) are the primary techniques for generating usable training data.</w:t>
      </w:r>
    </w:p>
    <w:p>
      <w:pPr>
        <w:pStyle w:val="Heading2"/>
        <w:spacing w:before="320" w:after="120"/>
      </w:pPr>
      <w:r>
        <w:rPr>
          <w:rFonts w:ascii="Arial" w:cs="Arial" w:eastAsia="Arial" w:hAnsi="Arial"/>
          <w:b/>
          <w:bCs/>
          <w:color w:val="1B6CA8"/>
          <w:sz w:val="26"/>
          <w:szCs w:val="26"/>
        </w:rPr>
        <w:t xml:space="preserve">4.5 GRPO and Verifiable Reward Training</w:t>
      </w:r>
    </w:p>
    <w:p>
      <w:pPr>
        <w:spacing w:before="80" w:after="140" w:line="280"/>
        <w:jc w:val="both"/>
      </w:pPr>
      <w:r>
        <w:rPr>
          <w:rFonts w:ascii="Arial" w:cs="Arial" w:eastAsia="Arial" w:hAnsi="Arial"/>
          <w:color w:val="444444"/>
          <w:sz w:val="21"/>
          <w:szCs w:val="21"/>
        </w:rPr>
        <w:t xml:space="preserve">DeepSeekMath introduced Group Relative Policy Optimization (GRPO), a variant of PPO that eliminates the separate value model by using group-normalized rewards. For math, the reward is binary: correct or incorrect answer (verified by symbolic comparison). GRPO on math-focused SFT models reliably unlocks additional performance beyond what SFT alone achieves, because the RL signal provides a gradient that pushes toward correct reasoning even on problems the SFT model would otherwise fail.</w:t>
      </w:r>
    </w:p>
    <w:p>
      <w:pPr>
        <w:pBdr>
          <w:left w:val="thick" w:color="2E5FAC" w:sz="12" w:space="10"/>
        </w:pBdr>
        <w:shd w:fill="D6E4F7" w:val="clear"/>
        <w:spacing w:before="120" w:after="120" w:line="280"/>
        <w:ind w:left="360" w:right="360"/>
      </w:pPr>
      <w:r>
        <w:rPr>
          <w:rFonts w:ascii="Arial" w:cs="Arial" w:eastAsia="Arial" w:hAnsi="Arial"/>
          <w:i/>
          <w:iCs/>
          <w:color w:val="1F3864"/>
          <w:sz w:val="21"/>
          <w:szCs w:val="21"/>
        </w:rPr>
        <w:t xml:space="preserve">SYNTHETIC-1 (PrimeIntellect, 2025): 2M+ verified reasoning traces spanning math (NuminaMath competition problems), coding (LeetCode/Codeforces), software engineering (GitHub commits), STEM, and synthetic code understanding. Produced by globally distributed inference of DeepSeek-R1. Available as a 900K-sample SFT subset and 11K preference tuning set.</w:t>
      </w:r>
    </w:p>
    <w:p>
      <w:r>
        <w:br w:type="page"/>
      </w:r>
    </w:p>
    <w:p>
      <w:pPr>
        <w:pStyle w:val="Heading1"/>
        <w:pBdr>
          <w:bottom w:val="single" w:color="2E5FAC" w:sz="4" w:space="6"/>
        </w:pBdr>
        <w:spacing w:before="480" w:after="180"/>
      </w:pPr>
      <w:r>
        <w:rPr>
          <w:rFonts w:ascii="Arial" w:cs="Arial" w:eastAsia="Arial" w:hAnsi="Arial"/>
          <w:b/>
          <w:bCs/>
          <w:color w:val="1F3864"/>
          <w:sz w:val="32"/>
          <w:szCs w:val="32"/>
        </w:rPr>
        <w:t xml:space="preserve">5. Code Generation and Software Engineering</w:t>
      </w:r>
    </w:p>
    <w:p>
      <w:pPr>
        <w:pStyle w:val="Heading2"/>
        <w:spacing w:before="320" w:after="120"/>
      </w:pPr>
      <w:r>
        <w:rPr>
          <w:rFonts w:ascii="Arial" w:cs="Arial" w:eastAsia="Arial" w:hAnsi="Arial"/>
          <w:b/>
          <w:bCs/>
          <w:color w:val="1B6CA8"/>
          <w:sz w:val="26"/>
          <w:szCs w:val="26"/>
        </w:rPr>
        <w:t xml:space="preserve">5.1 The Code Domain's Unique Advantages</w:t>
      </w:r>
    </w:p>
    <w:p>
      <w:pPr>
        <w:spacing w:before="80" w:after="140" w:line="280"/>
        <w:jc w:val="both"/>
      </w:pPr>
      <w:r>
        <w:rPr>
          <w:rFonts w:ascii="Arial" w:cs="Arial" w:eastAsia="Arial" w:hAnsi="Arial"/>
          <w:color w:val="444444"/>
          <w:sz w:val="21"/>
          <w:szCs w:val="21"/>
        </w:rPr>
        <w:t xml:space="preserve">Code is the most naturally verifiable domain for synthetic data. Given a problem description and a solution, execution against test cases provides an unambiguous correctness signal. This makes code an ideal domain for large-scale rejection sampling, self-play verification, and RL with verifiable rewards. Additionally, the world's open-source code repositories provide nearly unlimited raw material for grounding synthetic instruction generation.</w:t>
      </w:r>
    </w:p>
    <w:p>
      <w:pPr>
        <w:pStyle w:val="Heading2"/>
        <w:spacing w:before="320" w:after="120"/>
      </w:pPr>
      <w:r>
        <w:rPr>
          <w:rFonts w:ascii="Arial" w:cs="Arial" w:eastAsia="Arial" w:hAnsi="Arial"/>
          <w:b/>
          <w:bCs/>
          <w:color w:val="1B6CA8"/>
          <w:sz w:val="26"/>
          <w:szCs w:val="26"/>
        </w:rPr>
        <w:t xml:space="preserve">5.2 Instruction Synthesis from Open-Source Code</w:t>
      </w:r>
    </w:p>
    <w:p>
      <w:pPr>
        <w:spacing w:before="80" w:after="140" w:line="280"/>
        <w:jc w:val="both"/>
      </w:pPr>
      <w:r>
        <w:rPr>
          <w:rFonts w:ascii="Arial" w:cs="Arial" w:eastAsia="Arial" w:hAnsi="Arial"/>
          <w:color w:val="444444"/>
          <w:sz w:val="21"/>
          <w:szCs w:val="21"/>
        </w:rPr>
        <w:t xml:space="preserve">Magicoder's OSS-Instruct (ICML 2024) is the canonical approach: seed the LLM with snippets of real open-source code, then ask it to generate a realistic coding problem whose solution involves that snippet. This grounds the synthetic data in actual code patterns and idioms, reducing the 'LLM hallucination' bias of purely prompt-based generation. 75K OSS-Instruct samples trained a 7B model that exceeded GPT-3.5-turbo on HumanEval+.</w:t>
      </w:r>
    </w:p>
    <w:p>
      <w:pPr>
        <w:spacing w:before="80" w:after="140" w:line="280"/>
        <w:jc w:val="both"/>
      </w:pPr>
      <w:r>
        <w:rPr>
          <w:rFonts w:ascii="Arial" w:cs="Arial" w:eastAsia="Arial" w:hAnsi="Arial"/>
          <w:color w:val="444444"/>
          <w:sz w:val="21"/>
          <w:szCs w:val="21"/>
        </w:rPr>
        <w:t xml:space="preserve">InverseCoder reverses the direction: start from existing code, use the LLM to generate a natural language description of what the code does (an instruction), and use code+instruction as an SFT pair. This back-translation approach mines the entire corpus of open-source code for training signal.</w:t>
      </w:r>
    </w:p>
    <w:p>
      <w:pPr>
        <w:pStyle w:val="Heading2"/>
        <w:spacing w:before="320" w:after="120"/>
      </w:pPr>
      <w:r>
        <w:rPr>
          <w:rFonts w:ascii="Arial" w:cs="Arial" w:eastAsia="Arial" w:hAnsi="Arial"/>
          <w:b/>
          <w:bCs/>
          <w:color w:val="1B6CA8"/>
          <w:sz w:val="26"/>
          <w:szCs w:val="26"/>
        </w:rPr>
        <w:t xml:space="preserve">5.3 Evolutionary Complexity Scaling</w:t>
      </w:r>
    </w:p>
    <w:p>
      <w:pPr>
        <w:spacing w:before="80" w:after="140" w:line="280"/>
        <w:jc w:val="both"/>
      </w:pPr>
      <w:r>
        <w:rPr>
          <w:rFonts w:ascii="Arial" w:cs="Arial" w:eastAsia="Arial" w:hAnsi="Arial"/>
          <w:color w:val="444444"/>
          <w:sz w:val="21"/>
          <w:szCs w:val="21"/>
        </w:rPr>
        <w:t xml:space="preserve">WizardCoder applies Evol-Instruct to code: take a seed coding problem, iteratively mutate it to be harder (add memory constraints, require specific algorithms, add multi-step requirements, combine multiple concepts). This produces a curriculum of problems spanning many difficulty levels. Genetic Instruct (NVIDIA, 2024/2025) further extends this with genetic operators — crossover between two problem descriptions and mutation of individual instructions — generating 7.5M synthetic instruction-solution pairs.</w:t>
      </w:r>
    </w:p>
    <w:p>
      <w:pPr>
        <w:pStyle w:val="Heading2"/>
        <w:spacing w:before="320" w:after="120"/>
      </w:pPr>
      <w:r>
        <w:rPr>
          <w:rFonts w:ascii="Arial" w:cs="Arial" w:eastAsia="Arial" w:hAnsi="Arial"/>
          <w:b/>
          <w:bCs/>
          <w:color w:val="1B6CA8"/>
          <w:sz w:val="26"/>
          <w:szCs w:val="26"/>
        </w:rPr>
        <w:t xml:space="preserve">5.4 Repository-Level and SWE Tasks</w:t>
      </w:r>
    </w:p>
    <w:p>
      <w:pPr>
        <w:spacing w:before="80" w:after="140" w:line="280"/>
        <w:jc w:val="both"/>
      </w:pPr>
      <w:r>
        <w:rPr>
          <w:rFonts w:ascii="Arial" w:cs="Arial" w:eastAsia="Arial" w:hAnsi="Arial"/>
          <w:color w:val="444444"/>
          <w:sz w:val="21"/>
          <w:szCs w:val="21"/>
        </w:rPr>
        <w:t xml:space="preserve">Benchmark-level code generation (HumanEval, MBPP) tests isolated function completion. Real software engineering (SWE-bench) requires understanding large codebases, diagnosing issues from bug reports, and producing minimal patches that fix tests while preserving existing behavior. Synthetic data for SWE tasks is much harder to generate because:</w:t>
      </w:r>
    </w:p>
    <w:p>
      <w:pPr>
        <w:pStyle w:val="ListParagraph"/>
        <w:numPr>
          <w:ilvl w:val="0"/>
          <w:numId w:val="2"/>
        </w:numPr>
        <w:spacing w:before="40" w:after="60"/>
      </w:pPr>
      <w:r>
        <w:rPr>
          <w:rFonts w:ascii="Arial" w:cs="Arial" w:eastAsia="Arial" w:hAnsi="Arial"/>
          <w:color w:val="444444"/>
          <w:sz w:val="21"/>
          <w:szCs w:val="21"/>
        </w:rPr>
        <w:t xml:space="preserve">The context window must encompass relevant repository structure, sometimes hundreds of files.</w:t>
      </w:r>
    </w:p>
    <w:p>
      <w:pPr>
        <w:pStyle w:val="ListParagraph"/>
        <w:numPr>
          <w:ilvl w:val="0"/>
          <w:numId w:val="2"/>
        </w:numPr>
        <w:spacing w:before="40" w:after="60"/>
      </w:pPr>
      <w:r>
        <w:rPr>
          <w:rFonts w:ascii="Arial" w:cs="Arial" w:eastAsia="Arial" w:hAnsi="Arial"/>
          <w:color w:val="444444"/>
          <w:sz w:val="21"/>
          <w:szCs w:val="21"/>
        </w:rPr>
        <w:t xml:space="preserve">Solutions require understanding implicit conventions and dependencies.</w:t>
      </w:r>
    </w:p>
    <w:p>
      <w:pPr>
        <w:pStyle w:val="ListParagraph"/>
        <w:numPr>
          <w:ilvl w:val="0"/>
          <w:numId w:val="2"/>
        </w:numPr>
        <w:spacing w:before="40" w:after="60"/>
      </w:pPr>
      <w:r>
        <w:rPr>
          <w:rFonts w:ascii="Arial" w:cs="Arial" w:eastAsia="Arial" w:hAnsi="Arial"/>
          <w:color w:val="444444"/>
          <w:sz w:val="21"/>
          <w:szCs w:val="21"/>
        </w:rPr>
        <w:t xml:space="preserve">Correctness requires passing the full test suite, not just a handcrafted verifier.</w:t>
      </w:r>
    </w:p>
    <w:p>
      <w:pPr>
        <w:spacing w:before="80" w:after="140" w:line="280"/>
        <w:jc w:val="both"/>
      </w:pPr>
      <w:r>
        <w:rPr>
          <w:rFonts w:ascii="Arial" w:cs="Arial" w:eastAsia="Arial" w:hAnsi="Arial"/>
          <w:color w:val="444444"/>
          <w:sz w:val="21"/>
          <w:szCs w:val="21"/>
        </w:rPr>
        <w:t xml:space="preserve">SYNTHETIC-1's software engineering tasks are derived from GitHub commits: each example pairs a pre-commit file state with an LLM-generated modification instruction (constructed from the commit message and post-commit state). This 'reverse-engineered specification' approach scales naturally from the Git commit history of any repository.</w:t>
      </w:r>
    </w:p>
    <w:p>
      <w:pPr>
        <w:pStyle w:val="Heading2"/>
        <w:spacing w:before="320" w:after="120"/>
      </w:pPr>
      <w:r>
        <w:rPr>
          <w:rFonts w:ascii="Arial" w:cs="Arial" w:eastAsia="Arial" w:hAnsi="Arial"/>
          <w:b/>
          <w:bCs/>
          <w:color w:val="1B6CA8"/>
          <w:sz w:val="26"/>
          <w:szCs w:val="26"/>
        </w:rPr>
        <w:t xml:space="preserve">5.5 Instruction-Reasoning-Code Triples</w:t>
      </w:r>
    </w:p>
    <w:p>
      <w:pPr>
        <w:spacing w:before="80" w:after="140" w:line="280"/>
        <w:jc w:val="both"/>
      </w:pPr>
      <w:r>
        <w:rPr>
          <w:rFonts w:ascii="Arial" w:cs="Arial" w:eastAsia="Arial" w:hAnsi="Arial"/>
          <w:color w:val="444444"/>
          <w:sz w:val="21"/>
          <w:szCs w:val="21"/>
        </w:rPr>
        <w:t xml:space="preserve">Recent work (2025) proposes generating quadruplets: instruction + reasoning trace + code solution + test cases. The reasoning trace explains the problem-solving approach before code generation, providing a bridge between natural language understanding and executable code. Combined with multi-stage deduplication (embedding similarity + LLM verification of true novelty), this produces datasets where each example teaches both reasoning and coding skills simultaneously.</w:t>
      </w:r>
    </w:p>
    <w:p>
      <w:pPr>
        <w:pStyle w:val="Heading2"/>
        <w:spacing w:before="320" w:after="120"/>
      </w:pPr>
      <w:r>
        <w:rPr>
          <w:rFonts w:ascii="Arial" w:cs="Arial" w:eastAsia="Arial" w:hAnsi="Arial"/>
          <w:b/>
          <w:bCs/>
          <w:color w:val="1B6CA8"/>
          <w:sz w:val="26"/>
          <w:szCs w:val="26"/>
        </w:rPr>
        <w:t xml:space="preserve">5.6 Key Datasets</w:t>
      </w:r>
    </w:p>
    <w:p>
      <w:pPr>
        <w:spacing w:before="80" w:after="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560"/>
        <w:gridCol w:w="2400"/>
      </w:tblGrid>
      <w:tr>
        <w:trPr>
          <w:tblHeader/>
        </w:trPr>
        <w:tc>
          <w:tcPr>
            <w:tcW w:type="dxa" w:w="2200"/>
            <w:tcBorders>
              <w:top w:val="single" w:color="BBCCDD" w:sz="1"/>
              <w:left w:val="single" w:color="BBCCDD" w:sz="1"/>
              <w:bottom w:val="single" w:color="BBCCDD" w:sz="1"/>
              <w:right w:val="single" w:color="BBCCD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1200"/>
            <w:tcBorders>
              <w:top w:val="single" w:color="BBCCDD" w:sz="1"/>
              <w:left w:val="single" w:color="BBCCDD" w:sz="1"/>
              <w:bottom w:val="single" w:color="BBCCDD" w:sz="1"/>
              <w:right w:val="single" w:color="BBCCD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2560"/>
            <w:tcBorders>
              <w:top w:val="single" w:color="BBCCDD" w:sz="1"/>
              <w:left w:val="single" w:color="BBCCDD" w:sz="1"/>
              <w:bottom w:val="single" w:color="BBCCDD" w:sz="1"/>
              <w:right w:val="single" w:color="BBCCD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00"/>
            <w:tcBorders>
              <w:top w:val="single" w:color="BBCCDD" w:sz="1"/>
              <w:left w:val="single" w:color="BBCCDD" w:sz="1"/>
              <w:bottom w:val="single" w:color="BBCCDD" w:sz="1"/>
              <w:right w:val="single" w:color="BBCCD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Benchmark Impact</w:t>
            </w:r>
          </w:p>
        </w:tc>
      </w:tr>
      <w:tr>
        <w:tc>
          <w:tcPr>
            <w:tcW w:type="dxa" w:w="22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Code Alpaca</w:t>
            </w:r>
          </w:p>
        </w:tc>
        <w:tc>
          <w:tcPr>
            <w:tcW w:type="dxa" w:w="12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20K</w:t>
            </w:r>
          </w:p>
        </w:tc>
        <w:tc>
          <w:tcPr>
            <w:tcW w:type="dxa" w:w="256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Self-Instruct on ChatGPT</w:t>
            </w:r>
          </w:p>
        </w:tc>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First instruction-tuned code dataset</w:t>
            </w:r>
          </w:p>
        </w:tc>
      </w:tr>
      <w:tr>
        <w:tc>
          <w:tcPr>
            <w:tcW w:type="dxa" w:w="22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Magicoder-OSS-75K</w:t>
            </w:r>
          </w:p>
        </w:tc>
        <w:tc>
          <w:tcPr>
            <w:tcW w:type="dxa" w:w="12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75K</w:t>
            </w:r>
          </w:p>
        </w:tc>
        <w:tc>
          <w:tcPr>
            <w:tcW w:type="dxa" w:w="256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OSS-Instruct (real code seeds)</w:t>
            </w:r>
          </w:p>
        </w:tc>
        <w:tc>
          <w:tcPr>
            <w:tcW w:type="dxa" w:w="24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Exceeds GPT-3.5 on HumanEval+</w:t>
            </w:r>
          </w:p>
        </w:tc>
      </w:tr>
      <w:tr>
        <w:tc>
          <w:tcPr>
            <w:tcW w:type="dxa" w:w="22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WizardCoder (Evol)</w:t>
            </w:r>
          </w:p>
        </w:tc>
        <w:tc>
          <w:tcPr>
            <w:tcW w:type="dxa" w:w="12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78K–1M</w:t>
            </w:r>
          </w:p>
        </w:tc>
        <w:tc>
          <w:tcPr>
            <w:tcW w:type="dxa" w:w="256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Code Evol-Instruct mutations</w:t>
            </w:r>
          </w:p>
        </w:tc>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SOTA on multiple benchmarks (2023-24)</w:t>
            </w:r>
          </w:p>
        </w:tc>
      </w:tr>
      <w:tr>
        <w:tc>
          <w:tcPr>
            <w:tcW w:type="dxa" w:w="22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Genetic Instruct</w:t>
            </w:r>
          </w:p>
        </w:tc>
        <w:tc>
          <w:tcPr>
            <w:tcW w:type="dxa" w:w="12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7.5M</w:t>
            </w:r>
          </w:p>
        </w:tc>
        <w:tc>
          <w:tcPr>
            <w:tcW w:type="dxa" w:w="256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Genetic mutation + crossover</w:t>
            </w:r>
          </w:p>
        </w:tc>
        <w:tc>
          <w:tcPr>
            <w:tcW w:type="dxa" w:w="24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State-of-art for 7B code models</w:t>
            </w:r>
          </w:p>
        </w:tc>
      </w:tr>
      <w:tr>
        <w:tc>
          <w:tcPr>
            <w:tcW w:type="dxa" w:w="22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SelfCodeAlign</w:t>
            </w:r>
          </w:p>
        </w:tc>
        <w:tc>
          <w:tcPr>
            <w:tcW w:type="dxa" w:w="12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Varies</w:t>
            </w:r>
          </w:p>
        </w:tc>
        <w:tc>
          <w:tcPr>
            <w:tcW w:type="dxa" w:w="256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Base model self-alignment</w:t>
            </w:r>
          </w:p>
        </w:tc>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No proprietary teacher needed</w:t>
            </w:r>
          </w:p>
        </w:tc>
      </w:tr>
      <w:tr>
        <w:tc>
          <w:tcPr>
            <w:tcW w:type="dxa" w:w="22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SYNTHETIC-1 (Code)</w:t>
            </w:r>
          </w:p>
        </w:tc>
        <w:tc>
          <w:tcPr>
            <w:tcW w:type="dxa" w:w="12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~500K</w:t>
            </w:r>
          </w:p>
        </w:tc>
        <w:tc>
          <w:tcPr>
            <w:tcW w:type="dxa" w:w="256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R1 distillation + execution verify</w:t>
            </w:r>
          </w:p>
        </w:tc>
        <w:tc>
          <w:tcPr>
            <w:tcW w:type="dxa" w:w="24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Coding + SWE + STEM coverage</w:t>
            </w:r>
          </w:p>
        </w:tc>
      </w:tr>
      <w:tr>
        <w:tc>
          <w:tcPr>
            <w:tcW w:type="dxa" w:w="22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OpenCodeInstruct</w:t>
            </w:r>
          </w:p>
        </w:tc>
        <w:tc>
          <w:tcPr>
            <w:tcW w:type="dxa" w:w="12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~1M</w:t>
            </w:r>
          </w:p>
        </w:tc>
        <w:tc>
          <w:tcPr>
            <w:tcW w:type="dxa" w:w="256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Multi-stage LLM pipeline</w:t>
            </w:r>
          </w:p>
        </w:tc>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Broad coverage across paradigms</w:t>
            </w:r>
          </w:p>
        </w:tc>
      </w:tr>
    </w:tbl>
    <w:p>
      <w:pPr>
        <w:spacing w:before="160" w:after="0"/>
      </w:pPr>
      <w:r>
        <w:t xml:space="preserve"/>
      </w:r>
    </w:p>
    <w:p>
      <w:r>
        <w:br w:type="page"/>
      </w:r>
    </w:p>
    <w:p>
      <w:pPr>
        <w:pStyle w:val="Heading1"/>
        <w:pBdr>
          <w:bottom w:val="single" w:color="2E5FAC" w:sz="4" w:space="6"/>
        </w:pBdr>
        <w:spacing w:before="480" w:after="180"/>
      </w:pPr>
      <w:r>
        <w:rPr>
          <w:rFonts w:ascii="Arial" w:cs="Arial" w:eastAsia="Arial" w:hAnsi="Arial"/>
          <w:b/>
          <w:bCs/>
          <w:color w:val="1F3864"/>
          <w:sz w:val="32"/>
          <w:szCs w:val="32"/>
        </w:rPr>
        <w:t xml:space="preserve">6. Tool Calling and Function Calling</w:t>
      </w:r>
    </w:p>
    <w:p>
      <w:pPr>
        <w:pStyle w:val="Heading2"/>
        <w:spacing w:before="320" w:after="120"/>
      </w:pPr>
      <w:r>
        <w:rPr>
          <w:rFonts w:ascii="Arial" w:cs="Arial" w:eastAsia="Arial" w:hAnsi="Arial"/>
          <w:b/>
          <w:bCs/>
          <w:color w:val="1B6CA8"/>
          <w:sz w:val="26"/>
          <w:szCs w:val="26"/>
        </w:rPr>
        <w:t xml:space="preserve">6.1 The Function Calling Data Challenge</w:t>
      </w:r>
    </w:p>
    <w:p>
      <w:pPr>
        <w:spacing w:before="80" w:after="140" w:line="280"/>
        <w:jc w:val="both"/>
      </w:pPr>
      <w:r>
        <w:rPr>
          <w:rFonts w:ascii="Arial" w:cs="Arial" w:eastAsia="Arial" w:hAnsi="Arial"/>
          <w:color w:val="444444"/>
          <w:sz w:val="21"/>
          <w:szCs w:val="21"/>
        </w:rPr>
        <w:t xml:space="preserve">Training an LLM to reliably invoke APIs and external tools requires data that covers: correct identification of when a tool call is appropriate (vs. not needed), selection among multiple candidate tools, generation of syntactically correct and semantically meaningful parameter values, handling of multi-turn interactions where tool results inform subsequent calls, and graceful error handling when APIs fail or return unexpected results.</w:t>
      </w:r>
    </w:p>
    <w:p>
      <w:pPr>
        <w:spacing w:before="80" w:after="140" w:line="280"/>
        <w:jc w:val="both"/>
      </w:pPr>
      <w:r>
        <w:rPr>
          <w:rFonts w:ascii="Arial" w:cs="Arial" w:eastAsia="Arial" w:hAnsi="Arial"/>
          <w:color w:val="444444"/>
          <w:sz w:val="21"/>
          <w:szCs w:val="21"/>
        </w:rPr>
        <w:t xml:space="preserve">Collecting this data from real-world API usage is complicated by proprietary API ecosystems, sparse coverage of long-tail function signatures, and the difficulty of obtaining ground-truth tool-call sequences for complex tasks. Synthetic generation is the practical solution.</w:t>
      </w:r>
    </w:p>
    <w:p>
      <w:pPr>
        <w:pStyle w:val="Heading2"/>
        <w:spacing w:before="320" w:after="120"/>
      </w:pPr>
      <w:r>
        <w:rPr>
          <w:rFonts w:ascii="Arial" w:cs="Arial" w:eastAsia="Arial" w:hAnsi="Arial"/>
          <w:b/>
          <w:bCs/>
          <w:color w:val="1B6CA8"/>
          <w:sz w:val="26"/>
          <w:szCs w:val="26"/>
        </w:rPr>
        <w:t xml:space="preserve">6.2 Foundational Approaches</w:t>
      </w:r>
    </w:p>
    <w:p>
      <w:pPr>
        <w:spacing w:before="80" w:after="140" w:line="280"/>
        <w:jc w:val="both"/>
      </w:pPr>
      <w:r>
        <w:rPr>
          <w:rFonts w:ascii="Arial" w:cs="Arial" w:eastAsia="Arial" w:hAnsi="Arial"/>
          <w:color w:val="444444"/>
          <w:sz w:val="21"/>
          <w:szCs w:val="21"/>
        </w:rPr>
        <w:t xml:space="preserve">Toolformer (NeurIPS 2023) was the first to demonstrate that LLMs can teach themselves to use tools via self-supervised learning: the model decides which tool calls to insert into text to reduce its own language modeling loss. While elegant, this approach is limited to a small fixed set of tools and single-call patterns.</w:t>
      </w:r>
    </w:p>
    <w:p>
      <w:pPr>
        <w:spacing w:before="80" w:after="140" w:line="280"/>
        <w:jc w:val="both"/>
      </w:pPr>
      <w:r>
        <w:rPr>
          <w:rFonts w:ascii="Arial" w:cs="Arial" w:eastAsia="Arial" w:hAnsi="Arial"/>
          <w:color w:val="444444"/>
          <w:sz w:val="21"/>
          <w:szCs w:val="21"/>
        </w:rPr>
        <w:t xml:space="preserve">Gorilla (NeurIPS 2024) addressed massive API coverage by fine-tuning on documentation-grounded synthetic query-API-call pairs across 1,600+ real APIs from TorchHub, TensorHub, and HuggingFace. The key insight: conditioning generation on API documentation produces far more accurate parameter specifications than unconditioned generation.</w:t>
      </w:r>
    </w:p>
    <w:p>
      <w:pPr>
        <w:pStyle w:val="Heading2"/>
        <w:spacing w:before="320" w:after="120"/>
      </w:pPr>
      <w:r>
        <w:rPr>
          <w:rFonts w:ascii="Arial" w:cs="Arial" w:eastAsia="Arial" w:hAnsi="Arial"/>
          <w:b/>
          <w:bCs/>
          <w:color w:val="1B6CA8"/>
          <w:sz w:val="26"/>
          <w:szCs w:val="26"/>
        </w:rPr>
        <w:t xml:space="preserve">6.3 APIGen Pipeline</w:t>
      </w:r>
    </w:p>
    <w:p>
      <w:pPr>
        <w:spacing w:before="80" w:after="140" w:line="280"/>
        <w:jc w:val="both"/>
      </w:pPr>
      <w:r>
        <w:rPr>
          <w:rFonts w:ascii="Arial" w:cs="Arial" w:eastAsia="Arial" w:hAnsi="Arial"/>
          <w:color w:val="444444"/>
          <w:sz w:val="21"/>
          <w:szCs w:val="21"/>
        </w:rPr>
        <w:t xml:space="preserve">APIGen (Salesforce/NVIDIA, 2024) established the quality-focused benchmark for function-call data generation. Its pipeline: (1) curate a pool of real executable API specifications; (2) generate natural language queries paired with expected function calls; (3) format-check the output against the API schema; (4) execute the function call against a live sandbox and verify the result; (5) retain only examples that pass all verification stages. This multi-stage filtering ensures that training data is not just plausible but actually correct.</w:t>
      </w:r>
    </w:p>
    <w:p>
      <w:pPr>
        <w:spacing w:before="80" w:after="140" w:line="280"/>
        <w:jc w:val="both"/>
      </w:pPr>
      <w:r>
        <w:rPr>
          <w:rFonts w:ascii="Arial" w:cs="Arial" w:eastAsia="Arial" w:hAnsi="Arial"/>
          <w:color w:val="444444"/>
          <w:sz w:val="21"/>
          <w:szCs w:val="21"/>
        </w:rPr>
        <w:t xml:space="preserve">APIGen-MT (2025) extends this to multi-turn interactions by simulating agent-human dialogue: an agent model plays the user, asking follow-up questions and incorporating tool results into subsequent queries. A reviewer agent validates the coherence and correctness of the multi-turn trajectory before it enters the training set.</w:t>
      </w:r>
    </w:p>
    <w:p>
      <w:pPr>
        <w:pStyle w:val="Heading2"/>
        <w:spacing w:before="320" w:after="120"/>
      </w:pPr>
      <w:r>
        <w:rPr>
          <w:rFonts w:ascii="Arial" w:cs="Arial" w:eastAsia="Arial" w:hAnsi="Arial"/>
          <w:b/>
          <w:bCs/>
          <w:color w:val="1B6CA8"/>
          <w:sz w:val="26"/>
          <w:szCs w:val="26"/>
        </w:rPr>
        <w:t xml:space="preserve">6.4 ToolACE: Self-Evolving Tool Synthesis</w:t>
      </w:r>
    </w:p>
    <w:p>
      <w:pPr>
        <w:spacing w:before="80" w:after="140" w:line="280"/>
        <w:jc w:val="both"/>
      </w:pPr>
      <w:r>
        <w:rPr>
          <w:rFonts w:ascii="Arial" w:cs="Arial" w:eastAsia="Arial" w:hAnsi="Arial"/>
          <w:color w:val="444444"/>
          <w:sz w:val="21"/>
          <w:szCs w:val="21"/>
        </w:rPr>
        <w:t xml:space="preserve">ToolACE addresses the key bottleneck in function-call data: the API diversity problem. Most synthetic datasets are limited to a few hundred real APIs, causing models to fail on novel function signatures at inference time. ToolACE's Tool Self-evolution Synthesis (TSS) module uses a multi-agent loop to recursively synthesize new API specifications across dozens of domains, building a pool of 26,507 diverse APIs. The Self-Guided Dialog Generation (SDG) module then generates dialogues calibrated to the capabilities of the model being trained, followed by dual-layer validation (format + semantic).</w:t>
      </w:r>
    </w:p>
    <w:p>
      <w:pPr>
        <w:pStyle w:val="Heading2"/>
        <w:spacing w:before="320" w:after="120"/>
      </w:pPr>
      <w:r>
        <w:rPr>
          <w:rFonts w:ascii="Arial" w:cs="Arial" w:eastAsia="Arial" w:hAnsi="Arial"/>
          <w:b/>
          <w:bCs/>
          <w:color w:val="1B6CA8"/>
          <w:sz w:val="26"/>
          <w:szCs w:val="26"/>
        </w:rPr>
        <w:t xml:space="preserve">6.5 Compositional Multi-Turn Tool Use</w:t>
      </w:r>
    </w:p>
    <w:p>
      <w:pPr>
        <w:spacing w:before="80" w:after="140" w:line="280"/>
        <w:jc w:val="both"/>
      </w:pPr>
      <w:r>
        <w:rPr>
          <w:rFonts w:ascii="Arial" w:cs="Arial" w:eastAsia="Arial" w:hAnsi="Arial"/>
          <w:color w:val="444444"/>
          <w:sz w:val="21"/>
          <w:szCs w:val="21"/>
        </w:rPr>
        <w:t xml:space="preserve">BUTTON (Bottom-Up Then Top-Down, 2024) addresses the compositional challenge: generating multi-turn function-call trajectories for instructions that require orchestrating multiple APIs in sequence. The bottom-up phase generates atomic tasks (single-tool, clear, immediately executable). The top-down phase constructs compositional tasks from combinations of atomic tasks, ensuring the resulting instructions are both complex and solvable. A multi-agent simulation environment then generates the full trajectory.</w:t>
      </w:r>
    </w:p>
    <w:p>
      <w:pPr>
        <w:spacing w:before="80" w:after="140" w:line="280"/>
        <w:jc w:val="both"/>
      </w:pPr>
      <w:r>
        <w:rPr>
          <w:rFonts w:ascii="Arial" w:cs="Arial" w:eastAsia="Arial" w:hAnsi="Arial"/>
          <w:color w:val="444444"/>
          <w:sz w:val="21"/>
          <w:szCs w:val="21"/>
        </w:rPr>
        <w:t xml:space="preserve">TOUCAN (2025) scales further by synthesizing 1.5M tool-agent trajectories from hundreds of real Model Context Protocol (MCP) environments — a massive expansion enabled by the growing ecosystem of standardized tool interfaces.</w:t>
      </w:r>
    </w:p>
    <w:p>
      <w:pPr>
        <w:pStyle w:val="Heading2"/>
        <w:spacing w:before="320" w:after="120"/>
      </w:pPr>
      <w:r>
        <w:rPr>
          <w:rFonts w:ascii="Arial" w:cs="Arial" w:eastAsia="Arial" w:hAnsi="Arial"/>
          <w:b/>
          <w:bCs/>
          <w:color w:val="1B6CA8"/>
          <w:sz w:val="26"/>
          <w:szCs w:val="26"/>
        </w:rPr>
        <w:t xml:space="preserve">6.6 Data Quality Requirements for Function Calling</w:t>
      </w:r>
    </w:p>
    <w:p>
      <w:pPr>
        <w:pStyle w:val="ListParagraph"/>
        <w:numPr>
          <w:ilvl w:val="0"/>
          <w:numId w:val="2"/>
        </w:numPr>
        <w:spacing w:before="40" w:after="60"/>
      </w:pPr>
      <w:r>
        <w:rPr>
          <w:rFonts w:ascii="Arial" w:cs="Arial" w:eastAsia="Arial" w:hAnsi="Arial"/>
          <w:color w:val="444444"/>
          <w:sz w:val="21"/>
          <w:szCs w:val="21"/>
        </w:rPr>
        <w:t xml:space="preserve">API schema fidelity: Parameter names, types, and required/optional status must exactly match the real API specification.</w:t>
      </w:r>
    </w:p>
    <w:p>
      <w:pPr>
        <w:pStyle w:val="ListParagraph"/>
        <w:numPr>
          <w:ilvl w:val="0"/>
          <w:numId w:val="2"/>
        </w:numPr>
        <w:spacing w:before="40" w:after="60"/>
      </w:pPr>
      <w:r>
        <w:rPr>
          <w:rFonts w:ascii="Arial" w:cs="Arial" w:eastAsia="Arial" w:hAnsi="Arial"/>
          <w:color w:val="444444"/>
          <w:sz w:val="21"/>
          <w:szCs w:val="21"/>
        </w:rPr>
        <w:t xml:space="preserve">Semantic accuracy: The generated query must genuinely require the tool being called; the parameters must reflect the user's intent.</w:t>
      </w:r>
    </w:p>
    <w:p>
      <w:pPr>
        <w:pStyle w:val="ListParagraph"/>
        <w:numPr>
          <w:ilvl w:val="0"/>
          <w:numId w:val="2"/>
        </w:numPr>
        <w:spacing w:before="40" w:after="60"/>
      </w:pPr>
      <w:r>
        <w:rPr>
          <w:rFonts w:ascii="Arial" w:cs="Arial" w:eastAsia="Arial" w:hAnsi="Arial"/>
          <w:color w:val="444444"/>
          <w:sz w:val="21"/>
          <w:szCs w:val="21"/>
        </w:rPr>
        <w:t xml:space="preserve">Execution verification: When possible, actually calling the API and checking the response is far superior to LLM-as-judge review.</w:t>
      </w:r>
    </w:p>
    <w:p>
      <w:pPr>
        <w:pStyle w:val="ListParagraph"/>
        <w:numPr>
          <w:ilvl w:val="0"/>
          <w:numId w:val="2"/>
        </w:numPr>
        <w:spacing w:before="40" w:after="60"/>
      </w:pPr>
      <w:r>
        <w:rPr>
          <w:rFonts w:ascii="Arial" w:cs="Arial" w:eastAsia="Arial" w:hAnsi="Arial"/>
          <w:color w:val="444444"/>
          <w:sz w:val="21"/>
          <w:szCs w:val="21"/>
        </w:rPr>
        <w:t xml:space="preserve">Negative examples: Data must include examples where no tool call is appropriate (pure reasoning tasks) to prevent over-triggering.</w:t>
      </w:r>
    </w:p>
    <w:p>
      <w:pPr>
        <w:pStyle w:val="ListParagraph"/>
        <w:numPr>
          <w:ilvl w:val="0"/>
          <w:numId w:val="2"/>
        </w:numPr>
        <w:spacing w:before="40" w:after="60"/>
      </w:pPr>
      <w:r>
        <w:rPr>
          <w:rFonts w:ascii="Arial" w:cs="Arial" w:eastAsia="Arial" w:hAnsi="Arial"/>
          <w:color w:val="444444"/>
          <w:sz w:val="21"/>
          <w:szCs w:val="21"/>
        </w:rPr>
        <w:t xml:space="preserve">Linguistic diversity: Queries should rephrase the same intent in diverse ways to prevent overfitting to specific phrasings.</w:t>
      </w:r>
    </w:p>
    <w:p>
      <w:pPr>
        <w:pStyle w:val="ListParagraph"/>
        <w:numPr>
          <w:ilvl w:val="0"/>
          <w:numId w:val="2"/>
        </w:numPr>
        <w:spacing w:before="40" w:after="60"/>
      </w:pPr>
      <w:r>
        <w:rPr>
          <w:rFonts w:ascii="Arial" w:cs="Arial" w:eastAsia="Arial" w:hAnsi="Arial"/>
          <w:color w:val="444444"/>
          <w:sz w:val="21"/>
          <w:szCs w:val="21"/>
        </w:rPr>
        <w:t xml:space="preserve">Argument diversity: Training data must cover a broad range of parameter values, not just common head values (e.g., only popular stock tickers, only major US cities).</w:t>
      </w:r>
    </w:p>
    <w:p>
      <w:pPr>
        <w:pBdr>
          <w:left w:val="thick" w:color="2E5FAC" w:sz="12" w:space="10"/>
        </w:pBdr>
        <w:shd w:fill="D6E4F7" w:val="clear"/>
        <w:spacing w:before="120" w:after="120" w:line="280"/>
        <w:ind w:left="360" w:right="360"/>
      </w:pPr>
      <w:r>
        <w:rPr>
          <w:rFonts w:ascii="Arial" w:cs="Arial" w:eastAsia="Arial" w:hAnsi="Arial"/>
          <w:i/>
          <w:iCs/>
          <w:color w:val="1F3864"/>
          <w:sz w:val="21"/>
          <w:szCs w:val="21"/>
        </w:rPr>
        <w:t xml:space="preserve">Recent work (Iskander et al., EMNLP 2024) found that data quality metrics for tool-use datasets poorly predict trained model performance. Execution-based verification is more predictive than perplexity or LLM-based quality scores, strongly supporting execution-verified pipelines over judge-based filtering alone.</w:t>
      </w:r>
    </w:p>
    <w:p>
      <w:r>
        <w:br w:type="page"/>
      </w:r>
    </w:p>
    <w:p>
      <w:pPr>
        <w:pStyle w:val="Heading1"/>
        <w:pBdr>
          <w:bottom w:val="single" w:color="2E5FAC" w:sz="4" w:space="6"/>
        </w:pBdr>
        <w:spacing w:before="480" w:after="180"/>
      </w:pPr>
      <w:r>
        <w:rPr>
          <w:rFonts w:ascii="Arial" w:cs="Arial" w:eastAsia="Arial" w:hAnsi="Arial"/>
          <w:b/>
          <w:bCs/>
          <w:color w:val="1F3864"/>
          <w:sz w:val="32"/>
          <w:szCs w:val="32"/>
        </w:rPr>
        <w:t xml:space="preserve">7. Planning and Long-Horizon Agentic Workflows</w:t>
      </w:r>
    </w:p>
    <w:p>
      <w:pPr>
        <w:pStyle w:val="Heading2"/>
        <w:spacing w:before="320" w:after="120"/>
      </w:pPr>
      <w:r>
        <w:rPr>
          <w:rFonts w:ascii="Arial" w:cs="Arial" w:eastAsia="Arial" w:hAnsi="Arial"/>
          <w:b/>
          <w:bCs/>
          <w:color w:val="1B6CA8"/>
          <w:sz w:val="26"/>
          <w:szCs w:val="26"/>
        </w:rPr>
        <w:t xml:space="preserve">7.1 The Long-Horizon Challenge</w:t>
      </w:r>
    </w:p>
    <w:p>
      <w:pPr>
        <w:spacing w:before="80" w:after="140" w:line="280"/>
        <w:jc w:val="both"/>
      </w:pPr>
      <w:r>
        <w:rPr>
          <w:rFonts w:ascii="Arial" w:cs="Arial" w:eastAsia="Arial" w:hAnsi="Arial"/>
          <w:color w:val="444444"/>
          <w:sz w:val="21"/>
          <w:szCs w:val="21"/>
        </w:rPr>
        <w:t xml:space="preserve">Long-horizon agentic tasks — completing a complex multi-day work project, navigating a real website to book travel while handling edge cases, managing a codebase modification that touches dozens of files — require capabilities qualitatively different from single-turn generation. The agent must maintain context across many interaction steps, plan ahead while remaining responsive to unexpected feedback, recover gracefully from errors, and coordinate multiple tools in service of a high-level goal.</w:t>
      </w:r>
    </w:p>
    <w:p>
      <w:pPr>
        <w:spacing w:before="80" w:after="140" w:line="280"/>
        <w:jc w:val="both"/>
      </w:pPr>
      <w:r>
        <w:rPr>
          <w:rFonts w:ascii="Arial" w:cs="Arial" w:eastAsia="Arial" w:hAnsi="Arial"/>
          <w:color w:val="444444"/>
          <w:sz w:val="21"/>
          <w:szCs w:val="21"/>
        </w:rPr>
        <w:t xml:space="preserve">Generating synthetic training data for these scenarios faces compounding difficulties: each step in a long trajectory must be coherent with all prior steps; errors early in the trajectory can cascade; and the space of possible trajectories is exponentially large, making coverage difficult.</w:t>
      </w:r>
    </w:p>
    <w:p>
      <w:pPr>
        <w:pStyle w:val="Heading2"/>
        <w:spacing w:before="320" w:after="120"/>
      </w:pPr>
      <w:r>
        <w:rPr>
          <w:rFonts w:ascii="Arial" w:cs="Arial" w:eastAsia="Arial" w:hAnsi="Arial"/>
          <w:b/>
          <w:bCs/>
          <w:color w:val="1B6CA8"/>
          <w:sz w:val="26"/>
          <w:szCs w:val="26"/>
        </w:rPr>
        <w:t xml:space="preserve">7.2 Trajectory Synthesis Approaches</w:t>
      </w:r>
    </w:p>
    <w:p>
      <w:pPr>
        <w:spacing w:before="80" w:after="140" w:line="280"/>
        <w:jc w:val="both"/>
      </w:pPr>
      <w:r>
        <w:rPr>
          <w:rFonts w:ascii="Arial" w:cs="Arial" w:eastAsia="Arial" w:hAnsi="Arial"/>
          <w:color w:val="444444"/>
          <w:sz w:val="21"/>
          <w:szCs w:val="21"/>
        </w:rPr>
        <w:t xml:space="preserve">AgentInstruct (Microsoft, 2024) uses agentic generation flows to produce complex multi-step instruction data. Rather than single-prompt generation, it orchestrates chains of LLM calls where each call builds on prior outputs, simulating the kind of extended interaction a user might have with a capable assistant.</w:t>
      </w:r>
    </w:p>
    <w:p>
      <w:pPr>
        <w:spacing w:before="80" w:after="140" w:line="280"/>
        <w:jc w:val="both"/>
      </w:pPr>
      <w:r>
        <w:rPr>
          <w:rFonts w:ascii="Arial" w:cs="Arial" w:eastAsia="Arial" w:hAnsi="Arial"/>
          <w:color w:val="444444"/>
          <w:sz w:val="21"/>
          <w:szCs w:val="21"/>
        </w:rPr>
        <w:t xml:space="preserve">LEARN-BY-INTERACT (ICLR 2025) synthesizes environment-specific training data for code, web, computer desktop, and professional software benchmarks. For each environment, relevant documentation is sampled, and Claude-3.5-Sonnet is used as the generator while a committee of models (Gemini-1.5-Pro + Claude) filters for quality. This approach demonstrates strong gains on SWE-bench, WebArena, and OSWorld.</w:t>
      </w:r>
    </w:p>
    <w:p>
      <w:pPr>
        <w:spacing w:before="80" w:after="140" w:line="280"/>
        <w:jc w:val="both"/>
      </w:pPr>
      <w:r>
        <w:rPr>
          <w:rFonts w:ascii="Arial" w:cs="Arial" w:eastAsia="Arial" w:hAnsi="Arial"/>
          <w:color w:val="444444"/>
          <w:sz w:val="21"/>
          <w:szCs w:val="21"/>
        </w:rPr>
        <w:t xml:space="preserve">AgentTrek (2025) synthesizes web-agent trajectories by replaying web tutorials: given a how-to guide ('How to book a flight on Expedia'), the system generates a structured trajectory of browser interactions that implement the tutorial steps. This grounds agent trajectories in human-authored procedural knowledge.</w:t>
      </w:r>
    </w:p>
    <w:p>
      <w:pPr>
        <w:spacing w:before="80" w:after="140" w:line="280"/>
        <w:jc w:val="both"/>
      </w:pPr>
      <w:r>
        <w:rPr>
          <w:rFonts w:ascii="Arial" w:cs="Arial" w:eastAsia="Arial" w:hAnsi="Arial"/>
          <w:color w:val="444444"/>
          <w:sz w:val="21"/>
          <w:szCs w:val="21"/>
        </w:rPr>
        <w:t xml:space="preserve">SYTHIA (FABRIC framework, 2025) proposes a modular framework with four distinct pipelines: atomic function call generation, multi-turn tool-use trajectory synthesis, long-horizon workflow orchestration, and safety/edge-case scenario generation. The framework enforces schema compliance and semantic coherence at each pipeline stage.</w:t>
      </w:r>
    </w:p>
    <w:p>
      <w:pPr>
        <w:pStyle w:val="Heading2"/>
        <w:spacing w:before="320" w:after="120"/>
      </w:pPr>
      <w:r>
        <w:rPr>
          <w:rFonts w:ascii="Arial" w:cs="Arial" w:eastAsia="Arial" w:hAnsi="Arial"/>
          <w:b/>
          <w:bCs/>
          <w:color w:val="1B6CA8"/>
          <w:sz w:val="26"/>
          <w:szCs w:val="26"/>
        </w:rPr>
        <w:t xml:space="preserve">7.3 Simulation Environments for Agentic Data</w:t>
      </w:r>
    </w:p>
    <w:p>
      <w:pPr>
        <w:spacing w:before="80" w:after="140" w:line="280"/>
        <w:jc w:val="both"/>
      </w:pPr>
      <w:r>
        <w:rPr>
          <w:rFonts w:ascii="Arial" w:cs="Arial" w:eastAsia="Arial" w:hAnsi="Arial"/>
          <w:color w:val="444444"/>
          <w:sz w:val="21"/>
          <w:szCs w:val="21"/>
        </w:rPr>
        <w:t xml:space="preserve">High-quality long-horizon data increasingly comes from agents interacting in simulated but realistic environments:</w:t>
      </w:r>
    </w:p>
    <w:p>
      <w:pPr>
        <w:pStyle w:val="ListParagraph"/>
        <w:numPr>
          <w:ilvl w:val="0"/>
          <w:numId w:val="2"/>
        </w:numPr>
        <w:spacing w:before="40" w:after="60"/>
      </w:pPr>
      <w:r>
        <w:rPr>
          <w:rFonts w:ascii="Arial" w:cs="Arial" w:eastAsia="Arial" w:hAnsi="Arial"/>
          <w:color w:val="444444"/>
          <w:sz w:val="21"/>
          <w:szCs w:val="21"/>
        </w:rPr>
        <w:t xml:space="preserve">WebArena / VisualWebArena: Simulated web environments with real-looking applications where agents must navigate, search, fill forms, and extract information. Trajectories from capable agents in these environments form training data for weaker agents.</w:t>
      </w:r>
    </w:p>
    <w:p>
      <w:pPr>
        <w:pStyle w:val="ListParagraph"/>
        <w:numPr>
          <w:ilvl w:val="0"/>
          <w:numId w:val="2"/>
        </w:numPr>
        <w:spacing w:before="40" w:after="60"/>
      </w:pPr>
      <w:r>
        <w:rPr>
          <w:rFonts w:ascii="Arial" w:cs="Arial" w:eastAsia="Arial" w:hAnsi="Arial"/>
          <w:color w:val="444444"/>
          <w:sz w:val="21"/>
          <w:szCs w:val="21"/>
        </w:rPr>
        <w:t xml:space="preserve">OSWorld: A computer desktop environment where agents must operate GUI applications. The multimodal observation stream (screenshots + accessibility trees) requires specialized data collection pipelines.</w:t>
      </w:r>
    </w:p>
    <w:p>
      <w:pPr>
        <w:pStyle w:val="ListParagraph"/>
        <w:numPr>
          <w:ilvl w:val="0"/>
          <w:numId w:val="2"/>
        </w:numPr>
        <w:spacing w:before="40" w:after="60"/>
      </w:pPr>
      <w:r>
        <w:rPr>
          <w:rFonts w:ascii="Arial" w:cs="Arial" w:eastAsia="Arial" w:hAnsi="Arial"/>
          <w:color w:val="444444"/>
          <w:sz w:val="21"/>
          <w:szCs w:val="21"/>
        </w:rPr>
        <w:t xml:space="preserve">TheAgentCompany: A simulated software company environment with a full suite of enterprise tools (code repo, issue tracker, chat, calendar, document store). Tasks require multi-step coordination across tools, reflecting real workplace workflows.</w:t>
      </w:r>
    </w:p>
    <w:p>
      <w:pPr>
        <w:pStyle w:val="ListParagraph"/>
        <w:numPr>
          <w:ilvl w:val="0"/>
          <w:numId w:val="2"/>
        </w:numPr>
        <w:spacing w:before="40" w:after="60"/>
      </w:pPr>
      <w:r>
        <w:rPr>
          <w:rFonts w:ascii="Arial" w:cs="Arial" w:eastAsia="Arial" w:hAnsi="Arial"/>
          <w:color w:val="444444"/>
          <w:sz w:val="21"/>
          <w:szCs w:val="21"/>
        </w:rPr>
        <w:t xml:space="preserve">WorkArena / WorkArena++: Enterprise software simulation (ServiceNow) with complex multi-step office tasks.</w:t>
      </w:r>
    </w:p>
    <w:p>
      <w:pPr>
        <w:spacing w:before="80" w:after="140" w:line="280"/>
        <w:jc w:val="both"/>
      </w:pPr>
      <w:r>
        <w:rPr>
          <w:rFonts w:ascii="Arial" w:cs="Arial" w:eastAsia="Arial" w:hAnsi="Arial"/>
          <w:color w:val="444444"/>
          <w:sz w:val="21"/>
          <w:szCs w:val="21"/>
        </w:rPr>
        <w:t xml:space="preserve">In all these settings, successful agent trajectories — collected from capable frontier models or carefully scripted expert demonstrations — serve as the primary training data source, supplemented by failure trajectory analysis and preference labeling.</w:t>
      </w:r>
    </w:p>
    <w:p>
      <w:pPr>
        <w:pStyle w:val="Heading2"/>
        <w:spacing w:before="320" w:after="120"/>
      </w:pPr>
      <w:r>
        <w:rPr>
          <w:rFonts w:ascii="Arial" w:cs="Arial" w:eastAsia="Arial" w:hAnsi="Arial"/>
          <w:b/>
          <w:bCs/>
          <w:color w:val="1B6CA8"/>
          <w:sz w:val="26"/>
          <w:szCs w:val="26"/>
        </w:rPr>
        <w:t xml:space="preserve">7.4 Hierarchical Task Decomposition</w:t>
      </w:r>
    </w:p>
    <w:p>
      <w:pPr>
        <w:spacing w:before="80" w:after="140" w:line="280"/>
        <w:jc w:val="both"/>
      </w:pPr>
      <w:r>
        <w:rPr>
          <w:rFonts w:ascii="Arial" w:cs="Arial" w:eastAsia="Arial" w:hAnsi="Arial"/>
          <w:color w:val="444444"/>
          <w:sz w:val="21"/>
          <w:szCs w:val="21"/>
        </w:rPr>
        <w:t xml:space="preserve">Long-horizon tasks benefit from hierarchical decomposition: a high-level planner breaks the task into sub-tasks, each of which is handled by a specialist or a separate planning step. Synthetic data for this capability requires demonstrations where the model explicitly articulates the task hierarchy, maintains a plan state, and updates it as sub-tasks complete or fail.</w:t>
      </w:r>
    </w:p>
    <w:p>
      <w:pPr>
        <w:spacing w:before="80" w:after="140" w:line="280"/>
        <w:jc w:val="both"/>
      </w:pPr>
      <w:r>
        <w:rPr>
          <w:rFonts w:ascii="Arial" w:cs="Arial" w:eastAsia="Arial" w:hAnsi="Arial"/>
          <w:color w:val="444444"/>
          <w:sz w:val="21"/>
          <w:szCs w:val="21"/>
        </w:rPr>
        <w:t xml:space="preserve">MetaGPT and similar multi-agent orchestration systems produce datasets where different agents (product manager, architect, engineer, QA) interact in structured workflows. These interaction logs, when filtered for successful task completions, provide high-quality training data for orchestration-level reasoning.</w:t>
      </w:r>
    </w:p>
    <w:p>
      <w:pPr>
        <w:pStyle w:val="Heading2"/>
        <w:spacing w:before="320" w:after="120"/>
      </w:pPr>
      <w:r>
        <w:rPr>
          <w:rFonts w:ascii="Arial" w:cs="Arial" w:eastAsia="Arial" w:hAnsi="Arial"/>
          <w:b/>
          <w:bCs/>
          <w:color w:val="1B6CA8"/>
          <w:sz w:val="26"/>
          <w:szCs w:val="26"/>
        </w:rPr>
        <w:t xml:space="preserve">7.5 The Atomic-to-Compositional Gap</w:t>
      </w:r>
    </w:p>
    <w:p>
      <w:pPr>
        <w:spacing w:before="80" w:after="140" w:line="280"/>
        <w:jc w:val="both"/>
      </w:pPr>
      <w:r>
        <w:rPr>
          <w:rFonts w:ascii="Arial" w:cs="Arial" w:eastAsia="Arial" w:hAnsi="Arial"/>
          <w:color w:val="444444"/>
          <w:sz w:val="21"/>
          <w:szCs w:val="21"/>
        </w:rPr>
        <w:t xml:space="preserve">A persistent finding is that agents that perform well on atomic tasks frequently fail when those tasks are combined into compositional workflows. The ODYSSEYBENCH finding (2025) characterizes this: existing synthetic data generation methods primarily yield atomic tasks, lacking the sustained interactions and long-term context essential for realistic workflows. Addressing this gap requires synthetic data that:</w:t>
      </w:r>
    </w:p>
    <w:p>
      <w:pPr>
        <w:pStyle w:val="ListParagraph"/>
        <w:numPr>
          <w:ilvl w:val="0"/>
          <w:numId w:val="2"/>
        </w:numPr>
        <w:spacing w:before="40" w:after="60"/>
      </w:pPr>
      <w:r>
        <w:rPr>
          <w:rFonts w:ascii="Arial" w:cs="Arial" w:eastAsia="Arial" w:hAnsi="Arial"/>
          <w:color w:val="444444"/>
          <w:sz w:val="21"/>
          <w:szCs w:val="21"/>
        </w:rPr>
        <w:t xml:space="preserve">Includes explicit context dependencies between task steps (step N's output is step N+1's input)</w:t>
      </w:r>
    </w:p>
    <w:p>
      <w:pPr>
        <w:pStyle w:val="ListParagraph"/>
        <w:numPr>
          <w:ilvl w:val="0"/>
          <w:numId w:val="2"/>
        </w:numPr>
        <w:spacing w:before="40" w:after="60"/>
      </w:pPr>
      <w:r>
        <w:rPr>
          <w:rFonts w:ascii="Arial" w:cs="Arial" w:eastAsia="Arial" w:hAnsi="Arial"/>
          <w:color w:val="444444"/>
          <w:sz w:val="21"/>
          <w:szCs w:val="21"/>
        </w:rPr>
        <w:t xml:space="preserve">Models realistic interruptions, failures, and replanning events</w:t>
      </w:r>
    </w:p>
    <w:p>
      <w:pPr>
        <w:pStyle w:val="ListParagraph"/>
        <w:numPr>
          <w:ilvl w:val="0"/>
          <w:numId w:val="2"/>
        </w:numPr>
        <w:spacing w:before="40" w:after="60"/>
      </w:pPr>
      <w:r>
        <w:rPr>
          <w:rFonts w:ascii="Arial" w:cs="Arial" w:eastAsia="Arial" w:hAnsi="Arial"/>
          <w:color w:val="444444"/>
          <w:sz w:val="21"/>
          <w:szCs w:val="21"/>
        </w:rPr>
        <w:t xml:space="preserve">Covers diverse task sequences across application domains (calendar + email + document + code)</w:t>
      </w:r>
    </w:p>
    <w:p>
      <w:pPr>
        <w:pStyle w:val="ListParagraph"/>
        <w:numPr>
          <w:ilvl w:val="0"/>
          <w:numId w:val="2"/>
        </w:numPr>
        <w:spacing w:before="40" w:after="60"/>
      </w:pPr>
      <w:r>
        <w:rPr>
          <w:rFonts w:ascii="Arial" w:cs="Arial" w:eastAsia="Arial" w:hAnsi="Arial"/>
          <w:color w:val="444444"/>
          <w:sz w:val="21"/>
          <w:szCs w:val="21"/>
        </w:rPr>
        <w:t xml:space="preserve">Provides process-level supervision (not just final task success/failure)</w:t>
      </w:r>
    </w:p>
    <w:p>
      <w:r>
        <w:br w:type="page"/>
      </w:r>
    </w:p>
    <w:p>
      <w:pPr>
        <w:pStyle w:val="Heading1"/>
        <w:pBdr>
          <w:bottom w:val="single" w:color="2E5FAC" w:sz="4" w:space="6"/>
        </w:pBdr>
        <w:spacing w:before="480" w:after="180"/>
      </w:pPr>
      <w:r>
        <w:rPr>
          <w:rFonts w:ascii="Arial" w:cs="Arial" w:eastAsia="Arial" w:hAnsi="Arial"/>
          <w:b/>
          <w:bCs/>
          <w:color w:val="1F3864"/>
          <w:sz w:val="32"/>
          <w:szCs w:val="32"/>
        </w:rPr>
        <w:t xml:space="preserve">8. Multimodal Model and Agent Training</w:t>
      </w:r>
    </w:p>
    <w:p>
      <w:pPr>
        <w:pStyle w:val="Heading2"/>
        <w:spacing w:before="320" w:after="120"/>
      </w:pPr>
      <w:r>
        <w:rPr>
          <w:rFonts w:ascii="Arial" w:cs="Arial" w:eastAsia="Arial" w:hAnsi="Arial"/>
          <w:b/>
          <w:bCs/>
          <w:color w:val="1B6CA8"/>
          <w:sz w:val="26"/>
          <w:szCs w:val="26"/>
        </w:rPr>
        <w:t xml:space="preserve">8.1 Synthetic Data for VLMs</w:t>
      </w:r>
    </w:p>
    <w:p>
      <w:pPr>
        <w:spacing w:before="80" w:after="140" w:line="280"/>
        <w:jc w:val="both"/>
      </w:pPr>
      <w:r>
        <w:rPr>
          <w:rFonts w:ascii="Arial" w:cs="Arial" w:eastAsia="Arial" w:hAnsi="Arial"/>
          <w:color w:val="444444"/>
          <w:sz w:val="21"/>
          <w:szCs w:val="21"/>
        </w:rPr>
        <w:t xml:space="preserve">Vision-Language Models (VLMs) require synthetic data across multiple dimensions: image-text alignment (what does this image show?), visual reasoning (what is happening and why?), grounding (where in the image is object X?), multi-image reasoning, chart and document understanding, GUI navigation, and embodied action control. Each dimension requires specialized data generation strategies.</w:t>
      </w:r>
    </w:p>
    <w:p>
      <w:pPr>
        <w:pStyle w:val="Heading2"/>
        <w:spacing w:before="320" w:after="120"/>
      </w:pPr>
      <w:r>
        <w:rPr>
          <w:rFonts w:ascii="Arial" w:cs="Arial" w:eastAsia="Arial" w:hAnsi="Arial"/>
          <w:b/>
          <w:bCs/>
          <w:color w:val="1B6CA8"/>
          <w:sz w:val="26"/>
          <w:szCs w:val="26"/>
        </w:rPr>
        <w:t xml:space="preserve">8.2 Visual Instruction Tuning</w:t>
      </w:r>
    </w:p>
    <w:p>
      <w:pPr>
        <w:spacing w:before="80" w:after="140" w:line="280"/>
        <w:jc w:val="both"/>
      </w:pPr>
      <w:r>
        <w:rPr>
          <w:rFonts w:ascii="Arial" w:cs="Arial" w:eastAsia="Arial" w:hAnsi="Arial"/>
          <w:color w:val="444444"/>
          <w:sz w:val="21"/>
          <w:szCs w:val="21"/>
        </w:rPr>
        <w:t xml:space="preserve">LLaVA (2023) established the paradigm of using GPT-4 to generate detailed visual question-answering data from image captions and object detection annotations. Given a caption and bounding boxes, GPT-4 is prompted to generate diverse instructions about the image content — detailed descriptions, abstract reasoning questions, complex visual relationship queries — without GPT-4 actually seeing the image. This scalable approach produced high-quality alignment data and remains influential.</w:t>
      </w:r>
    </w:p>
    <w:p>
      <w:pPr>
        <w:spacing w:before="80" w:after="140" w:line="280"/>
        <w:jc w:val="both"/>
      </w:pPr>
      <w:r>
        <w:rPr>
          <w:rFonts w:ascii="Arial" w:cs="Arial" w:eastAsia="Arial" w:hAnsi="Arial"/>
          <w:color w:val="444444"/>
          <w:sz w:val="21"/>
          <w:szCs w:val="21"/>
        </w:rPr>
        <w:t xml:space="preserve">LLaVA-1.5 and subsequent variants enriched this with academic task-specific data (VQA, OCR, chart understanding, science diagrams) to build more comprehensive VLM capabilities. The core principle — use text-only instruction generation models to produce visual instruction data grounded in image metadata — scales naturally to any domain with rich image captions.</w:t>
      </w:r>
    </w:p>
    <w:p>
      <w:pPr>
        <w:pStyle w:val="Heading2"/>
        <w:spacing w:before="320" w:after="120"/>
      </w:pPr>
      <w:r>
        <w:rPr>
          <w:rFonts w:ascii="Arial" w:cs="Arial" w:eastAsia="Arial" w:hAnsi="Arial"/>
          <w:b/>
          <w:bCs/>
          <w:color w:val="1B6CA8"/>
          <w:sz w:val="26"/>
          <w:szCs w:val="26"/>
        </w:rPr>
        <w:t xml:space="preserve">8.3 GUI and Computer Use Agents</w:t>
      </w:r>
    </w:p>
    <w:p>
      <w:pPr>
        <w:spacing w:before="80" w:after="140" w:line="280"/>
        <w:jc w:val="both"/>
      </w:pPr>
      <w:r>
        <w:rPr>
          <w:rFonts w:ascii="Arial" w:cs="Arial" w:eastAsia="Arial" w:hAnsi="Arial"/>
          <w:color w:val="444444"/>
          <w:sz w:val="21"/>
          <w:szCs w:val="21"/>
        </w:rPr>
        <w:t xml:space="preserve">GUI grounding — accurately identifying UI elements from screenshots and generating correct click/type/scroll actions — requires specialized synthetic data. The challenges include high diversity of application interfaces, the need for pixel-accurate coordinate prediction, and the difficulty of automatic verification (did the click actually achieve the intended state change?).</w:t>
      </w:r>
    </w:p>
    <w:p>
      <w:pPr>
        <w:spacing w:before="80" w:after="140" w:line="280"/>
        <w:jc w:val="both"/>
      </w:pPr>
      <w:r>
        <w:rPr>
          <w:rFonts w:ascii="Arial" w:cs="Arial" w:eastAsia="Arial" w:hAnsi="Arial"/>
          <w:color w:val="444444"/>
          <w:sz w:val="21"/>
          <w:szCs w:val="21"/>
        </w:rPr>
        <w:t xml:space="preserve">Approaches include: screen recording replay with interaction logging, synthetic UI generation with known element positions, LLM-based trajectory annotation of web screenshots (ScreenSpot, 2024), and translation of web accessibility trees into natural language task specifications.</w:t>
      </w:r>
    </w:p>
    <w:p>
      <w:pPr>
        <w:spacing w:before="80" w:after="140" w:line="280"/>
        <w:jc w:val="both"/>
      </w:pPr>
      <w:r>
        <w:rPr>
          <w:rFonts w:ascii="Arial" w:cs="Arial" w:eastAsia="Arial" w:hAnsi="Arial"/>
          <w:color w:val="444444"/>
          <w:sz w:val="21"/>
          <w:szCs w:val="21"/>
        </w:rPr>
        <w:t xml:space="preserve">AGUVIS (2024) proposes generating pure-vision agent training data: rather than relying on accessibility trees as auxiliary input, the agent learns to ground actions purely from screenshots. This requires synthetic data that densely covers diverse interface types, element sizes, and interaction patterns.</w:t>
      </w:r>
    </w:p>
    <w:p>
      <w:pPr>
        <w:pStyle w:val="Heading2"/>
        <w:spacing w:before="320" w:after="120"/>
      </w:pPr>
      <w:r>
        <w:rPr>
          <w:rFonts w:ascii="Arial" w:cs="Arial" w:eastAsia="Arial" w:hAnsi="Arial"/>
          <w:b/>
          <w:bCs/>
          <w:color w:val="1B6CA8"/>
          <w:sz w:val="26"/>
          <w:szCs w:val="26"/>
        </w:rPr>
        <w:t xml:space="preserve">8.4 RL in Synthetic Visual Environments</w:t>
      </w:r>
    </w:p>
    <w:p>
      <w:pPr>
        <w:spacing w:before="80" w:after="140" w:line="280"/>
        <w:jc w:val="both"/>
      </w:pPr>
      <w:r>
        <w:rPr>
          <w:rFonts w:ascii="Arial" w:cs="Arial" w:eastAsia="Arial" w:hAnsi="Arial"/>
          <w:color w:val="444444"/>
          <w:sz w:val="21"/>
          <w:szCs w:val="21"/>
        </w:rPr>
        <w:t xml:space="preserve">VL-DAC (2025) demonstrates a new paradigm: train VLM agents using PPO entirely within cheap synthetic simulation environments (MiniWorld, Gym-Cards, ALFWorld, WebShop), then evaluate on real-world benchmarks. Training in synthetic worlds provides dense reward signals unavailable in the real world. The approach yielded +50% relative improvement on BALROG (game-centric agentic control) without any degradation in general image understanding. The key to successful sim-to-real transfer is using simulations that share structural patterns (object navigation, sequential interaction, partial observability) with the target real-world tasks.</w:t>
      </w:r>
    </w:p>
    <w:p>
      <w:pPr>
        <w:pStyle w:val="Heading2"/>
        <w:spacing w:before="320" w:after="120"/>
      </w:pPr>
      <w:r>
        <w:rPr>
          <w:rFonts w:ascii="Arial" w:cs="Arial" w:eastAsia="Arial" w:hAnsi="Arial"/>
          <w:b/>
          <w:bCs/>
          <w:color w:val="1B6CA8"/>
          <w:sz w:val="26"/>
          <w:szCs w:val="26"/>
        </w:rPr>
        <w:t xml:space="preserve">8.5 Embodied and Robotic Agents</w:t>
      </w:r>
    </w:p>
    <w:p>
      <w:pPr>
        <w:spacing w:before="80" w:after="140" w:line="280"/>
        <w:jc w:val="both"/>
      </w:pPr>
      <w:r>
        <w:rPr>
          <w:rFonts w:ascii="Arial" w:cs="Arial" w:eastAsia="Arial" w:hAnsi="Arial"/>
          <w:color w:val="444444"/>
          <w:sz w:val="21"/>
          <w:szCs w:val="21"/>
        </w:rPr>
        <w:t xml:space="preserve">Vision-Language-Action (VLA) models extend VLMs to robotic manipulation by predicting continuous action sequences from visual observations and language instructions. Synthetic data for VLA training comes from: (1) physics simulation (IsaacGym, Mujoco) with photorealistic rendering; (2) real robot demonstration recording with action labeling; (3) video prediction models that generate plausible action consequences; and (4) diffusion-based data augmentation that varies scene appearance while preserving action labels.</w:t>
      </w:r>
    </w:p>
    <w:p>
      <w:pPr>
        <w:spacing w:before="80" w:after="140" w:line="280"/>
        <w:jc w:val="both"/>
      </w:pPr>
      <w:r>
        <w:rPr>
          <w:rFonts w:ascii="Arial" w:cs="Arial" w:eastAsia="Arial" w:hAnsi="Arial"/>
          <w:color w:val="444444"/>
          <w:sz w:val="21"/>
          <w:szCs w:val="21"/>
        </w:rPr>
        <w:t xml:space="preserve">UniSim addresses data scarcity for embodied agents by generating photorealistic simulation scenarios including occluded objects and unusual configurations — the long-tail scenarios most needed for robust training. OpenVLA's 7B parameter model, trained on 970K real robot demonstrations, demonstrates the scale needed for general manipulation policies.</w:t>
      </w:r>
    </w:p>
    <w:p>
      <w:pPr>
        <w:pStyle w:val="Heading2"/>
        <w:spacing w:before="320" w:after="120"/>
      </w:pPr>
      <w:r>
        <w:rPr>
          <w:rFonts w:ascii="Arial" w:cs="Arial" w:eastAsia="Arial" w:hAnsi="Arial"/>
          <w:b/>
          <w:bCs/>
          <w:color w:val="1B6CA8"/>
          <w:sz w:val="26"/>
          <w:szCs w:val="26"/>
        </w:rPr>
        <w:t xml:space="preserve">8.6 Multimodal Reasoning Synthetic Data</w:t>
      </w:r>
    </w:p>
    <w:p>
      <w:pPr>
        <w:spacing w:before="80" w:after="140" w:line="280"/>
        <w:jc w:val="both"/>
      </w:pPr>
      <w:r>
        <w:rPr>
          <w:rFonts w:ascii="Arial" w:cs="Arial" w:eastAsia="Arial" w:hAnsi="Arial"/>
          <w:color w:val="444444"/>
          <w:sz w:val="21"/>
          <w:szCs w:val="21"/>
        </w:rPr>
        <w:t xml:space="preserve">For multimodal reasoning (solving problems that require jointly interpreting image content and applying domain knowledge), synthetic data is generated by: taking existing math or science problem datasets, generating relevant diagrams or charts programmatically, and constructing multi-modal CoT traces that explicitly reference visual elements. The TRIG framework (2025) builds a 90% synthetic training dataset for visual text grounding in document images using an OCR-LLM-human interaction pipeline.</w:t>
      </w:r>
    </w:p>
    <w:p>
      <w:pPr>
        <w:pBdr>
          <w:left w:val="thick" w:color="2E5FAC" w:sz="12" w:space="10"/>
        </w:pBdr>
        <w:shd w:fill="D6E4F7" w:val="clear"/>
        <w:spacing w:before="120" w:after="120" w:line="280"/>
        <w:ind w:left="360" w:right="360"/>
      </w:pPr>
      <w:r>
        <w:rPr>
          <w:rFonts w:ascii="Arial" w:cs="Arial" w:eastAsia="Arial" w:hAnsi="Arial"/>
          <w:i/>
          <w:iCs/>
          <w:color w:val="1F3864"/>
          <w:sz w:val="21"/>
          <w:szCs w:val="21"/>
        </w:rPr>
        <w:t xml:space="preserve">Emerging challenge: Multi-modal synthetic data must maintain information balance between visual and language modalities. Research on VLM model collapse (2025) shows that purely increasing data variance does not prevent collapse — a balanced bias-variance trade-off, measured by FID (images) and BLEU-4 (captions), is required for synthetic data robustness across generations.</w:t>
      </w:r>
    </w:p>
    <w:p>
      <w:r>
        <w:br w:type="page"/>
      </w:r>
    </w:p>
    <w:p>
      <w:pPr>
        <w:pStyle w:val="Heading1"/>
        <w:pBdr>
          <w:bottom w:val="single" w:color="2E5FAC" w:sz="4" w:space="6"/>
        </w:pBdr>
        <w:spacing w:before="480" w:after="180"/>
      </w:pPr>
      <w:r>
        <w:rPr>
          <w:rFonts w:ascii="Arial" w:cs="Arial" w:eastAsia="Arial" w:hAnsi="Arial"/>
          <w:b/>
          <w:bCs/>
          <w:color w:val="1F3864"/>
          <w:sz w:val="32"/>
          <w:szCs w:val="32"/>
        </w:rPr>
        <w:t xml:space="preserve">9. Reinforcement Learning with Verifiable Rewards (RLVR)</w:t>
      </w:r>
    </w:p>
    <w:p>
      <w:pPr>
        <w:pStyle w:val="Heading2"/>
        <w:spacing w:before="320" w:after="120"/>
      </w:pPr>
      <w:r>
        <w:rPr>
          <w:rFonts w:ascii="Arial" w:cs="Arial" w:eastAsia="Arial" w:hAnsi="Arial"/>
          <w:b/>
          <w:bCs/>
          <w:color w:val="1B6CA8"/>
          <w:sz w:val="26"/>
          <w:szCs w:val="26"/>
        </w:rPr>
        <w:t xml:space="preserve">9.1 The RLVR Paradigm</w:t>
      </w:r>
    </w:p>
    <w:p>
      <w:pPr>
        <w:spacing w:before="80" w:after="140" w:line="280"/>
        <w:jc w:val="both"/>
      </w:pPr>
      <w:r>
        <w:rPr>
          <w:rFonts w:ascii="Arial" w:cs="Arial" w:eastAsia="Arial" w:hAnsi="Arial"/>
          <w:color w:val="444444"/>
          <w:sz w:val="21"/>
          <w:szCs w:val="21"/>
        </w:rPr>
        <w:t xml:space="preserve">RLVR has emerged as the dominant post-training paradigm for capabilities that can be automatically verified. Rather than requiring human feedback (RLHF) or distillation from a stronger model, RLVR trains the model by having it attempt many solutions to verifiable problems and learn from the correctness signal. This approach is highly scalable because verifiable problems — math problems with unique numerical answers, code tasks with test suites — are abundant and generating more requires only problem synthesis, not annotation.</w:t>
      </w:r>
    </w:p>
    <w:p>
      <w:pPr>
        <w:spacing w:before="80" w:after="140" w:line="280"/>
        <w:jc w:val="both"/>
      </w:pPr>
      <w:r>
        <w:rPr>
          <w:rFonts w:ascii="Arial" w:cs="Arial" w:eastAsia="Arial" w:hAnsi="Arial"/>
          <w:color w:val="444444"/>
          <w:sz w:val="21"/>
          <w:szCs w:val="21"/>
        </w:rPr>
        <w:t xml:space="preserve">DeepSeek-R1 demonstrated that RLVR from base model weights, using only binary correct/incorrect rewards on math and code problems, produces emergent reasoning behaviors (self-verification, backtracking, strategy switching) that were not explicitly trained. This 'aha moment' showed that the reasoning patterns in o1-style models are learnable behaviors that emerge from the right RL signal, not pre-programmed procedures.</w:t>
      </w:r>
    </w:p>
    <w:p>
      <w:pPr>
        <w:pStyle w:val="Heading2"/>
        <w:spacing w:before="320" w:after="120"/>
      </w:pPr>
      <w:r>
        <w:rPr>
          <w:rFonts w:ascii="Arial" w:cs="Arial" w:eastAsia="Arial" w:hAnsi="Arial"/>
          <w:b/>
          <w:bCs/>
          <w:color w:val="1B6CA8"/>
          <w:sz w:val="26"/>
          <w:szCs w:val="26"/>
        </w:rPr>
        <w:t xml:space="preserve">9.2 Algorithmic Variants</w:t>
      </w:r>
    </w:p>
    <w:p>
      <w:pPr>
        <w:spacing w:before="80" w:after="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800"/>
        <w:gridCol w:w="1760"/>
      </w:tblGrid>
      <w:tr>
        <w:trPr>
          <w:tblHeader/>
        </w:trPr>
        <w:tc>
          <w:tcPr>
            <w:tcW w:type="dxa" w:w="2000"/>
            <w:tcBorders>
              <w:top w:val="single" w:color="BBCCDD" w:sz="1"/>
              <w:left w:val="single" w:color="BBCCDD" w:sz="1"/>
              <w:bottom w:val="single" w:color="BBCCDD" w:sz="1"/>
              <w:right w:val="single" w:color="BBCCD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2800"/>
            <w:tcBorders>
              <w:top w:val="single" w:color="BBCCDD" w:sz="1"/>
              <w:left w:val="single" w:color="BBCCDD" w:sz="1"/>
              <w:bottom w:val="single" w:color="BBCCDD" w:sz="1"/>
              <w:right w:val="single" w:color="BBCCD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Idea</w:t>
            </w:r>
          </w:p>
        </w:tc>
        <w:tc>
          <w:tcPr>
            <w:tcW w:type="dxa" w:w="1800"/>
            <w:tcBorders>
              <w:top w:val="single" w:color="BBCCDD" w:sz="1"/>
              <w:left w:val="single" w:color="BBCCDD" w:sz="1"/>
              <w:bottom w:val="single" w:color="BBCCDD" w:sz="1"/>
              <w:right w:val="single" w:color="BBCCD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Used In</w:t>
            </w:r>
          </w:p>
        </w:tc>
        <w:tc>
          <w:tcPr>
            <w:tcW w:type="dxa" w:w="1760"/>
            <w:tcBorders>
              <w:top w:val="single" w:color="BBCCDD" w:sz="1"/>
              <w:left w:val="single" w:color="BBCCDD" w:sz="1"/>
              <w:bottom w:val="single" w:color="BBCCDD" w:sz="1"/>
              <w:right w:val="single" w:color="BBCCD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PPO (Schulman et al.)</w:t>
            </w:r>
          </w:p>
        </w:tc>
        <w:tc>
          <w:tcPr>
            <w:tcW w:type="dxa" w:w="2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Policy gradient with clipped surrogate objective + value baseline</w:t>
            </w:r>
          </w:p>
        </w:tc>
        <w:tc>
          <w:tcPr>
            <w:tcW w:type="dxa" w:w="1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RLHF, VL-DAC</w:t>
            </w:r>
          </w:p>
        </w:tc>
        <w:tc>
          <w:tcPr>
            <w:tcW w:type="dxa" w:w="176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Requires separate critic/value model</w:t>
            </w:r>
          </w:p>
        </w:tc>
      </w:tr>
      <w:tr>
        <w:tc>
          <w:tcPr>
            <w:tcW w:type="dxa" w:w="20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GRPO (DeepSeekMath)</w:t>
            </w:r>
          </w:p>
        </w:tc>
        <w:tc>
          <w:tcPr>
            <w:tcW w:type="dxa" w:w="28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Group-normalized rewards without value model</w:t>
            </w:r>
          </w:p>
        </w:tc>
        <w:tc>
          <w:tcPr>
            <w:tcW w:type="dxa" w:w="18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DeepSeek-R1, R1-Zero</w:t>
            </w:r>
          </w:p>
        </w:tc>
        <w:tc>
          <w:tcPr>
            <w:tcW w:type="dxa" w:w="176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Memory-efficient PPO variant</w:t>
            </w:r>
          </w:p>
        </w:tc>
      </w:tr>
      <w:tr>
        <w:tc>
          <w:tcPr>
            <w:tcW w:type="dxa" w:w="2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DPO (Rafailov et al.)</w:t>
            </w:r>
          </w:p>
        </w:tc>
        <w:tc>
          <w:tcPr>
            <w:tcW w:type="dxa" w:w="2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Direct optimization from preference pairs, no RL loop</w:t>
            </w:r>
          </w:p>
        </w:tc>
        <w:tc>
          <w:tcPr>
            <w:tcW w:type="dxa" w:w="1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Wide post-training use</w:t>
            </w:r>
          </w:p>
        </w:tc>
        <w:tc>
          <w:tcPr>
            <w:tcW w:type="dxa" w:w="176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Simpler but requires preference data</w:t>
            </w:r>
          </w:p>
        </w:tc>
      </w:tr>
      <w:tr>
        <w:tc>
          <w:tcPr>
            <w:tcW w:type="dxa" w:w="20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SPIN (self-play)</w:t>
            </w:r>
          </w:p>
        </w:tc>
        <w:tc>
          <w:tcPr>
            <w:tcW w:type="dxa" w:w="28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Contrast model outputs vs human data via DPO</w:t>
            </w:r>
          </w:p>
        </w:tc>
        <w:tc>
          <w:tcPr>
            <w:tcW w:type="dxa" w:w="18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General alignment</w:t>
            </w:r>
          </w:p>
        </w:tc>
        <w:tc>
          <w:tcPr>
            <w:tcW w:type="dxa" w:w="176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Iterative self-improvement</w:t>
            </w:r>
          </w:p>
        </w:tc>
      </w:tr>
      <w:tr>
        <w:tc>
          <w:tcPr>
            <w:tcW w:type="dxa" w:w="2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RLVR / REINFORCE variants</w:t>
            </w:r>
          </w:p>
        </w:tc>
        <w:tc>
          <w:tcPr>
            <w:tcW w:type="dxa" w:w="2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Binary verifiable rewards for math/code</w:t>
            </w:r>
          </w:p>
        </w:tc>
        <w:tc>
          <w:tcPr>
            <w:tcW w:type="dxa" w:w="1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Open reasoning models</w:t>
            </w:r>
          </w:p>
        </w:tc>
        <w:tc>
          <w:tcPr>
            <w:tcW w:type="dxa" w:w="176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No reward model needed</w:t>
            </w:r>
          </w:p>
        </w:tc>
      </w:tr>
    </w:tbl>
    <w:p>
      <w:pPr>
        <w:spacing w:before="160" w:after="0"/>
      </w:pPr>
      <w:r>
        <w:t xml:space="preserve"/>
      </w:r>
    </w:p>
    <w:p>
      <w:pPr>
        <w:pStyle w:val="Heading2"/>
        <w:spacing w:before="320" w:after="120"/>
      </w:pPr>
      <w:r>
        <w:rPr>
          <w:rFonts w:ascii="Arial" w:cs="Arial" w:eastAsia="Arial" w:hAnsi="Arial"/>
          <w:b/>
          <w:bCs/>
          <w:color w:val="1B6CA8"/>
          <w:sz w:val="26"/>
          <w:szCs w:val="26"/>
        </w:rPr>
        <w:t xml:space="preserve">9.3 Synthetic Problem Generation for RLVR</w:t>
      </w:r>
    </w:p>
    <w:p>
      <w:pPr>
        <w:spacing w:before="80" w:after="140" w:line="280"/>
        <w:jc w:val="both"/>
      </w:pPr>
      <w:r>
        <w:rPr>
          <w:rFonts w:ascii="Arial" w:cs="Arial" w:eastAsia="Arial" w:hAnsi="Arial"/>
          <w:color w:val="444444"/>
          <w:sz w:val="21"/>
          <w:szCs w:val="21"/>
        </w:rPr>
        <w:t xml:space="preserve">The bottleneck in RLVR training is not compute but the availability of diverse, appropriately difficult, verifiable problems. Creating these synthetically requires:</w:t>
      </w:r>
    </w:p>
    <w:p>
      <w:pPr>
        <w:pStyle w:val="ListParagraph"/>
        <w:numPr>
          <w:ilvl w:val="0"/>
          <w:numId w:val="2"/>
        </w:numPr>
        <w:spacing w:before="40" w:after="60"/>
      </w:pPr>
      <w:r>
        <w:rPr>
          <w:rFonts w:ascii="Arial" w:cs="Arial" w:eastAsia="Arial" w:hAnsi="Arial"/>
          <w:color w:val="444444"/>
          <w:sz w:val="21"/>
          <w:szCs w:val="21"/>
        </w:rPr>
        <w:t xml:space="preserve">Problem generation at target difficulty: Problems must be hard enough that the base model cannot solve them trivially, but not so hard that successful solutions are never sampled. A ~50% success rate under test-time sampling is often optimal.</w:t>
      </w:r>
    </w:p>
    <w:p>
      <w:pPr>
        <w:pStyle w:val="ListParagraph"/>
        <w:numPr>
          <w:ilvl w:val="0"/>
          <w:numId w:val="2"/>
        </w:numPr>
        <w:spacing w:before="40" w:after="60"/>
      </w:pPr>
      <w:r>
        <w:rPr>
          <w:rFonts w:ascii="Arial" w:cs="Arial" w:eastAsia="Arial" w:hAnsi="Arial"/>
          <w:color w:val="444444"/>
          <w:sz w:val="21"/>
          <w:szCs w:val="21"/>
        </w:rPr>
        <w:t xml:space="preserve">Verifier construction: For new problem types, building reliable automatic verifiers is non-trivial. Symbolic math verifiers (math-verify library), code execution sandboxes, and formal proof checkers each cover different problem classes.</w:t>
      </w:r>
    </w:p>
    <w:p>
      <w:pPr>
        <w:pStyle w:val="ListParagraph"/>
        <w:numPr>
          <w:ilvl w:val="0"/>
          <w:numId w:val="2"/>
        </w:numPr>
        <w:spacing w:before="40" w:after="60"/>
      </w:pPr>
      <w:r>
        <w:rPr>
          <w:rFonts w:ascii="Arial" w:cs="Arial" w:eastAsia="Arial" w:hAnsi="Arial"/>
          <w:color w:val="444444"/>
          <w:sz w:val="21"/>
          <w:szCs w:val="21"/>
        </w:rPr>
        <w:t xml:space="preserve">Bootstrapping novel domains: Extending RLVR beyond math and code to domains like scientific reasoning, information retrieval, and multi-step planning requires either new verifiable formats (MCQ with unique correct answers, retrieval with explicit relevance judgments) or LLM-based approximate verifiers.</w:t>
      </w:r>
    </w:p>
    <w:p>
      <w:pPr>
        <w:pStyle w:val="ListParagraph"/>
        <w:numPr>
          <w:ilvl w:val="0"/>
          <w:numId w:val="2"/>
        </w:numPr>
        <w:spacing w:before="40" w:after="60"/>
      </w:pPr>
      <w:r>
        <w:rPr>
          <w:rFonts w:ascii="Arial" w:cs="Arial" w:eastAsia="Arial" w:hAnsi="Arial"/>
          <w:color w:val="444444"/>
          <w:sz w:val="21"/>
          <w:szCs w:val="21"/>
        </w:rPr>
        <w:t xml:space="preserve">Curriculum design: The difficulty of training problems should increase as the model's capability grows. Adaptive curriculum learning, which tracks each problem's difficulty based on the model's rolling success rate, improves training efficiency.</w:t>
      </w:r>
    </w:p>
    <w:p>
      <w:pPr>
        <w:pStyle w:val="Heading2"/>
        <w:spacing w:before="320" w:after="120"/>
      </w:pPr>
      <w:r>
        <w:rPr>
          <w:rFonts w:ascii="Arial" w:cs="Arial" w:eastAsia="Arial" w:hAnsi="Arial"/>
          <w:b/>
          <w:bCs/>
          <w:color w:val="1B6CA8"/>
          <w:sz w:val="26"/>
          <w:szCs w:val="26"/>
        </w:rPr>
        <w:t xml:space="preserve">9.4 Agentic RL: Beyond Single-Step Verification</w:t>
      </w:r>
    </w:p>
    <w:p>
      <w:pPr>
        <w:spacing w:before="80" w:after="140" w:line="280"/>
        <w:jc w:val="both"/>
      </w:pPr>
      <w:r>
        <w:rPr>
          <w:rFonts w:ascii="Arial" w:cs="Arial" w:eastAsia="Arial" w:hAnsi="Arial"/>
          <w:color w:val="444444"/>
          <w:sz w:val="21"/>
          <w:szCs w:val="21"/>
        </w:rPr>
        <w:t xml:space="preserve">Tool-Star (2025) and related work extend RLVR to multi-turn tool-using agents. The verifier operates at the end of a multi-step trajectory rather than after a single generation. This introduces the credit assignment problem: which step in a long trajectory caused the failure? Techniques include step-level process reward models, hindsight instruction relabeling (treating partial successes as achievements of modified goals), and hierarchical reward decomposition.</w:t>
      </w:r>
    </w:p>
    <w:p>
      <w:pPr>
        <w:spacing w:before="80" w:after="140" w:line="280"/>
        <w:jc w:val="both"/>
      </w:pPr>
      <w:r>
        <w:rPr>
          <w:rFonts w:ascii="Arial" w:cs="Arial" w:eastAsia="Arial" w:hAnsi="Arial"/>
          <w:color w:val="444444"/>
          <w:sz w:val="21"/>
          <w:szCs w:val="21"/>
        </w:rPr>
        <w:t xml:space="preserve">The synthetic data component for agentic RL is the environment itself: a self-evolving data engine that dynamically designs new task workflows, generates verifiers for those workflows, and improves based on rollout failures. The iterative loop of failure → data generation → training → re-evaluation → harder failures is the structural innovation enabling scalable agentic RL.</w:t>
      </w:r>
    </w:p>
    <w:p>
      <w:r>
        <w:br w:type="page"/>
      </w:r>
    </w:p>
    <w:p>
      <w:pPr>
        <w:pStyle w:val="Heading1"/>
        <w:pBdr>
          <w:bottom w:val="single" w:color="2E5FAC" w:sz="4" w:space="6"/>
        </w:pBdr>
        <w:spacing w:before="480" w:after="180"/>
      </w:pPr>
      <w:r>
        <w:rPr>
          <w:rFonts w:ascii="Arial" w:cs="Arial" w:eastAsia="Arial" w:hAnsi="Arial"/>
          <w:b/>
          <w:bCs/>
          <w:color w:val="1F3864"/>
          <w:sz w:val="32"/>
          <w:szCs w:val="32"/>
        </w:rPr>
        <w:t xml:space="preserve">10. Data Quality, Diversity, and Failure Modes</w:t>
      </w:r>
    </w:p>
    <w:p>
      <w:pPr>
        <w:pStyle w:val="Heading2"/>
        <w:spacing w:before="320" w:after="120"/>
      </w:pPr>
      <w:r>
        <w:rPr>
          <w:rFonts w:ascii="Arial" w:cs="Arial" w:eastAsia="Arial" w:hAnsi="Arial"/>
          <w:b/>
          <w:bCs/>
          <w:color w:val="1B6CA8"/>
          <w:sz w:val="26"/>
          <w:szCs w:val="26"/>
        </w:rPr>
        <w:t xml:space="preserve">10.1 Quality Dimensions</w:t>
      </w:r>
    </w:p>
    <w:p>
      <w:pPr>
        <w:spacing w:before="80" w:after="140" w:line="280"/>
        <w:jc w:val="both"/>
      </w:pPr>
      <w:r>
        <w:rPr>
          <w:rFonts w:ascii="Arial" w:cs="Arial" w:eastAsia="Arial" w:hAnsi="Arial"/>
          <w:color w:val="444444"/>
          <w:sz w:val="21"/>
          <w:szCs w:val="21"/>
        </w:rPr>
        <w:t xml:space="preserve">Synthetic data quality is multi-dimensional. The relevant dimensions depend on the capability being trained, but a general framework includes:</w:t>
      </w:r>
    </w:p>
    <w:p>
      <w:pPr>
        <w:spacing w:before="80" w:after="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960"/>
      </w:tblGrid>
      <w:tr>
        <w:trPr>
          <w:tblHeader/>
        </w:trPr>
        <w:tc>
          <w:tcPr>
            <w:tcW w:type="dxa" w:w="2200"/>
            <w:tcBorders>
              <w:top w:val="single" w:color="BBCCDD" w:sz="1"/>
              <w:left w:val="single" w:color="BBCCDD" w:sz="1"/>
              <w:bottom w:val="single" w:color="BBCCDD" w:sz="1"/>
              <w:right w:val="single" w:color="BBCCD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Quality Dimension</w:t>
            </w:r>
          </w:p>
        </w:tc>
        <w:tc>
          <w:tcPr>
            <w:tcW w:type="dxa" w:w="3200"/>
            <w:tcBorders>
              <w:top w:val="single" w:color="BBCCDD" w:sz="1"/>
              <w:left w:val="single" w:color="BBCCDD" w:sz="1"/>
              <w:bottom w:val="single" w:color="BBCCDD" w:sz="1"/>
              <w:right w:val="single" w:color="BBCCD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960"/>
            <w:tcBorders>
              <w:top w:val="single" w:color="BBCCDD" w:sz="1"/>
              <w:left w:val="single" w:color="BBCCDD" w:sz="1"/>
              <w:bottom w:val="single" w:color="BBCCDD" w:sz="1"/>
              <w:right w:val="single" w:color="BBCCD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Measurement Approach</w:t>
            </w:r>
          </w:p>
        </w:tc>
      </w:tr>
      <w:tr>
        <w:tc>
          <w:tcPr>
            <w:tcW w:type="dxa" w:w="22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Factual Accuracy</w:t>
            </w:r>
          </w:p>
        </w:tc>
        <w:tc>
          <w:tcPr>
            <w:tcW w:type="dxa" w:w="32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Claims and solutions are factually correct</w:t>
            </w:r>
          </w:p>
        </w:tc>
        <w:tc>
          <w:tcPr>
            <w:tcW w:type="dxa" w:w="296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Execution verification; expert review; cross-checking against references</w:t>
            </w:r>
          </w:p>
        </w:tc>
      </w:tr>
      <w:tr>
        <w:tc>
          <w:tcPr>
            <w:tcW w:type="dxa" w:w="22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Format Compliance</w:t>
            </w:r>
          </w:p>
        </w:tc>
        <w:tc>
          <w:tcPr>
            <w:tcW w:type="dxa" w:w="32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Output format matches expected schema (JSON, function signature, etc.)</w:t>
            </w:r>
          </w:p>
        </w:tc>
        <w:tc>
          <w:tcPr>
            <w:tcW w:type="dxa" w:w="296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Regex / schema parsing; LLM format judge</w:t>
            </w:r>
          </w:p>
        </w:tc>
      </w:tr>
      <w:tr>
        <w:tc>
          <w:tcPr>
            <w:tcW w:type="dxa" w:w="22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Semantic Coherence</w:t>
            </w:r>
          </w:p>
        </w:tc>
        <w:tc>
          <w:tcPr>
            <w:tcW w:type="dxa" w:w="32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Instruction and response are semantically consistent</w:t>
            </w:r>
          </w:p>
        </w:tc>
        <w:tc>
          <w:tcPr>
            <w:tcW w:type="dxa" w:w="296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LLM coherence judge; human spot check</w:t>
            </w:r>
          </w:p>
        </w:tc>
      </w:tr>
      <w:tr>
        <w:tc>
          <w:tcPr>
            <w:tcW w:type="dxa" w:w="22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Reasoning Validity</w:t>
            </w:r>
          </w:p>
        </w:tc>
        <w:tc>
          <w:tcPr>
            <w:tcW w:type="dxa" w:w="32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Intermediate reasoning steps genuinely support conclusions</w:t>
            </w:r>
          </w:p>
        </w:tc>
        <w:tc>
          <w:tcPr>
            <w:tcW w:type="dxa" w:w="296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Process reward model scoring; proof checking</w:t>
            </w:r>
          </w:p>
        </w:tc>
      </w:tr>
      <w:tr>
        <w:tc>
          <w:tcPr>
            <w:tcW w:type="dxa" w:w="22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Difficulty Calibration</w:t>
            </w:r>
          </w:p>
        </w:tc>
        <w:tc>
          <w:tcPr>
            <w:tcW w:type="dxa" w:w="32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Problems challenge the model at the right level</w:t>
            </w:r>
          </w:p>
        </w:tc>
        <w:tc>
          <w:tcPr>
            <w:tcW w:type="dxa" w:w="296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Sample pass rate monitoring; difficulty tiering</w:t>
            </w:r>
          </w:p>
        </w:tc>
      </w:tr>
      <w:tr>
        <w:tc>
          <w:tcPr>
            <w:tcW w:type="dxa" w:w="22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Diversity</w:t>
            </w:r>
          </w:p>
        </w:tc>
        <w:tc>
          <w:tcPr>
            <w:tcW w:type="dxa" w:w="32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Broad coverage of topics, styles, edge cases</w:t>
            </w:r>
          </w:p>
        </w:tc>
        <w:tc>
          <w:tcPr>
            <w:tcW w:type="dxa" w:w="296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Embedding cluster analysis; LLM cluster-agent metric</w:t>
            </w:r>
          </w:p>
        </w:tc>
      </w:tr>
      <w:tr>
        <w:tc>
          <w:tcPr>
            <w:tcW w:type="dxa" w:w="22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Non-contamination</w:t>
            </w:r>
          </w:p>
        </w:tc>
        <w:tc>
          <w:tcPr>
            <w:tcW w:type="dxa" w:w="32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Training data does not overlap with evaluation benchmarks</w:t>
            </w:r>
          </w:p>
        </w:tc>
        <w:tc>
          <w:tcPr>
            <w:tcW w:type="dxa" w:w="296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n-gram deduplication; embedding similarity filtering</w:t>
            </w:r>
          </w:p>
        </w:tc>
      </w:tr>
    </w:tbl>
    <w:p>
      <w:pPr>
        <w:spacing w:before="160" w:after="0"/>
      </w:pPr>
      <w:r>
        <w:t xml:space="preserve"/>
      </w:r>
    </w:p>
    <w:p>
      <w:pPr>
        <w:pStyle w:val="Heading2"/>
        <w:spacing w:before="320" w:after="120"/>
      </w:pPr>
      <w:r>
        <w:rPr>
          <w:rFonts w:ascii="Arial" w:cs="Arial" w:eastAsia="Arial" w:hAnsi="Arial"/>
          <w:b/>
          <w:bCs/>
          <w:color w:val="1B6CA8"/>
          <w:sz w:val="26"/>
          <w:szCs w:val="26"/>
        </w:rPr>
        <w:t xml:space="preserve">10.2 Model Collapse and Recursive Training Risks</w:t>
      </w:r>
    </w:p>
    <w:p>
      <w:pPr>
        <w:spacing w:before="80" w:after="140" w:line="280"/>
        <w:jc w:val="both"/>
      </w:pPr>
      <w:r>
        <w:rPr>
          <w:rFonts w:ascii="Arial" w:cs="Arial" w:eastAsia="Arial" w:hAnsi="Arial"/>
          <w:color w:val="444444"/>
          <w:sz w:val="21"/>
          <w:szCs w:val="21"/>
        </w:rPr>
        <w:t xml:space="preserve">A fundamental risk of iterative synthetic data generation is model collapse: when a model is trained on its own outputs, and the next model generates data for the following generation, diversity erodes and the distribution degenerates. Shumailov et al. (2024) showed this empirically in LLMs, finding that variance decreases monotonically across recursive fine-tuning generations.</w:t>
      </w:r>
    </w:p>
    <w:p>
      <w:pPr>
        <w:spacing w:before="80" w:after="140" w:line="280"/>
        <w:jc w:val="both"/>
      </w:pPr>
      <w:r>
        <w:rPr>
          <w:rFonts w:ascii="Arial" w:cs="Arial" w:eastAsia="Arial" w:hAnsi="Arial"/>
          <w:color w:val="444444"/>
          <w:sz w:val="21"/>
          <w:szCs w:val="21"/>
        </w:rPr>
        <w:t xml:space="preserve">Mitigation strategies include: always mixing synthetic data with real data (even small amounts of real data dramatically slow collapse), maintaining high decoding temperatures during synthetic generation, using quality-diversity objectives rather than pure quality filtering, and monitoring diversity metrics across training rounds.</w:t>
      </w:r>
    </w:p>
    <w:p>
      <w:pPr>
        <w:spacing w:before="80" w:after="140" w:line="280"/>
        <w:jc w:val="both"/>
      </w:pPr>
      <w:r>
        <w:rPr>
          <w:rFonts w:ascii="Arial" w:cs="Arial" w:eastAsia="Arial" w:hAnsi="Arial"/>
          <w:color w:val="444444"/>
          <w:sz w:val="21"/>
          <w:szCs w:val="21"/>
        </w:rPr>
        <w:t xml:space="preserve">For VLMs, the collapse dynamic differs: cross-modal information imbalance means variance can increase or decrease depending on modality. The bias-variance trade-off in generation (measured by FID for images and BLEU-4 for captions) is a better predictor of collapse than simple diversity metrics.</w:t>
      </w:r>
    </w:p>
    <w:p>
      <w:pPr>
        <w:pStyle w:val="Heading2"/>
        <w:spacing w:before="320" w:after="120"/>
      </w:pPr>
      <w:r>
        <w:rPr>
          <w:rFonts w:ascii="Arial" w:cs="Arial" w:eastAsia="Arial" w:hAnsi="Arial"/>
          <w:b/>
          <w:bCs/>
          <w:color w:val="1B6CA8"/>
          <w:sz w:val="26"/>
          <w:szCs w:val="26"/>
        </w:rPr>
        <w:t xml:space="preserve">10.3 Distribution Shift and Coverage Gaps</w:t>
      </w:r>
    </w:p>
    <w:p>
      <w:pPr>
        <w:spacing w:before="80" w:after="140" w:line="280"/>
        <w:jc w:val="both"/>
      </w:pPr>
      <w:r>
        <w:rPr>
          <w:rFonts w:ascii="Arial" w:cs="Arial" w:eastAsia="Arial" w:hAnsi="Arial"/>
          <w:color w:val="444444"/>
          <w:sz w:val="21"/>
          <w:szCs w:val="21"/>
        </w:rPr>
        <w:t xml:space="preserve">Synthetic data generated by LLMs reflects the biases of the generating model. If the generator overrepresents certain problem types (e.g., sorting algorithms in code, linear algebra in math), the trained model will similarly overfit to those types. Active coverage monitoring — tracking which parts of the problem space have received insufficient training examples — and targeted resynthesis for underrepresented areas are essential for robust generalization.</w:t>
      </w:r>
    </w:p>
    <w:p>
      <w:pPr>
        <w:spacing w:before="80" w:after="140" w:line="280"/>
        <w:jc w:val="both"/>
      </w:pPr>
      <w:r>
        <w:rPr>
          <w:rFonts w:ascii="Arial" w:cs="Arial" w:eastAsia="Arial" w:hAnsi="Arial"/>
          <w:color w:val="444444"/>
          <w:sz w:val="21"/>
          <w:szCs w:val="21"/>
        </w:rPr>
        <w:t xml:space="preserve">The Prismatic Synthesis approach (2025) addresses this through gradient-based data diversification: analyzing the training gradient signal to identify which data points the model is learning from most and least, then synthesizing new examples targeting the under-learned regions.</w:t>
      </w:r>
    </w:p>
    <w:p>
      <w:pPr>
        <w:pStyle w:val="Heading2"/>
        <w:spacing w:before="320" w:after="120"/>
      </w:pPr>
      <w:r>
        <w:rPr>
          <w:rFonts w:ascii="Arial" w:cs="Arial" w:eastAsia="Arial" w:hAnsi="Arial"/>
          <w:b/>
          <w:bCs/>
          <w:color w:val="1B6CA8"/>
          <w:sz w:val="26"/>
          <w:szCs w:val="26"/>
        </w:rPr>
        <w:t xml:space="preserve">10.4 Scaling Laws for Synthetic Data</w:t>
      </w:r>
    </w:p>
    <w:p>
      <w:pPr>
        <w:spacing w:before="80" w:after="140" w:line="280"/>
        <w:jc w:val="both"/>
      </w:pPr>
      <w:r>
        <w:rPr>
          <w:rFonts w:ascii="Arial" w:cs="Arial" w:eastAsia="Arial" w:hAnsi="Arial"/>
          <w:color w:val="444444"/>
          <w:sz w:val="21"/>
          <w:szCs w:val="21"/>
        </w:rPr>
        <w:t xml:space="preserve">Zeyu Qin et al. (2025) conducted the first systematic study of scaling laws specific to synthetic data, training ~600 model variants up to 3B parameters on datasets up to 200B tokens. Key findings:</w:t>
      </w:r>
    </w:p>
    <w:p>
      <w:pPr>
        <w:pStyle w:val="ListParagraph"/>
        <w:numPr>
          <w:ilvl w:val="0"/>
          <w:numId w:val="2"/>
        </w:numPr>
        <w:spacing w:before="40" w:after="60"/>
      </w:pPr>
      <w:r>
        <w:rPr>
          <w:rFonts w:ascii="Arial" w:cs="Arial" w:eastAsia="Arial" w:hAnsi="Arial"/>
          <w:color w:val="444444"/>
          <w:sz w:val="21"/>
          <w:szCs w:val="21"/>
        </w:rPr>
        <w:t xml:space="preserve">Pure synthetic data does not outperform natural web text: Training solely on high-quality or textbook-style synthetic data does not significantly beat training on Common Crawl of equivalent size.</w:t>
      </w:r>
    </w:p>
    <w:p>
      <w:pPr>
        <w:pStyle w:val="ListParagraph"/>
        <w:numPr>
          <w:ilvl w:val="0"/>
          <w:numId w:val="2"/>
        </w:numPr>
        <w:spacing w:before="40" w:after="60"/>
      </w:pPr>
      <w:r>
        <w:rPr>
          <w:rFonts w:ascii="Arial" w:cs="Arial" w:eastAsia="Arial" w:hAnsi="Arial"/>
          <w:color w:val="444444"/>
          <w:sz w:val="21"/>
          <w:szCs w:val="21"/>
        </w:rPr>
        <w:t xml:space="preserve">Mixed data is superior: Any mixture of synthetic and natural data substantially outperforms either pure type.</w:t>
      </w:r>
    </w:p>
    <w:p>
      <w:pPr>
        <w:pStyle w:val="ListParagraph"/>
        <w:numPr>
          <w:ilvl w:val="0"/>
          <w:numId w:val="2"/>
        </w:numPr>
        <w:spacing w:before="40" w:after="60"/>
      </w:pPr>
      <w:r>
        <w:rPr>
          <w:rFonts w:ascii="Arial" w:cs="Arial" w:eastAsia="Arial" w:hAnsi="Arial"/>
          <w:color w:val="444444"/>
          <w:sz w:val="21"/>
          <w:szCs w:val="21"/>
        </w:rPr>
        <w:t xml:space="preserve">Sensitivity varies by type: High-quality (HQ) and QA-rephrased data are robust to the mixing ratio (33% vs 67% synthetic performs similarly). Textbook-style data is more sensitive, with lower synthetic ratios (33%) outperforming higher ones (67%).</w:t>
      </w:r>
    </w:p>
    <w:p>
      <w:pPr>
        <w:pStyle w:val="ListParagraph"/>
        <w:numPr>
          <w:ilvl w:val="0"/>
          <w:numId w:val="2"/>
        </w:numPr>
        <w:spacing w:before="40" w:after="60"/>
      </w:pPr>
      <w:r>
        <w:rPr>
          <w:rFonts w:ascii="Arial" w:cs="Arial" w:eastAsia="Arial" w:hAnsi="Arial"/>
          <w:color w:val="444444"/>
          <w:sz w:val="21"/>
          <w:szCs w:val="21"/>
        </w:rPr>
        <w:t xml:space="preserve">Extrapolation to frontier scale suggests diminishing but persistent synthetic data benefits out to 8T training tokens.</w:t>
      </w:r>
    </w:p>
    <w:p>
      <w:pPr>
        <w:pStyle w:val="Heading2"/>
        <w:spacing w:before="320" w:after="120"/>
      </w:pPr>
      <w:r>
        <w:rPr>
          <w:rFonts w:ascii="Arial" w:cs="Arial" w:eastAsia="Arial" w:hAnsi="Arial"/>
          <w:b/>
          <w:bCs/>
          <w:color w:val="1B6CA8"/>
          <w:sz w:val="26"/>
          <w:szCs w:val="26"/>
        </w:rPr>
        <w:t xml:space="preserve">10.5 The Self-Play Failure Mode</w:t>
      </w:r>
    </w:p>
    <w:p>
      <w:pPr>
        <w:spacing w:before="80" w:after="140" w:line="280"/>
        <w:jc w:val="both"/>
      </w:pPr>
      <w:r>
        <w:rPr>
          <w:rFonts w:ascii="Arial" w:cs="Arial" w:eastAsia="Arial" w:hAnsi="Arial"/>
          <w:color w:val="444444"/>
          <w:sz w:val="21"/>
          <w:szCs w:val="21"/>
        </w:rPr>
        <w:t xml:space="preserve">Self-play loops where the model serves as both proposer and verifier can fail when the proposer and solver are too closely matched — there is no productive challenge gradient. The formal analysis of when self-play succeeds identifies the requirement: the proposer's difficulty distribution must stay ahead of the solver's capability by a consistent margin. This 'strong-to-weak synchronization' requirement means the proposer must be periodically retrained on outputs from the improved solver to maintain appropriate challenge levels.</w:t>
      </w:r>
    </w:p>
    <w:p>
      <w:r>
        <w:br w:type="page"/>
      </w:r>
    </w:p>
    <w:p>
      <w:pPr>
        <w:pStyle w:val="Heading1"/>
        <w:pBdr>
          <w:bottom w:val="single" w:color="2E5FAC" w:sz="4" w:space="6"/>
        </w:pBdr>
        <w:spacing w:before="480" w:after="180"/>
      </w:pPr>
      <w:r>
        <w:rPr>
          <w:rFonts w:ascii="Arial" w:cs="Arial" w:eastAsia="Arial" w:hAnsi="Arial"/>
          <w:b/>
          <w:bCs/>
          <w:color w:val="1F3864"/>
          <w:sz w:val="32"/>
          <w:szCs w:val="32"/>
        </w:rPr>
        <w:t xml:space="preserve">11. Tools, Platforms, and Ecosystem</w:t>
      </w:r>
    </w:p>
    <w:p>
      <w:pPr>
        <w:pStyle w:val="Heading2"/>
        <w:spacing w:before="320" w:after="120"/>
      </w:pPr>
      <w:r>
        <w:rPr>
          <w:rFonts w:ascii="Arial" w:cs="Arial" w:eastAsia="Arial" w:hAnsi="Arial"/>
          <w:b/>
          <w:bCs/>
          <w:color w:val="1B6CA8"/>
          <w:sz w:val="26"/>
          <w:szCs w:val="26"/>
        </w:rPr>
        <w:t xml:space="preserve">11.1 Industrial Platforms</w:t>
      </w:r>
    </w:p>
    <w:p>
      <w:pPr>
        <w:spacing w:before="80" w:after="140" w:line="280"/>
        <w:jc w:val="both"/>
      </w:pPr>
      <w:r>
        <w:rPr>
          <w:rFonts w:ascii="Arial" w:cs="Arial" w:eastAsia="Arial" w:hAnsi="Arial"/>
          <w:color w:val="444444"/>
          <w:sz w:val="21"/>
          <w:szCs w:val="21"/>
        </w:rPr>
        <w:t xml:space="preserve">NVIDIA NeMo Data Designer provides a production-grade synthetic data generation platform with LLM-backed column-based dataset design, code correctness validation, LLM-based quality judges, and evaluation tooling. It targets enterprise use cases: agentic AI model training, conversational AI, benchmark creation, and domain-specific fine-tuning.</w:t>
      </w:r>
    </w:p>
    <w:p>
      <w:pPr>
        <w:spacing w:before="80" w:after="140" w:line="280"/>
        <w:jc w:val="both"/>
      </w:pPr>
      <w:r>
        <w:rPr>
          <w:rFonts w:ascii="Arial" w:cs="Arial" w:eastAsia="Arial" w:hAnsi="Arial"/>
          <w:color w:val="444444"/>
          <w:sz w:val="21"/>
          <w:szCs w:val="21"/>
        </w:rPr>
        <w:t xml:space="preserve">The platform integrates with the NeMo training framework and supports structured data generation with user-defined schemas — enabling creation of function-call datasets, dialogue datasets, and multi-step reasoning datasets at industrial scale.</w:t>
      </w:r>
    </w:p>
    <w:p>
      <w:pPr>
        <w:pStyle w:val="Heading2"/>
        <w:spacing w:before="320" w:after="120"/>
      </w:pPr>
      <w:r>
        <w:rPr>
          <w:rFonts w:ascii="Arial" w:cs="Arial" w:eastAsia="Arial" w:hAnsi="Arial"/>
          <w:b/>
          <w:bCs/>
          <w:color w:val="1B6CA8"/>
          <w:sz w:val="26"/>
          <w:szCs w:val="26"/>
        </w:rPr>
        <w:t xml:space="preserve">11.2 Open-Source Infrastructure</w:t>
      </w:r>
    </w:p>
    <w:p>
      <w:pPr>
        <w:pStyle w:val="ListParagraph"/>
        <w:numPr>
          <w:ilvl w:val="0"/>
          <w:numId w:val="2"/>
        </w:numPr>
        <w:spacing w:before="40" w:after="60"/>
      </w:pPr>
      <w:r>
        <w:rPr>
          <w:rFonts w:ascii="Arial" w:cs="Arial" w:eastAsia="Arial" w:hAnsi="Arial"/>
          <w:color w:val="444444"/>
          <w:sz w:val="21"/>
          <w:szCs w:val="21"/>
        </w:rPr>
        <w:t xml:space="preserve">DataGen (Huang et al., 2024): Unified framework for LLM-driven synthetic dataset generation across multiple tasks and domains.</w:t>
      </w:r>
    </w:p>
    <w:p>
      <w:pPr>
        <w:pStyle w:val="ListParagraph"/>
        <w:numPr>
          <w:ilvl w:val="0"/>
          <w:numId w:val="2"/>
        </w:numPr>
        <w:spacing w:before="40" w:after="60"/>
      </w:pPr>
      <w:r>
        <w:rPr>
          <w:rFonts w:ascii="Arial" w:cs="Arial" w:eastAsia="Arial" w:hAnsi="Arial"/>
          <w:color w:val="444444"/>
          <w:sz w:val="21"/>
          <w:szCs w:val="21"/>
        </w:rPr>
        <w:t xml:space="preserve">MATRIX (2025): Multi-agent simulation environment for post-training data synthesis with social scenario grounding.</w:t>
      </w:r>
    </w:p>
    <w:p>
      <w:pPr>
        <w:pStyle w:val="ListParagraph"/>
        <w:numPr>
          <w:ilvl w:val="0"/>
          <w:numId w:val="2"/>
        </w:numPr>
        <w:spacing w:before="40" w:after="60"/>
      </w:pPr>
      <w:r>
        <w:rPr>
          <w:rFonts w:ascii="Arial" w:cs="Arial" w:eastAsia="Arial" w:hAnsi="Arial"/>
          <w:color w:val="444444"/>
          <w:sz w:val="21"/>
          <w:szCs w:val="21"/>
        </w:rPr>
        <w:t xml:space="preserve">SYTHIA/FABRIC: Modular pipeline framework covering atomic function calls through long-horizon workflows.</w:t>
      </w:r>
    </w:p>
    <w:p>
      <w:pPr>
        <w:pStyle w:val="ListParagraph"/>
        <w:numPr>
          <w:ilvl w:val="0"/>
          <w:numId w:val="2"/>
        </w:numPr>
        <w:spacing w:before="40" w:after="60"/>
      </w:pPr>
      <w:r>
        <w:rPr>
          <w:rFonts w:ascii="Arial" w:cs="Arial" w:eastAsia="Arial" w:hAnsi="Arial"/>
          <w:color w:val="444444"/>
          <w:sz w:val="21"/>
          <w:szCs w:val="21"/>
        </w:rPr>
        <w:t xml:space="preserve">SYNTHETIC-1 (PrimeIntellect): Community infrastructure for distributed R1-quality reasoning trace generation.</w:t>
      </w:r>
    </w:p>
    <w:p>
      <w:pPr>
        <w:pStyle w:val="ListParagraph"/>
        <w:numPr>
          <w:ilvl w:val="0"/>
          <w:numId w:val="2"/>
        </w:numPr>
        <w:spacing w:before="40" w:after="60"/>
      </w:pPr>
      <w:r>
        <w:rPr>
          <w:rFonts w:ascii="Arial" w:cs="Arial" w:eastAsia="Arial" w:hAnsi="Arial"/>
          <w:color w:val="444444"/>
          <w:sz w:val="21"/>
          <w:szCs w:val="21"/>
        </w:rPr>
        <w:t xml:space="preserve">OpenR1: Community replication of the DeepSeek-R1 training pipeline with open tooling.</w:t>
      </w:r>
    </w:p>
    <w:p>
      <w:pPr>
        <w:pStyle w:val="ListParagraph"/>
        <w:numPr>
          <w:ilvl w:val="0"/>
          <w:numId w:val="2"/>
        </w:numPr>
        <w:spacing w:before="40" w:after="60"/>
      </w:pPr>
      <w:r>
        <w:rPr>
          <w:rFonts w:ascii="Arial" w:cs="Arial" w:eastAsia="Arial" w:hAnsi="Arial"/>
          <w:color w:val="444444"/>
          <w:sz w:val="21"/>
          <w:szCs w:val="21"/>
        </w:rPr>
        <w:t xml:space="preserve">math-verify: Symbolic math verification library used in SYNTHETIC-1 and NuminaMath pipelines.</w:t>
      </w:r>
    </w:p>
    <w:p>
      <w:pPr>
        <w:pStyle w:val="Heading2"/>
        <w:spacing w:before="320" w:after="120"/>
      </w:pPr>
      <w:r>
        <w:rPr>
          <w:rFonts w:ascii="Arial" w:cs="Arial" w:eastAsia="Arial" w:hAnsi="Arial"/>
          <w:b/>
          <w:bCs/>
          <w:color w:val="1B6CA8"/>
          <w:sz w:val="26"/>
          <w:szCs w:val="26"/>
        </w:rPr>
        <w:t xml:space="preserve">11.3 Evaluation Infrastructure</w:t>
      </w:r>
    </w:p>
    <w:p>
      <w:pPr>
        <w:spacing w:before="80" w:after="140" w:line="280"/>
        <w:jc w:val="both"/>
      </w:pPr>
      <w:r>
        <w:rPr>
          <w:rFonts w:ascii="Arial" w:cs="Arial" w:eastAsia="Arial" w:hAnsi="Arial"/>
          <w:color w:val="444444"/>
          <w:sz w:val="21"/>
          <w:szCs w:val="21"/>
        </w:rPr>
        <w:t xml:space="preserve">Quality evaluation of synthetic data requires specialized benchmarks:</w:t>
      </w:r>
    </w:p>
    <w:p>
      <w:pPr>
        <w:pStyle w:val="ListParagraph"/>
        <w:numPr>
          <w:ilvl w:val="0"/>
          <w:numId w:val="2"/>
        </w:numPr>
        <w:spacing w:before="40" w:after="60"/>
      </w:pPr>
      <w:r>
        <w:rPr>
          <w:rFonts w:ascii="Arial" w:cs="Arial" w:eastAsia="Arial" w:hAnsi="Arial"/>
          <w:color w:val="444444"/>
          <w:sz w:val="21"/>
          <w:szCs w:val="21"/>
        </w:rPr>
        <w:t xml:space="preserve">Berkeley Function-Calling Leaderboard (BFCL): Gold standard for function-call capability evaluation, covering single-turn, multi-turn, parallel, and nested function calls.</w:t>
      </w:r>
    </w:p>
    <w:p>
      <w:pPr>
        <w:pStyle w:val="ListParagraph"/>
        <w:numPr>
          <w:ilvl w:val="0"/>
          <w:numId w:val="2"/>
        </w:numPr>
        <w:spacing w:before="40" w:after="60"/>
      </w:pPr>
      <w:r>
        <w:rPr>
          <w:rFonts w:ascii="Arial" w:cs="Arial" w:eastAsia="Arial" w:hAnsi="Arial"/>
          <w:color w:val="444444"/>
          <w:sz w:val="21"/>
          <w:szCs w:val="21"/>
        </w:rPr>
        <w:t xml:space="preserve">SWE-bench / SWE-bench Pro: Repository-level software engineering task evaluation.</w:t>
      </w:r>
    </w:p>
    <w:p>
      <w:pPr>
        <w:pStyle w:val="ListParagraph"/>
        <w:numPr>
          <w:ilvl w:val="0"/>
          <w:numId w:val="2"/>
        </w:numPr>
        <w:spacing w:before="40" w:after="60"/>
      </w:pPr>
      <w:r>
        <w:rPr>
          <w:rFonts w:ascii="Arial" w:cs="Arial" w:eastAsia="Arial" w:hAnsi="Arial"/>
          <w:color w:val="444444"/>
          <w:sz w:val="21"/>
          <w:szCs w:val="21"/>
        </w:rPr>
        <w:t xml:space="preserve">WebArena, VisualWebArena, OSWorld: Long-horizon agent evaluation in simulated environments.</w:t>
      </w:r>
    </w:p>
    <w:p>
      <w:pPr>
        <w:pStyle w:val="ListParagraph"/>
        <w:numPr>
          <w:ilvl w:val="0"/>
          <w:numId w:val="2"/>
        </w:numPr>
        <w:spacing w:before="40" w:after="60"/>
      </w:pPr>
      <w:r>
        <w:rPr>
          <w:rFonts w:ascii="Arial" w:cs="Arial" w:eastAsia="Arial" w:hAnsi="Arial"/>
          <w:color w:val="444444"/>
          <w:sz w:val="21"/>
          <w:szCs w:val="21"/>
        </w:rPr>
        <w:t xml:space="preserve">MATH-500, AIME, GPQA-Diamond: Mathematical reasoning benchmarks at various difficulty levels.</w:t>
      </w:r>
    </w:p>
    <w:p>
      <w:pPr>
        <w:pStyle w:val="ListParagraph"/>
        <w:numPr>
          <w:ilvl w:val="0"/>
          <w:numId w:val="2"/>
        </w:numPr>
        <w:spacing w:before="40" w:after="60"/>
      </w:pPr>
      <w:r>
        <w:rPr>
          <w:rFonts w:ascii="Arial" w:cs="Arial" w:eastAsia="Arial" w:hAnsi="Arial"/>
          <w:color w:val="444444"/>
          <w:sz w:val="21"/>
          <w:szCs w:val="21"/>
        </w:rPr>
        <w:t xml:space="preserve">LiveCodeBench: Contamination-free coding evaluation from live contest platforms.</w:t>
      </w:r>
    </w:p>
    <w:p>
      <w:r>
        <w:br w:type="page"/>
      </w:r>
    </w:p>
    <w:p>
      <w:pPr>
        <w:pStyle w:val="Heading1"/>
        <w:pBdr>
          <w:bottom w:val="single" w:color="2E5FAC" w:sz="4" w:space="6"/>
        </w:pBdr>
        <w:spacing w:before="480" w:after="180"/>
      </w:pPr>
      <w:r>
        <w:rPr>
          <w:rFonts w:ascii="Arial" w:cs="Arial" w:eastAsia="Arial" w:hAnsi="Arial"/>
          <w:b/>
          <w:bCs/>
          <w:color w:val="1F3864"/>
          <w:sz w:val="32"/>
          <w:szCs w:val="32"/>
        </w:rPr>
        <w:t xml:space="preserve">12. A Unified Requirements Framework for Synthetic Data Generation</w:t>
      </w:r>
    </w:p>
    <w:p>
      <w:pPr>
        <w:spacing w:before="80" w:after="140" w:line="280"/>
        <w:jc w:val="both"/>
      </w:pPr>
      <w:r>
        <w:rPr>
          <w:rFonts w:ascii="Arial" w:cs="Arial" w:eastAsia="Arial" w:hAnsi="Arial"/>
          <w:color w:val="444444"/>
          <w:sz w:val="21"/>
          <w:szCs w:val="21"/>
        </w:rPr>
        <w:t xml:space="preserve">Drawing together the lessons from all capability domains, we can articulate a unified set of requirements for high-quality synthetic agent-capability data:</w:t>
      </w:r>
    </w:p>
    <w:p>
      <w:pPr>
        <w:pStyle w:val="Heading2"/>
        <w:spacing w:before="320" w:after="120"/>
      </w:pPr>
      <w:r>
        <w:rPr>
          <w:rFonts w:ascii="Arial" w:cs="Arial" w:eastAsia="Arial" w:hAnsi="Arial"/>
          <w:b/>
          <w:bCs/>
          <w:color w:val="1B6CA8"/>
          <w:sz w:val="26"/>
          <w:szCs w:val="26"/>
        </w:rPr>
        <w:t xml:space="preserve">12.1 Generation Requirements by Capability</w:t>
      </w:r>
    </w:p>
    <w:p>
      <w:pPr>
        <w:spacing w:before="80" w:after="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800"/>
        <w:gridCol w:w="1560"/>
        <w:gridCol w:w="1600"/>
      </w:tblGrid>
      <w:tr>
        <w:trPr>
          <w:tblHeader/>
        </w:trPr>
        <w:tc>
          <w:tcPr>
            <w:tcW w:type="dxa" w:w="1800"/>
            <w:tcBorders>
              <w:top w:val="single" w:color="BBCCDD" w:sz="1"/>
              <w:left w:val="single" w:color="BBCCDD" w:sz="1"/>
              <w:bottom w:val="single" w:color="BBCCDD" w:sz="1"/>
              <w:right w:val="single" w:color="BBCCD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2100"/>
            <w:tcBorders>
              <w:top w:val="single" w:color="BBCCDD" w:sz="1"/>
              <w:left w:val="single" w:color="BBCCDD" w:sz="1"/>
              <w:bottom w:val="single" w:color="BBCCDD" w:sz="1"/>
              <w:right w:val="single" w:color="BBCCD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Generation Method</w:t>
            </w:r>
          </w:p>
        </w:tc>
        <w:tc>
          <w:tcPr>
            <w:tcW w:type="dxa" w:w="1800"/>
            <w:tcBorders>
              <w:top w:val="single" w:color="BBCCDD" w:sz="1"/>
              <w:left w:val="single" w:color="BBCCDD" w:sz="1"/>
              <w:bottom w:val="single" w:color="BBCCDD" w:sz="1"/>
              <w:right w:val="single" w:color="BBCCD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Verification Method</w:t>
            </w:r>
          </w:p>
        </w:tc>
        <w:tc>
          <w:tcPr>
            <w:tcW w:type="dxa" w:w="1560"/>
            <w:tcBorders>
              <w:top w:val="single" w:color="BBCCDD" w:sz="1"/>
              <w:left w:val="single" w:color="BBCCDD" w:sz="1"/>
              <w:bottom w:val="single" w:color="BBCCDD" w:sz="1"/>
              <w:right w:val="single" w:color="BBCCD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Scale Required</w:t>
            </w:r>
          </w:p>
        </w:tc>
        <w:tc>
          <w:tcPr>
            <w:tcW w:type="dxa" w:w="1600"/>
            <w:tcBorders>
              <w:top w:val="single" w:color="BBCCDD" w:sz="1"/>
              <w:left w:val="single" w:color="BBCCDD" w:sz="1"/>
              <w:bottom w:val="single" w:color="BBCCDD" w:sz="1"/>
              <w:right w:val="single" w:color="BBCCDD"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Pitfalls</w:t>
            </w:r>
          </w:p>
        </w:tc>
      </w:tr>
      <w:tr>
        <w:tc>
          <w:tcPr>
            <w:tcW w:type="dxa" w:w="1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General Reasoning / CoT</w:t>
            </w:r>
          </w:p>
        </w:tc>
        <w:tc>
          <w:tcPr>
            <w:tcW w:type="dxa" w:w="21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Self-Instruct; Evol-Instruct; distillation from frontier models</w:t>
            </w:r>
          </w:p>
        </w:tc>
        <w:tc>
          <w:tcPr>
            <w:tcW w:type="dxa" w:w="1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Final-answer correctness; PRM scoring</w:t>
            </w:r>
          </w:p>
        </w:tc>
        <w:tc>
          <w:tcPr>
            <w:tcW w:type="dxa" w:w="156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100K–10M SFT pairs</w:t>
            </w:r>
          </w:p>
        </w:tc>
        <w:tc>
          <w:tcPr>
            <w:tcW w:type="dxa" w:w="16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Mode collapse; difficulty distribution mismatch</w:t>
            </w:r>
          </w:p>
        </w:tc>
      </w:tr>
      <w:tr>
        <w:tc>
          <w:tcPr>
            <w:tcW w:type="dxa" w:w="18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Long CoT / Thinking Models</w:t>
            </w:r>
          </w:p>
        </w:tc>
        <w:tc>
          <w:tcPr>
            <w:tcW w:type="dxa" w:w="21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RL cold-start SFT + RLVR; MCTS trace linearization</w:t>
            </w:r>
          </w:p>
        </w:tc>
        <w:tc>
          <w:tcPr>
            <w:tcW w:type="dxa" w:w="18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Binary answer verification; process rewards</w:t>
            </w:r>
          </w:p>
        </w:tc>
        <w:tc>
          <w:tcPr>
            <w:tcW w:type="dxa" w:w="156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800K–2M SFT + RLVR curriculum</w:t>
            </w:r>
          </w:p>
        </w:tc>
        <w:tc>
          <w:tcPr>
            <w:tcW w:type="dxa" w:w="16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Overthinking on simple tasks; reward hacking</w:t>
            </w:r>
          </w:p>
        </w:tc>
      </w:tr>
      <w:tr>
        <w:tc>
          <w:tcPr>
            <w:tcW w:type="dxa" w:w="1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Math Reasoning</w:t>
            </w:r>
          </w:p>
        </w:tc>
        <w:tc>
          <w:tcPr>
            <w:tcW w:type="dxa" w:w="21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MetaMath augmentation; NuminaMath; problem evolution; MCTS trees</w:t>
            </w:r>
          </w:p>
        </w:tc>
        <w:tc>
          <w:tcPr>
            <w:tcW w:type="dxa" w:w="1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Symbolic verifiers; execution; proof checkers</w:t>
            </w:r>
          </w:p>
        </w:tc>
        <w:tc>
          <w:tcPr>
            <w:tcW w:type="dxa" w:w="156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500K pre-train + 1M+ RL</w:t>
            </w:r>
          </w:p>
        </w:tc>
        <w:tc>
          <w:tcPr>
            <w:tcW w:type="dxa" w:w="16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Distribution skew toward easy algebra</w:t>
            </w:r>
          </w:p>
        </w:tc>
      </w:tr>
      <w:tr>
        <w:tc>
          <w:tcPr>
            <w:tcW w:type="dxa" w:w="18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Code Generation</w:t>
            </w:r>
          </w:p>
        </w:tc>
        <w:tc>
          <w:tcPr>
            <w:tcW w:type="dxa" w:w="21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OSS-Instruct; Evol-Instruct; Genetic Instruct; self-alignment</w:t>
            </w:r>
          </w:p>
        </w:tc>
        <w:tc>
          <w:tcPr>
            <w:tcW w:type="dxa" w:w="18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Test suite execution; unit tests</w:t>
            </w:r>
          </w:p>
        </w:tc>
        <w:tc>
          <w:tcPr>
            <w:tcW w:type="dxa" w:w="156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100K–7.5M SFT pairs</w:t>
            </w:r>
          </w:p>
        </w:tc>
        <w:tc>
          <w:tcPr>
            <w:tcW w:type="dxa" w:w="16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Test contamination; simple task overfitting</w:t>
            </w:r>
          </w:p>
        </w:tc>
      </w:tr>
      <w:tr>
        <w:tc>
          <w:tcPr>
            <w:tcW w:type="dxa" w:w="1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SWE / Repo-Level Code</w:t>
            </w:r>
          </w:p>
        </w:tc>
        <w:tc>
          <w:tcPr>
            <w:tcW w:type="dxa" w:w="21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Commit-based reverse specification; agent trajectory replay</w:t>
            </w:r>
          </w:p>
        </w:tc>
        <w:tc>
          <w:tcPr>
            <w:tcW w:type="dxa" w:w="1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Full test suite pass</w:t>
            </w:r>
          </w:p>
        </w:tc>
        <w:tc>
          <w:tcPr>
            <w:tcW w:type="dxa" w:w="156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50K–500K diverse repos</w:t>
            </w:r>
          </w:p>
        </w:tc>
        <w:tc>
          <w:tcPr>
            <w:tcW w:type="dxa" w:w="16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Context length; environment setup fidelity</w:t>
            </w:r>
          </w:p>
        </w:tc>
      </w:tr>
      <w:tr>
        <w:tc>
          <w:tcPr>
            <w:tcW w:type="dxa" w:w="18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Tool / Function Calling</w:t>
            </w:r>
          </w:p>
        </w:tc>
        <w:tc>
          <w:tcPr>
            <w:tcW w:type="dxa" w:w="21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APIGen; ToolACE; multi-agent dialogue simulation</w:t>
            </w:r>
          </w:p>
        </w:tc>
        <w:tc>
          <w:tcPr>
            <w:tcW w:type="dxa" w:w="18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Live API execution; schema validation</w:t>
            </w:r>
          </w:p>
        </w:tc>
        <w:tc>
          <w:tcPr>
            <w:tcW w:type="dxa" w:w="156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50K–1.5M trajectories</w:t>
            </w:r>
          </w:p>
        </w:tc>
        <w:tc>
          <w:tcPr>
            <w:tcW w:type="dxa" w:w="16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API coverage gap; argument diversity; no-call examples</w:t>
            </w:r>
          </w:p>
        </w:tc>
      </w:tr>
      <w:tr>
        <w:tc>
          <w:tcPr>
            <w:tcW w:type="dxa" w:w="1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Long-Horizon Planning</w:t>
            </w:r>
          </w:p>
        </w:tc>
        <w:tc>
          <w:tcPr>
            <w:tcW w:type="dxa" w:w="21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Multi-agent simulation; environment replay; tutorial grounding</w:t>
            </w:r>
          </w:p>
        </w:tc>
        <w:tc>
          <w:tcPr>
            <w:tcW w:type="dxa" w:w="1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Task success in environment; checkpoint scoring</w:t>
            </w:r>
          </w:p>
        </w:tc>
        <w:tc>
          <w:tcPr>
            <w:tcW w:type="dxa" w:w="156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10K–100K multi-step trajectories</w:t>
            </w:r>
          </w:p>
        </w:tc>
        <w:tc>
          <w:tcPr>
            <w:tcW w:type="dxa" w:w="16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Atomic-to-compositional gap; error cascades</w:t>
            </w:r>
          </w:p>
        </w:tc>
      </w:tr>
      <w:tr>
        <w:tc>
          <w:tcPr>
            <w:tcW w:type="dxa" w:w="18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GUI / Computer Use</w:t>
            </w:r>
          </w:p>
        </w:tc>
        <w:tc>
          <w:tcPr>
            <w:tcW w:type="dxa" w:w="21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Screen recording; accessibility tree annotation; VLM trajectory</w:t>
            </w:r>
          </w:p>
        </w:tc>
        <w:tc>
          <w:tcPr>
            <w:tcW w:type="dxa" w:w="18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State comparison; task success rate</w:t>
            </w:r>
          </w:p>
        </w:tc>
        <w:tc>
          <w:tcPr>
            <w:tcW w:type="dxa" w:w="156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50K–500K screenshots+trajectories</w:t>
            </w:r>
          </w:p>
        </w:tc>
        <w:tc>
          <w:tcPr>
            <w:tcW w:type="dxa" w:w="16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Interface diversity; pixel grounding accuracy</w:t>
            </w:r>
          </w:p>
        </w:tc>
      </w:tr>
      <w:tr>
        <w:tc>
          <w:tcPr>
            <w:tcW w:type="dxa" w:w="1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Multimodal VLM</w:t>
            </w:r>
          </w:p>
        </w:tc>
        <w:tc>
          <w:tcPr>
            <w:tcW w:type="dxa" w:w="21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Caption-grounded instruction generation; diagram synthesis; OCR pipelines</w:t>
            </w:r>
          </w:p>
        </w:tc>
        <w:tc>
          <w:tcPr>
            <w:tcW w:type="dxa" w:w="1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VQA accuracy; grounding IoU</w:t>
            </w:r>
          </w:p>
        </w:tc>
        <w:tc>
          <w:tcPr>
            <w:tcW w:type="dxa" w:w="156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1M–50M image-text pairs</w:t>
            </w:r>
          </w:p>
        </w:tc>
        <w:tc>
          <w:tcPr>
            <w:tcW w:type="dxa" w:w="16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pPr>
              <w:spacing w:line="260"/>
            </w:pPr>
            <w:r>
              <w:rPr>
                <w:rFonts w:ascii="Arial" w:cs="Arial" w:eastAsia="Arial" w:hAnsi="Arial"/>
                <w:color w:val="444444"/>
                <w:sz w:val="19"/>
                <w:szCs w:val="19"/>
              </w:rPr>
              <w:t xml:space="preserve">Modality imbalance; hallucination grounding</w:t>
            </w:r>
          </w:p>
        </w:tc>
      </w:tr>
      <w:tr>
        <w:tc>
          <w:tcPr>
            <w:tcW w:type="dxa" w:w="18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Embodied / Robotic</w:t>
            </w:r>
          </w:p>
        </w:tc>
        <w:tc>
          <w:tcPr>
            <w:tcW w:type="dxa" w:w="21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Physics simulation; video prediction; demonstration augmentation</w:t>
            </w:r>
          </w:p>
        </w:tc>
        <w:tc>
          <w:tcPr>
            <w:tcW w:type="dxa" w:w="18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Task success in sim; real-world transfer</w:t>
            </w:r>
          </w:p>
        </w:tc>
        <w:tc>
          <w:tcPr>
            <w:tcW w:type="dxa" w:w="156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100K–1M demonstrations</w:t>
            </w:r>
          </w:p>
        </w:tc>
        <w:tc>
          <w:tcPr>
            <w:tcW w:type="dxa" w:w="1600"/>
            <w:tcBorders>
              <w:top w:val="single" w:color="BBCCDD" w:sz="1"/>
              <w:left w:val="single" w:color="BBCCDD" w:sz="1"/>
              <w:bottom w:val="single" w:color="BBCCDD" w:sz="1"/>
              <w:right w:val="single" w:color="BBCCDD" w:sz="1"/>
            </w:tcBorders>
            <w:shd w:fill="F2F7FC" w:val="clear"/>
            <w:tcMar>
              <w:top w:type="dxa" w:w="80"/>
              <w:left w:type="dxa" w:w="120"/>
              <w:bottom w:type="dxa" w:w="80"/>
              <w:right w:type="dxa" w:w="120"/>
            </w:tcMar>
          </w:tcPr>
          <w:p>
            <w:pPr>
              <w:spacing w:line="260"/>
            </w:pPr>
            <w:r>
              <w:rPr>
                <w:rFonts w:ascii="Arial" w:cs="Arial" w:eastAsia="Arial" w:hAnsi="Arial"/>
                <w:color w:val="444444"/>
                <w:sz w:val="19"/>
                <w:szCs w:val="19"/>
              </w:rPr>
              <w:t xml:space="preserve">Sim-to-real gap; action space coverage</w:t>
            </w:r>
          </w:p>
        </w:tc>
      </w:tr>
    </w:tbl>
    <w:p>
      <w:pPr>
        <w:spacing w:before="160" w:after="0"/>
      </w:pPr>
      <w:r>
        <w:t xml:space="preserve"/>
      </w:r>
    </w:p>
    <w:p>
      <w:pPr>
        <w:pStyle w:val="Heading2"/>
        <w:spacing w:before="320" w:after="120"/>
      </w:pPr>
      <w:r>
        <w:rPr>
          <w:rFonts w:ascii="Arial" w:cs="Arial" w:eastAsia="Arial" w:hAnsi="Arial"/>
          <w:b/>
          <w:bCs/>
          <w:color w:val="1B6CA8"/>
          <w:sz w:val="26"/>
          <w:szCs w:val="26"/>
        </w:rPr>
        <w:t xml:space="preserve">12.2 Universal Principles</w:t>
      </w:r>
    </w:p>
    <w:p>
      <w:pPr>
        <w:pStyle w:val="ListParagraph"/>
        <w:numPr>
          <w:ilvl w:val="0"/>
          <w:numId w:val="3"/>
        </w:numPr>
        <w:spacing w:before="40" w:after="60"/>
      </w:pPr>
      <w:r>
        <w:rPr>
          <w:rFonts w:ascii="Arial" w:cs="Arial" w:eastAsia="Arial" w:hAnsi="Arial"/>
          <w:color w:val="444444"/>
          <w:sz w:val="21"/>
          <w:szCs w:val="21"/>
        </w:rPr>
        <w:t xml:space="preserve">Verification is non-negotiable: Any capability for which automatic verification exists (math, code, API calls) should use it. LLM-as-judge is a weaker substitute, not an equivalent.</w:t>
      </w:r>
    </w:p>
    <w:p>
      <w:pPr>
        <w:pStyle w:val="ListParagraph"/>
        <w:numPr>
          <w:ilvl w:val="0"/>
          <w:numId w:val="3"/>
        </w:numPr>
        <w:spacing w:before="40" w:after="60"/>
      </w:pPr>
      <w:r>
        <w:rPr>
          <w:rFonts w:ascii="Arial" w:cs="Arial" w:eastAsia="Arial" w:hAnsi="Arial"/>
          <w:color w:val="444444"/>
          <w:sz w:val="21"/>
          <w:szCs w:val="21"/>
        </w:rPr>
        <w:t xml:space="preserve">Quality over quantity: Carefully curated datasets of 1K–100K examples consistently outperform uncurated datasets 10–100× larger. Invest in filtering pipelines.</w:t>
      </w:r>
    </w:p>
    <w:p>
      <w:pPr>
        <w:pStyle w:val="ListParagraph"/>
        <w:numPr>
          <w:ilvl w:val="0"/>
          <w:numId w:val="3"/>
        </w:numPr>
        <w:spacing w:before="40" w:after="60"/>
      </w:pPr>
      <w:r>
        <w:rPr>
          <w:rFonts w:ascii="Arial" w:cs="Arial" w:eastAsia="Arial" w:hAnsi="Arial"/>
          <w:color w:val="444444"/>
          <w:sz w:val="21"/>
          <w:szCs w:val="21"/>
        </w:rPr>
        <w:t xml:space="preserve">Always blend with real data: Mixing even modest fractions of authentic human-generated data dramatically reduces model collapse risk and improves robustness.</w:t>
      </w:r>
    </w:p>
    <w:p>
      <w:pPr>
        <w:pStyle w:val="ListParagraph"/>
        <w:numPr>
          <w:ilvl w:val="0"/>
          <w:numId w:val="3"/>
        </w:numPr>
        <w:spacing w:before="40" w:after="60"/>
      </w:pPr>
      <w:r>
        <w:rPr>
          <w:rFonts w:ascii="Arial" w:cs="Arial" w:eastAsia="Arial" w:hAnsi="Arial"/>
          <w:color w:val="444444"/>
          <w:sz w:val="21"/>
          <w:szCs w:val="21"/>
        </w:rPr>
        <w:t xml:space="preserve">Monitor diversity continuously: Track embedding distributions, topic coverage, and difficulty distributions throughout the generation pipeline to detect and correct coverage gaps.</w:t>
      </w:r>
    </w:p>
    <w:p>
      <w:pPr>
        <w:pStyle w:val="ListParagraph"/>
        <w:numPr>
          <w:ilvl w:val="0"/>
          <w:numId w:val="3"/>
        </w:numPr>
        <w:spacing w:before="40" w:after="60"/>
      </w:pPr>
      <w:r>
        <w:rPr>
          <w:rFonts w:ascii="Arial" w:cs="Arial" w:eastAsia="Arial" w:hAnsi="Arial"/>
          <w:color w:val="444444"/>
          <w:sz w:val="21"/>
          <w:szCs w:val="21"/>
        </w:rPr>
        <w:t xml:space="preserve">Design for failure: Include negative examples, error cases, no-tool-call scenarios, and recovery trajectories. Models trained only on successful demonstrations fail systematically on real-world edge cases.</w:t>
      </w:r>
    </w:p>
    <w:p>
      <w:pPr>
        <w:pStyle w:val="ListParagraph"/>
        <w:numPr>
          <w:ilvl w:val="0"/>
          <w:numId w:val="3"/>
        </w:numPr>
        <w:spacing w:before="40" w:after="60"/>
      </w:pPr>
      <w:r>
        <w:rPr>
          <w:rFonts w:ascii="Arial" w:cs="Arial" w:eastAsia="Arial" w:hAnsi="Arial"/>
          <w:color w:val="444444"/>
          <w:sz w:val="21"/>
          <w:szCs w:val="21"/>
        </w:rPr>
        <w:t xml:space="preserve">Calibrate difficulty to the model: Use difficulty-adaptive generation that targets ~50% success rates from the current model checkpoint to maintain an effective learning gradient.</w:t>
      </w:r>
    </w:p>
    <w:p>
      <w:pPr>
        <w:pStyle w:val="ListParagraph"/>
        <w:numPr>
          <w:ilvl w:val="0"/>
          <w:numId w:val="3"/>
        </w:numPr>
        <w:spacing w:before="40" w:after="60"/>
      </w:pPr>
      <w:r>
        <w:rPr>
          <w:rFonts w:ascii="Arial" w:cs="Arial" w:eastAsia="Arial" w:hAnsi="Arial"/>
          <w:color w:val="444444"/>
          <w:sz w:val="21"/>
          <w:szCs w:val="21"/>
        </w:rPr>
        <w:t xml:space="preserve">Test for contamination before training: n-gram exact match and embedding similarity deduplication against all evaluation benchmarks should be standard practice.</w:t>
      </w:r>
    </w:p>
    <w:p>
      <w:pPr>
        <w:pStyle w:val="ListParagraph"/>
        <w:numPr>
          <w:ilvl w:val="0"/>
          <w:numId w:val="3"/>
        </w:numPr>
        <w:spacing w:before="40" w:after="60"/>
      </w:pPr>
      <w:r>
        <w:rPr>
          <w:rFonts w:ascii="Arial" w:cs="Arial" w:eastAsia="Arial" w:hAnsi="Arial"/>
          <w:color w:val="444444"/>
          <w:sz w:val="21"/>
          <w:szCs w:val="21"/>
        </w:rPr>
        <w:t xml:space="preserve">Use execution environments as verifiers: For agent tasks, maintaining sandboxed execution environments where generated trajectories can be tested to completion is the gold standard for data quality.</w:t>
      </w:r>
    </w:p>
    <w:p>
      <w:pPr>
        <w:pStyle w:val="Heading2"/>
        <w:spacing w:before="320" w:after="120"/>
      </w:pPr>
      <w:r>
        <w:rPr>
          <w:rFonts w:ascii="Arial" w:cs="Arial" w:eastAsia="Arial" w:hAnsi="Arial"/>
          <w:b/>
          <w:bCs/>
          <w:color w:val="1B6CA8"/>
          <w:sz w:val="26"/>
          <w:szCs w:val="26"/>
        </w:rPr>
        <w:t xml:space="preserve">12.3 The Emerging Closed-Loop Architecture</w:t>
      </w:r>
    </w:p>
    <w:p>
      <w:pPr>
        <w:spacing w:before="80" w:after="140" w:line="280"/>
        <w:jc w:val="both"/>
      </w:pPr>
      <w:r>
        <w:rPr>
          <w:rFonts w:ascii="Arial" w:cs="Arial" w:eastAsia="Arial" w:hAnsi="Arial"/>
          <w:color w:val="444444"/>
          <w:sz w:val="21"/>
          <w:szCs w:val="21"/>
        </w:rPr>
        <w:t xml:space="preserve">The most capable labs are converging on a closed-loop synthetic data architecture where:</w:t>
      </w:r>
    </w:p>
    <w:p>
      <w:pPr>
        <w:pStyle w:val="ListParagraph"/>
        <w:numPr>
          <w:ilvl w:val="0"/>
          <w:numId w:val="2"/>
        </w:numPr>
        <w:spacing w:before="40" w:after="60"/>
      </w:pPr>
      <w:r>
        <w:rPr>
          <w:rFonts w:ascii="Arial" w:cs="Arial" w:eastAsia="Arial" w:hAnsi="Arial"/>
          <w:color w:val="444444"/>
          <w:sz w:val="21"/>
          <w:szCs w:val="21"/>
        </w:rPr>
        <w:t xml:space="preserve">A frontier model generates candidate training data</w:t>
      </w:r>
    </w:p>
    <w:p>
      <w:pPr>
        <w:pStyle w:val="ListParagraph"/>
        <w:numPr>
          <w:ilvl w:val="0"/>
          <w:numId w:val="2"/>
        </w:numPr>
        <w:spacing w:before="40" w:after="60"/>
      </w:pPr>
      <w:r>
        <w:rPr>
          <w:rFonts w:ascii="Arial" w:cs="Arial" w:eastAsia="Arial" w:hAnsi="Arial"/>
          <w:color w:val="444444"/>
          <w:sz w:val="21"/>
          <w:szCs w:val="21"/>
        </w:rPr>
        <w:t xml:space="preserve">Verifiers (execution environments, symbolic checkers, LLM judges) filter and score the data</w:t>
      </w:r>
    </w:p>
    <w:p>
      <w:pPr>
        <w:pStyle w:val="ListParagraph"/>
        <w:numPr>
          <w:ilvl w:val="0"/>
          <w:numId w:val="2"/>
        </w:numPr>
        <w:spacing w:before="40" w:after="60"/>
      </w:pPr>
      <w:r>
        <w:rPr>
          <w:rFonts w:ascii="Arial" w:cs="Arial" w:eastAsia="Arial" w:hAnsi="Arial"/>
          <w:color w:val="444444"/>
          <w:sz w:val="21"/>
          <w:szCs w:val="21"/>
        </w:rPr>
        <w:t xml:space="preserve">The filtered data trains a new model checkpoint</w:t>
      </w:r>
    </w:p>
    <w:p>
      <w:pPr>
        <w:pStyle w:val="ListParagraph"/>
        <w:numPr>
          <w:ilvl w:val="0"/>
          <w:numId w:val="2"/>
        </w:numPr>
        <w:spacing w:before="40" w:after="60"/>
      </w:pPr>
      <w:r>
        <w:rPr>
          <w:rFonts w:ascii="Arial" w:cs="Arial" w:eastAsia="Arial" w:hAnsi="Arial"/>
          <w:color w:val="444444"/>
          <w:sz w:val="21"/>
          <w:szCs w:val="21"/>
        </w:rPr>
        <w:t xml:space="preserve">The new checkpoint's failure modes are analyzed</w:t>
      </w:r>
    </w:p>
    <w:p>
      <w:pPr>
        <w:pStyle w:val="ListParagraph"/>
        <w:numPr>
          <w:ilvl w:val="0"/>
          <w:numId w:val="2"/>
        </w:numPr>
        <w:spacing w:before="40" w:after="60"/>
      </w:pPr>
      <w:r>
        <w:rPr>
          <w:rFonts w:ascii="Arial" w:cs="Arial" w:eastAsia="Arial" w:hAnsi="Arial"/>
          <w:color w:val="444444"/>
          <w:sz w:val="21"/>
          <w:szCs w:val="21"/>
        </w:rPr>
        <w:t xml:space="preserve">New data is generated targeting the identified weaknesses</w:t>
      </w:r>
    </w:p>
    <w:p>
      <w:pPr>
        <w:pStyle w:val="ListParagraph"/>
        <w:numPr>
          <w:ilvl w:val="0"/>
          <w:numId w:val="2"/>
        </w:numPr>
        <w:spacing w:before="40" w:after="60"/>
      </w:pPr>
      <w:r>
        <w:rPr>
          <w:rFonts w:ascii="Arial" w:cs="Arial" w:eastAsia="Arial" w:hAnsi="Arial"/>
          <w:color w:val="444444"/>
          <w:sz w:val="21"/>
          <w:szCs w:val="21"/>
        </w:rPr>
        <w:t xml:space="preserve">The loop repeats, with the frontier model upgraded at intervals</w:t>
      </w:r>
    </w:p>
    <w:p>
      <w:pPr>
        <w:spacing w:before="80" w:after="140" w:line="280"/>
        <w:jc w:val="both"/>
      </w:pPr>
      <w:r>
        <w:rPr>
          <w:rFonts w:ascii="Arial" w:cs="Arial" w:eastAsia="Arial" w:hAnsi="Arial"/>
          <w:color w:val="444444"/>
          <w:sz w:val="21"/>
          <w:szCs w:val="21"/>
        </w:rPr>
        <w:t xml:space="preserve">This architecture decouples capability improvement from human annotation, enabling continuous capability scaling limited primarily by compute and the availability of verifiable problem domains. The frontier challenge is extending verified domains beyond math and code to the full space of agent capabilities including multi-step planning, tool composition, and open-ended decision making.</w:t>
      </w:r>
    </w:p>
    <w:p>
      <w:pPr>
        <w:pBdr>
          <w:left w:val="thick" w:color="2E5FAC" w:sz="12" w:space="10"/>
        </w:pBdr>
        <w:shd w:fill="D6E4F7" w:val="clear"/>
        <w:spacing w:before="120" w:after="120" w:line="280"/>
        <w:ind w:left="360" w:right="360"/>
      </w:pPr>
      <w:r>
        <w:rPr>
          <w:rFonts w:ascii="Arial" w:cs="Arial" w:eastAsia="Arial" w:hAnsi="Arial"/>
          <w:i/>
          <w:iCs/>
          <w:color w:val="1F3864"/>
          <w:sz w:val="21"/>
          <w:szCs w:val="21"/>
        </w:rPr>
        <w:t xml:space="preserve">Andrej Karpathy (January 2025): 'The highest leverage thing you can do is help construct a high diversity of RL environments that help elicit LLM cognitive strategies — to build a gym of sorts. This is a highly parallelizable task, which favors a large community of collaborators.' This captures the central research challenge for the next phase of agentic AI development.</w:t>
      </w:r>
    </w:p>
    <w:p>
      <w:r>
        <w:br w:type="page"/>
      </w:r>
    </w:p>
    <w:p>
      <w:pPr>
        <w:pStyle w:val="Heading1"/>
        <w:pBdr>
          <w:bottom w:val="single" w:color="2E5FAC" w:sz="4" w:space="6"/>
        </w:pBdr>
        <w:spacing w:before="480" w:after="180"/>
      </w:pPr>
      <w:r>
        <w:rPr>
          <w:rFonts w:ascii="Arial" w:cs="Arial" w:eastAsia="Arial" w:hAnsi="Arial"/>
          <w:b/>
          <w:bCs/>
          <w:color w:val="1F3864"/>
          <w:sz w:val="32"/>
          <w:szCs w:val="32"/>
        </w:rPr>
        <w:t xml:space="preserve">13. Open Challenges and Future Directions</w:t>
      </w:r>
    </w:p>
    <w:p>
      <w:pPr>
        <w:pStyle w:val="Heading2"/>
        <w:spacing w:before="320" w:after="120"/>
      </w:pPr>
      <w:r>
        <w:rPr>
          <w:rFonts w:ascii="Arial" w:cs="Arial" w:eastAsia="Arial" w:hAnsi="Arial"/>
          <w:b/>
          <w:bCs/>
          <w:color w:val="1B6CA8"/>
          <w:sz w:val="26"/>
          <w:szCs w:val="26"/>
        </w:rPr>
        <w:t xml:space="preserve">13.1 Verification Beyond Math and Code</w:t>
      </w:r>
    </w:p>
    <w:p>
      <w:pPr>
        <w:spacing w:before="80" w:after="140" w:line="280"/>
        <w:jc w:val="both"/>
      </w:pPr>
      <w:r>
        <w:rPr>
          <w:rFonts w:ascii="Arial" w:cs="Arial" w:eastAsia="Arial" w:hAnsi="Arial"/>
          <w:color w:val="444444"/>
          <w:sz w:val="21"/>
          <w:szCs w:val="21"/>
        </w:rPr>
        <w:t xml:space="preserve">The majority of RLVR success has come from math and code domains where verification is automatic and unambiguous. Extending this to capabilities like research report writing, business strategy generation, creative problem solving, and cross-domain planning requires either building new verifier systems (e.g., structured evaluation rubrics as programmatic verifiers) or developing better LLM-based approximate verifiers that are reliable enough to provide useful training signals.</w:t>
      </w:r>
    </w:p>
    <w:p>
      <w:pPr>
        <w:pStyle w:val="Heading2"/>
        <w:spacing w:before="320" w:after="120"/>
      </w:pPr>
      <w:r>
        <w:rPr>
          <w:rFonts w:ascii="Arial" w:cs="Arial" w:eastAsia="Arial" w:hAnsi="Arial"/>
          <w:b/>
          <w:bCs/>
          <w:color w:val="1B6CA8"/>
          <w:sz w:val="26"/>
          <w:szCs w:val="26"/>
        </w:rPr>
        <w:t xml:space="preserve">13.2 Long-Horizon Credit Assignment</w:t>
      </w:r>
    </w:p>
    <w:p>
      <w:pPr>
        <w:spacing w:before="80" w:after="140" w:line="280"/>
        <w:jc w:val="both"/>
      </w:pPr>
      <w:r>
        <w:rPr>
          <w:rFonts w:ascii="Arial" w:cs="Arial" w:eastAsia="Arial" w:hAnsi="Arial"/>
          <w:color w:val="444444"/>
          <w:sz w:val="21"/>
          <w:szCs w:val="21"/>
        </w:rPr>
        <w:t xml:space="preserve">For multi-step agentic trajectories, determining which decision caused a failure is far harder than binary success/failure labeling. Process reward models trained on step-level annotations partially address this, but collecting step-level annotations at scale remains expensive. Automated credit assignment via trajectory analysis — identifying the causal step for failure using backward search or counterfactual simulation — is an active research area.</w:t>
      </w:r>
    </w:p>
    <w:p>
      <w:pPr>
        <w:pStyle w:val="Heading2"/>
        <w:spacing w:before="320" w:after="120"/>
      </w:pPr>
      <w:r>
        <w:rPr>
          <w:rFonts w:ascii="Arial" w:cs="Arial" w:eastAsia="Arial" w:hAnsi="Arial"/>
          <w:b/>
          <w:bCs/>
          <w:color w:val="1B6CA8"/>
          <w:sz w:val="26"/>
          <w:szCs w:val="26"/>
        </w:rPr>
        <w:t xml:space="preserve">13.3 Multi-Agent Coordination Data</w:t>
      </w:r>
    </w:p>
    <w:p>
      <w:pPr>
        <w:spacing w:before="80" w:after="140" w:line="280"/>
        <w:jc w:val="both"/>
      </w:pPr>
      <w:r>
        <w:rPr>
          <w:rFonts w:ascii="Arial" w:cs="Arial" w:eastAsia="Arial" w:hAnsi="Arial"/>
          <w:color w:val="444444"/>
          <w:sz w:val="21"/>
          <w:szCs w:val="21"/>
        </w:rPr>
        <w:t xml:space="preserve">Current synthetic data pipelines produce primarily single-agent trajectories. Real-world agentic deployments increasingly involve multi-agent systems where multiple specialized agents collaborate, delegate, and communicate. Generating high-quality training data for agent coordination, trust calibration, and role-appropriate communication remains largely unsolved.</w:t>
      </w:r>
    </w:p>
    <w:p>
      <w:pPr>
        <w:pStyle w:val="Heading2"/>
        <w:spacing w:before="320" w:after="120"/>
      </w:pPr>
      <w:r>
        <w:rPr>
          <w:rFonts w:ascii="Arial" w:cs="Arial" w:eastAsia="Arial" w:hAnsi="Arial"/>
          <w:b/>
          <w:bCs/>
          <w:color w:val="1B6CA8"/>
          <w:sz w:val="26"/>
          <w:szCs w:val="26"/>
        </w:rPr>
        <w:t xml:space="preserve">13.4 Safety and Alignment in Agentic Data</w:t>
      </w:r>
    </w:p>
    <w:p>
      <w:pPr>
        <w:spacing w:before="80" w:after="140" w:line="280"/>
        <w:jc w:val="both"/>
      </w:pPr>
      <w:r>
        <w:rPr>
          <w:rFonts w:ascii="Arial" w:cs="Arial" w:eastAsia="Arial" w:hAnsi="Arial"/>
          <w:color w:val="444444"/>
          <w:sz w:val="21"/>
          <w:szCs w:val="21"/>
        </w:rPr>
        <w:t xml:space="preserve">As agents gain capabilities for long-horizon actions with real-world consequences, the safety implications of training data become critical. Synthetic data pipelines must be designed to include appropriate safety behaviors: recognizing when a task requires human confirmation before proceeding, refusing to take irreversible harmful actions, and maintaining user authorization boundaries. AgentAlign (2025) specifically addresses the challenge of safety-aligned synthetic data for agentic systems.</w:t>
      </w:r>
    </w:p>
    <w:p>
      <w:pPr>
        <w:pStyle w:val="Heading2"/>
        <w:spacing w:before="320" w:after="120"/>
      </w:pPr>
      <w:r>
        <w:rPr>
          <w:rFonts w:ascii="Arial" w:cs="Arial" w:eastAsia="Arial" w:hAnsi="Arial"/>
          <w:b/>
          <w:bCs/>
          <w:color w:val="1B6CA8"/>
          <w:sz w:val="26"/>
          <w:szCs w:val="26"/>
        </w:rPr>
        <w:t xml:space="preserve">13.5 Multilingual and Cross-Cultural Coverage</w:t>
      </w:r>
    </w:p>
    <w:p>
      <w:pPr>
        <w:spacing w:before="80" w:after="140" w:line="280"/>
        <w:jc w:val="both"/>
      </w:pPr>
      <w:r>
        <w:rPr>
          <w:rFonts w:ascii="Arial" w:cs="Arial" w:eastAsia="Arial" w:hAnsi="Arial"/>
          <w:color w:val="444444"/>
          <w:sz w:val="21"/>
          <w:szCs w:val="21"/>
        </w:rPr>
        <w:t xml:space="preserve">Most synthetic data pipelines produce predominantly English-language data, creating capability gaps for other languages. Cross-lingual transfer via Self-Translate-Train and multilingual Evol-Instruct are active areas of development, but the coverage of non-English languages in agentic training data remains severely insufficient relative to their global user population.</w:t>
      </w:r>
    </w:p>
    <w:p>
      <w:pPr>
        <w:pStyle w:val="Heading2"/>
        <w:spacing w:before="320" w:after="120"/>
      </w:pPr>
      <w:r>
        <w:rPr>
          <w:rFonts w:ascii="Arial" w:cs="Arial" w:eastAsia="Arial" w:hAnsi="Arial"/>
          <w:b/>
          <w:bCs/>
          <w:color w:val="1B6CA8"/>
          <w:sz w:val="26"/>
          <w:szCs w:val="26"/>
        </w:rPr>
        <w:t xml:space="preserve">13.6 Scalable Multimodal Synthetic Data</w:t>
      </w:r>
    </w:p>
    <w:p>
      <w:pPr>
        <w:spacing w:before="80" w:after="140" w:line="280"/>
        <w:jc w:val="both"/>
      </w:pPr>
      <w:r>
        <w:rPr>
          <w:rFonts w:ascii="Arial" w:cs="Arial" w:eastAsia="Arial" w:hAnsi="Arial"/>
          <w:color w:val="444444"/>
          <w:sz w:val="21"/>
          <w:szCs w:val="21"/>
        </w:rPr>
        <w:t xml:space="preserve">Generating high-quality multimodal training data at the scale needed for frontier VLMs and VLA models requires generating coherent image-text pairs, not just annotating existing images. Text-to-image generation models (Stable Diffusion, DALL-E 3) provide one pathway, but controlling the semantic content of generated images with the precision needed for grounding and instruction-following tasks remains challenging. Procedurally generated environments offer more control but less visual realism.</w:t>
      </w:r>
    </w:p>
    <w:p>
      <w:pPr>
        <w:pStyle w:val="Heading2"/>
        <w:spacing w:before="320" w:after="120"/>
      </w:pPr>
      <w:r>
        <w:rPr>
          <w:rFonts w:ascii="Arial" w:cs="Arial" w:eastAsia="Arial" w:hAnsi="Arial"/>
          <w:b/>
          <w:bCs/>
          <w:color w:val="1B6CA8"/>
          <w:sz w:val="26"/>
          <w:szCs w:val="26"/>
        </w:rPr>
        <w:t xml:space="preserve">13.7 Data Flywheel Infrastructure</w:t>
      </w:r>
    </w:p>
    <w:p>
      <w:pPr>
        <w:spacing w:before="80" w:after="140" w:line="280"/>
        <w:jc w:val="both"/>
      </w:pPr>
      <w:r>
        <w:rPr>
          <w:rFonts w:ascii="Arial" w:cs="Arial" w:eastAsia="Arial" w:hAnsi="Arial"/>
          <w:color w:val="444444"/>
          <w:sz w:val="21"/>
          <w:szCs w:val="21"/>
        </w:rPr>
        <w:t xml:space="preserve">Building the infrastructure for continuous self-improving data generation — the 'data flywheel' where deployed models generate feedback that improves training data quality — requires careful design of data provenance tracking, version control, contamination monitoring, and safety filtering pipelines. This infrastructure engineering challenge is as significant as the algorithmic challenges of generation and verification.</w:t>
      </w:r>
    </w:p>
    <w:p>
      <w:pPr>
        <w:spacing w:before="160" w:after="0"/>
      </w:pPr>
      <w:r>
        <w:t xml:space="preserve"/>
      </w:r>
    </w:p>
    <w:p>
      <w:pPr>
        <w:pStyle w:val="Heading1"/>
        <w:pBdr>
          <w:bottom w:val="single" w:color="2E5FAC" w:sz="4" w:space="6"/>
        </w:pBdr>
        <w:spacing w:before="480" w:after="180"/>
      </w:pPr>
      <w:r>
        <w:rPr>
          <w:rFonts w:ascii="Arial" w:cs="Arial" w:eastAsia="Arial" w:hAnsi="Arial"/>
          <w:b/>
          <w:bCs/>
          <w:color w:val="1F3864"/>
          <w:sz w:val="32"/>
          <w:szCs w:val="32"/>
        </w:rPr>
        <w:t xml:space="preserve">14. Conclusion</w:t>
      </w:r>
    </w:p>
    <w:p>
      <w:pPr>
        <w:spacing w:before="80" w:after="140" w:line="280"/>
        <w:jc w:val="both"/>
      </w:pPr>
      <w:r>
        <w:rPr>
          <w:rFonts w:ascii="Arial" w:cs="Arial" w:eastAsia="Arial" w:hAnsi="Arial"/>
          <w:color w:val="444444"/>
          <w:sz w:val="21"/>
          <w:szCs w:val="21"/>
        </w:rPr>
        <w:t xml:space="preserve">Synthetic data has transitioned from a supplementary resource to the primary driver of capability improvement in frontier LLMs and multimodal models. The progress documented in this survey — from Self-Instruct's basic bootstrapping to RLVR-powered reasoning models trained on millions of verified traces, from simple tool-call datasets to TOUCAN's 1.5M MCP trajectories, from captioned image instructions to VLA models trained via sim-to-real RL — represents a fundamental shift in how AI capabilities are developed.</w:t>
      </w:r>
    </w:p>
    <w:p>
      <w:pPr>
        <w:spacing w:before="80" w:after="140" w:line="280"/>
        <w:jc w:val="both"/>
      </w:pPr>
      <w:r>
        <w:rPr>
          <w:rFonts w:ascii="Arial" w:cs="Arial" w:eastAsia="Arial" w:hAnsi="Arial"/>
          <w:color w:val="444444"/>
          <w:sz w:val="21"/>
          <w:szCs w:val="21"/>
        </w:rPr>
        <w:t xml:space="preserve">The unifying insight across all domains is that verifiability is the key lever. When correctness can be checked automatically — whether by execution, symbolic comparison, or environmental state verification — the cycle of generation, verification, and training can run at scale without human bottlenecks. The frontier challenge is extending this verifiable loop to the full range of agent capabilities that matter in real-world deployments.</w:t>
      </w:r>
    </w:p>
    <w:p>
      <w:pPr>
        <w:spacing w:before="80" w:after="140" w:line="280"/>
        <w:jc w:val="both"/>
      </w:pPr>
      <w:r>
        <w:rPr>
          <w:rFonts w:ascii="Arial" w:cs="Arial" w:eastAsia="Arial" w:hAnsi="Arial"/>
          <w:color w:val="444444"/>
          <w:sz w:val="21"/>
          <w:szCs w:val="21"/>
        </w:rPr>
        <w:t xml:space="preserve">The synthetic data ecosystem is rapidly maturing. Open infrastructure (SYNTHETIC-1, OpenR1, math-verify), standardized evaluation benchmarks (BFCL, SWE-bench, WebArena, OSWorld), and shared generation frameworks (NeMo Data Designer, MATRIX, APIGen) are enabling a more open and collaborative development paradigm. The next generation of capable agents will be built on the synthetic data pipelines being designed today.</w:t>
      </w:r>
    </w:p>
    <w:p>
      <w:pPr>
        <w:pBdr>
          <w:left w:val="thick" w:color="2E5FAC" w:sz="12" w:space="10"/>
        </w:pBdr>
        <w:shd w:fill="D6E4F7" w:val="clear"/>
        <w:spacing w:before="120" w:after="120" w:line="280"/>
        <w:ind w:left="360" w:right="360"/>
      </w:pPr>
      <w:r>
        <w:rPr>
          <w:rFonts w:ascii="Arial" w:cs="Arial" w:eastAsia="Arial" w:hAnsi="Arial"/>
          <w:i/>
          <w:iCs/>
          <w:color w:val="1F3864"/>
          <w:sz w:val="21"/>
          <w:szCs w:val="21"/>
        </w:rPr>
        <w:t xml:space="preserve">The synthetic data revolution is still in early stages. The domains currently covered well — math, code, single-turn tool use — represent only a fraction of the agent capabilities needed for general-purpose autonomy. The methods, infrastructure, and research agenda documented in this report provide the foundation for the broader challenge ahead.</w:t>
      </w:r>
    </w:p>
    <w:p>
      <w:pPr>
        <w:spacing w:before="240" w:after="0"/>
      </w:pPr>
      <w:r>
        <w:t xml:space="preserve"/>
      </w:r>
    </w:p>
    <w:p>
      <w:r>
        <w:br w:type="page"/>
      </w:r>
    </w:p>
    <w:p>
      <w:pPr>
        <w:pStyle w:val="Heading1"/>
        <w:pBdr>
          <w:bottom w:val="single" w:color="2E5FAC" w:sz="4" w:space="6"/>
        </w:pBdr>
        <w:spacing w:before="480" w:after="180"/>
      </w:pPr>
      <w:r>
        <w:rPr>
          <w:rFonts w:ascii="Arial" w:cs="Arial" w:eastAsia="Arial" w:hAnsi="Arial"/>
          <w:b/>
          <w:bCs/>
          <w:color w:val="1F3864"/>
          <w:sz w:val="32"/>
          <w:szCs w:val="32"/>
        </w:rPr>
        <w:t xml:space="preserve">Key References</w:t>
      </w:r>
    </w:p>
    <w:p>
      <w:pPr>
        <w:spacing w:before="80" w:after="140" w:line="280"/>
        <w:jc w:val="both"/>
      </w:pPr>
      <w:r>
        <w:rPr>
          <w:rFonts w:ascii="Arial" w:cs="Arial" w:eastAsia="Arial" w:hAnsi="Arial"/>
          <w:color w:val="444444"/>
          <w:sz w:val="21"/>
          <w:szCs w:val="21"/>
        </w:rPr>
        <w:t xml:space="preserve">The following is a selection of the most cited and influential works referenced throughout this report:</w:t>
      </w:r>
    </w:p>
    <w:p>
      <w:pPr>
        <w:spacing w:before="80" w:after="0"/>
      </w:pPr>
      <w:r>
        <w:t xml:space="preserve"/>
      </w:r>
    </w:p>
    <w:p>
      <w:pPr>
        <w:spacing w:before="80" w:after="140" w:line="280"/>
        <w:jc w:val="both"/>
      </w:pPr>
      <w:r>
        <w:rPr>
          <w:rFonts w:ascii="Arial" w:cs="Arial" w:eastAsia="Arial" w:hAnsi="Arial"/>
          <w:color w:val="444444"/>
          <w:sz w:val="19"/>
          <w:szCs w:val="19"/>
        </w:rPr>
        <w:t xml:space="preserve">DeepSeek-AI et al. (2025). DeepSeek-R1: Incentivizing Reasoning Capability in LLMs via Reinforcement Learning. arXiv:2501.12948.</w:t>
      </w:r>
    </w:p>
    <w:p>
      <w:pPr>
        <w:spacing w:before="80" w:after="140" w:line="280"/>
        <w:jc w:val="both"/>
      </w:pPr>
      <w:r>
        <w:rPr>
          <w:rFonts w:ascii="Arial" w:cs="Arial" w:eastAsia="Arial" w:hAnsi="Arial"/>
          <w:color w:val="444444"/>
          <w:sz w:val="19"/>
          <w:szCs w:val="19"/>
        </w:rPr>
        <w:t xml:space="preserve">Wei et al. (2024). Magicoder: Empowering Code Generation with OSS-Instruct. ICML 2024.</w:t>
      </w:r>
    </w:p>
    <w:p>
      <w:pPr>
        <w:spacing w:before="80" w:after="140" w:line="280"/>
        <w:jc w:val="both"/>
      </w:pPr>
      <w:r>
        <w:rPr>
          <w:rFonts w:ascii="Arial" w:cs="Arial" w:eastAsia="Arial" w:hAnsi="Arial"/>
          <w:color w:val="444444"/>
          <w:sz w:val="19"/>
          <w:szCs w:val="19"/>
        </w:rPr>
        <w:t xml:space="preserve">Luo et al. (2024). WizardCoder: Empowering Code Large Language Models with Evol-Instruct. ICLR 2024.</w:t>
      </w:r>
    </w:p>
    <w:p>
      <w:pPr>
        <w:spacing w:before="80" w:after="140" w:line="280"/>
        <w:jc w:val="both"/>
      </w:pPr>
      <w:r>
        <w:rPr>
          <w:rFonts w:ascii="Arial" w:cs="Arial" w:eastAsia="Arial" w:hAnsi="Arial"/>
          <w:color w:val="444444"/>
          <w:sz w:val="19"/>
          <w:szCs w:val="19"/>
        </w:rPr>
        <w:t xml:space="preserve">Liu et al. (2024). APIGen: Automated Pipeline for Generating Verifiable and Diverse Function-Calling Datasets. arXiv:2406.18518.</w:t>
      </w:r>
    </w:p>
    <w:p>
      <w:pPr>
        <w:spacing w:before="80" w:after="140" w:line="280"/>
        <w:jc w:val="both"/>
      </w:pPr>
      <w:r>
        <w:rPr>
          <w:rFonts w:ascii="Arial" w:cs="Arial" w:eastAsia="Arial" w:hAnsi="Arial"/>
          <w:color w:val="444444"/>
          <w:sz w:val="19"/>
          <w:szCs w:val="19"/>
        </w:rPr>
        <w:t xml:space="preserve">Liu et al. (2025). ToolACE: Winning the Points of LLM Function Calling. arXiv:2409.00920.</w:t>
      </w:r>
    </w:p>
    <w:p>
      <w:pPr>
        <w:spacing w:before="80" w:after="140" w:line="280"/>
        <w:jc w:val="both"/>
      </w:pPr>
      <w:r>
        <w:rPr>
          <w:rFonts w:ascii="Arial" w:cs="Arial" w:eastAsia="Arial" w:hAnsi="Arial"/>
          <w:color w:val="444444"/>
          <w:sz w:val="19"/>
          <w:szCs w:val="19"/>
        </w:rPr>
        <w:t xml:space="preserve">Prabhakar et al. (2025). APIGen-MT: Agentic Pipeline for Multi-Turn Data Generation via Simulated Agent-Human Interplay. arXiv:2504.03601.</w:t>
      </w:r>
    </w:p>
    <w:p>
      <w:pPr>
        <w:spacing w:before="80" w:after="140" w:line="280"/>
        <w:jc w:val="both"/>
      </w:pPr>
      <w:r>
        <w:rPr>
          <w:rFonts w:ascii="Arial" w:cs="Arial" w:eastAsia="Arial" w:hAnsi="Arial"/>
          <w:color w:val="444444"/>
          <w:sz w:val="19"/>
          <w:szCs w:val="19"/>
        </w:rPr>
        <w:t xml:space="preserve">Xu et al. (2025). TOUCAN: Scaling Tool-Agent Trajectories from MCP Environments. (2025).</w:t>
      </w:r>
    </w:p>
    <w:p>
      <w:pPr>
        <w:spacing w:before="80" w:after="140" w:line="280"/>
        <w:jc w:val="both"/>
      </w:pPr>
      <w:r>
        <w:rPr>
          <w:rFonts w:ascii="Arial" w:cs="Arial" w:eastAsia="Arial" w:hAnsi="Arial"/>
          <w:color w:val="444444"/>
          <w:sz w:val="19"/>
          <w:szCs w:val="19"/>
        </w:rPr>
        <w:t xml:space="preserve">Ge et al. (2024). Scaling Synthetic Data Creation with 1,000,000,000 Personas. arXiv:2406.20094.</w:t>
      </w:r>
    </w:p>
    <w:p>
      <w:pPr>
        <w:spacing w:before="80" w:after="140" w:line="280"/>
        <w:jc w:val="both"/>
      </w:pPr>
      <w:r>
        <w:rPr>
          <w:rFonts w:ascii="Arial" w:cs="Arial" w:eastAsia="Arial" w:hAnsi="Arial"/>
          <w:color w:val="444444"/>
          <w:sz w:val="19"/>
          <w:szCs w:val="19"/>
        </w:rPr>
        <w:t xml:space="preserve">Shao et al. (2024). DeepSeekMath: Pushing the Limits of Mathematical Reasoning in Open Language Models. arXiv:2402.03300.</w:t>
      </w:r>
    </w:p>
    <w:p>
      <w:pPr>
        <w:spacing w:before="80" w:after="140" w:line="280"/>
        <w:jc w:val="both"/>
      </w:pPr>
      <w:r>
        <w:rPr>
          <w:rFonts w:ascii="Arial" w:cs="Arial" w:eastAsia="Arial" w:hAnsi="Arial"/>
          <w:color w:val="444444"/>
          <w:sz w:val="19"/>
          <w:szCs w:val="19"/>
        </w:rPr>
        <w:t xml:space="preserve">Zelikman et al. (2022). STaR: Bootstrapping Reasoning with Reasoning. NeurIPS 2022.</w:t>
      </w:r>
    </w:p>
    <w:p>
      <w:pPr>
        <w:spacing w:before="80" w:after="140" w:line="280"/>
        <w:jc w:val="both"/>
      </w:pPr>
      <w:r>
        <w:rPr>
          <w:rFonts w:ascii="Arial" w:cs="Arial" w:eastAsia="Arial" w:hAnsi="Arial"/>
          <w:color w:val="444444"/>
          <w:sz w:val="19"/>
          <w:szCs w:val="19"/>
        </w:rPr>
        <w:t xml:space="preserve">Wang et al. (2022). Self-Instruct: Aligning Language Models with Self-Generated Instructions. ACL 2023.</w:t>
      </w:r>
    </w:p>
    <w:p>
      <w:pPr>
        <w:spacing w:before="80" w:after="140" w:line="280"/>
        <w:jc w:val="both"/>
      </w:pPr>
      <w:r>
        <w:rPr>
          <w:rFonts w:ascii="Arial" w:cs="Arial" w:eastAsia="Arial" w:hAnsi="Arial"/>
          <w:color w:val="444444"/>
          <w:sz w:val="19"/>
          <w:szCs w:val="19"/>
        </w:rPr>
        <w:t xml:space="preserve">Xu et al. (2025, ICLR). LEARN-BY-INTERACT: A Data-Centric Framework for Self-Adaptive Agents in Realistic Environments. ICLR 2025.</w:t>
      </w:r>
    </w:p>
    <w:p>
      <w:pPr>
        <w:spacing w:before="80" w:after="140" w:line="280"/>
        <w:jc w:val="both"/>
      </w:pPr>
      <w:r>
        <w:rPr>
          <w:rFonts w:ascii="Arial" w:cs="Arial" w:eastAsia="Arial" w:hAnsi="Arial"/>
          <w:color w:val="444444"/>
          <w:sz w:val="19"/>
          <w:szCs w:val="19"/>
        </w:rPr>
        <w:t xml:space="preserve">PrimeIntellect (2025). SYNTHETIC-1: Scaling Distributed Synthetic Data Generation for Verified Reasoning. https://primeintellect.ai/blog/synthetic-1.</w:t>
      </w:r>
    </w:p>
    <w:p>
      <w:pPr>
        <w:spacing w:before="80" w:after="140" w:line="280"/>
        <w:jc w:val="both"/>
      </w:pPr>
      <w:r>
        <w:rPr>
          <w:rFonts w:ascii="Arial" w:cs="Arial" w:eastAsia="Arial" w:hAnsi="Arial"/>
          <w:color w:val="444444"/>
          <w:sz w:val="19"/>
          <w:szCs w:val="19"/>
        </w:rPr>
        <w:t xml:space="preserve">Bredis et al. (2025). Enhancing Vision-Language Model Training with Reinforcement Learning in Synthetic Worlds for Real-World Success. arXiv:2508.04280.</w:t>
      </w:r>
    </w:p>
    <w:p>
      <w:pPr>
        <w:spacing w:before="80" w:after="140" w:line="280"/>
        <w:jc w:val="both"/>
      </w:pPr>
      <w:r>
        <w:rPr>
          <w:rFonts w:ascii="Arial" w:cs="Arial" w:eastAsia="Arial" w:hAnsi="Arial"/>
          <w:color w:val="444444"/>
          <w:sz w:val="19"/>
          <w:szCs w:val="19"/>
        </w:rPr>
        <w:t xml:space="preserve">Shumailov et al. (2024). AI Models Collapse When Trained on Recursively Generated Data. Nature.</w:t>
      </w:r>
    </w:p>
    <w:p>
      <w:pPr>
        <w:spacing w:before="80" w:after="140" w:line="280"/>
        <w:jc w:val="both"/>
      </w:pPr>
      <w:r>
        <w:rPr>
          <w:rFonts w:ascii="Arial" w:cs="Arial" w:eastAsia="Arial" w:hAnsi="Arial"/>
          <w:color w:val="444444"/>
          <w:sz w:val="19"/>
          <w:szCs w:val="19"/>
        </w:rPr>
        <w:t xml:space="preserve">Qin et al. (2025). Scaling Laws of Synthetic Data for Language Models. arXiv (2025).</w:t>
      </w:r>
    </w:p>
    <w:p>
      <w:pPr>
        <w:spacing w:before="80" w:after="140" w:line="280"/>
        <w:jc w:val="both"/>
      </w:pPr>
      <w:r>
        <w:rPr>
          <w:rFonts w:ascii="Arial" w:cs="Arial" w:eastAsia="Arial" w:hAnsi="Arial"/>
          <w:color w:val="444444"/>
          <w:sz w:val="19"/>
          <w:szCs w:val="19"/>
        </w:rPr>
        <w:t xml:space="preserve">Majumdar et al. (2024/2025). Genetic Instruct: Scaling up Synthetic Generation of Coding Instructions. arXiv:2407.21077.</w:t>
      </w:r>
    </w:p>
    <w:p>
      <w:pPr>
        <w:spacing w:before="80" w:after="140" w:line="280"/>
        <w:jc w:val="both"/>
      </w:pPr>
      <w:r>
        <w:rPr>
          <w:rFonts w:ascii="Arial" w:cs="Arial" w:eastAsia="Arial" w:hAnsi="Arial"/>
          <w:color w:val="444444"/>
          <w:sz w:val="19"/>
          <w:szCs w:val="19"/>
        </w:rPr>
        <w:t xml:space="preserve">Wu et al. (ICLR 2025). MATRIX: Synthesizing Post-Training Data for LLMs through Multi-Agent Simulation. arXiv:2410.14251.</w:t>
      </w:r>
    </w:p>
    <w:p>
      <w:pPr>
        <w:spacing w:before="80" w:after="140" w:line="280"/>
        <w:jc w:val="both"/>
      </w:pPr>
      <w:r>
        <w:rPr>
          <w:rFonts w:ascii="Arial" w:cs="Arial" w:eastAsia="Arial" w:hAnsi="Arial"/>
          <w:color w:val="444444"/>
          <w:sz w:val="19"/>
          <w:szCs w:val="19"/>
        </w:rPr>
        <w:t xml:space="preserve">Lightman et al. (2023). Let's Verify Step by Step. arXiv:2305.20050.</w:t>
      </w:r>
    </w:p>
    <w:p>
      <w:pPr>
        <w:spacing w:before="80" w:after="140" w:line="280"/>
        <w:jc w:val="both"/>
      </w:pPr>
      <w:r>
        <w:rPr>
          <w:rFonts w:ascii="Arial" w:cs="Arial" w:eastAsia="Arial" w:hAnsi="Arial"/>
          <w:color w:val="444444"/>
          <w:sz w:val="19"/>
          <w:szCs w:val="19"/>
        </w:rPr>
        <w:t xml:space="preserve">Dong et al. (2025). Tool-Star: Empowering LLM-Brained Multi-Tool Reasoner via Reinforcement Learning. arXiv (2025).</w:t>
      </w:r>
    </w:p>
    <w:p>
      <w:pPr>
        <w:spacing w:before="240" w:after="0"/>
      </w:pPr>
      <w:r>
        <w:t xml:space="preserve"/>
      </w:r>
    </w:p>
    <w:p>
      <w:pPr>
        <w:pBdr>
          <w:top w:val="single" w:color="2E5FAC" w:sz="4"/>
        </w:pBdr>
        <w:spacing w:before="240" w:after="0"/>
        <w:jc w:val="center"/>
      </w:pPr>
      <w:r>
        <w:rPr>
          <w:rFonts w:ascii="Arial" w:cs="Arial" w:eastAsia="Arial" w:hAnsi="Arial"/>
          <w:color w:val="444444"/>
          <w:sz w:val="18"/>
          <w:szCs w:val="18"/>
        </w:rPr>
        <w:t xml:space="preserve">End of Report  |  </w:t>
      </w:r>
      <w:r>
        <w:rPr>
          <w:rFonts w:ascii="Arial" w:cs="Arial" w:eastAsia="Arial" w:hAnsi="Arial"/>
          <w:i/>
          <w:iCs/>
          <w:color w:val="2E5FAC"/>
          <w:sz w:val="18"/>
          <w:szCs w:val="18"/>
        </w:rPr>
        <w:t xml:space="preserve">Synthetic Data for Agent Capabilities  |  Research Synthesis 2022–2025</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1B6CA8"/>
      <w:sz w:val="26"/>
      <w:szCs w:val="26"/>
    </w:rPr>
  </w:style>
  <w:style w:type="paragraph" w:styleId="Heading3">
    <w:name w:val="Heading 3"/>
    <w:basedOn w:val="Normal"/>
    <w:next w:val="Normal"/>
    <w:qFormat/>
    <w:pPr>
      <w:spacing w:before="240" w:after="80"/>
      <w:outlineLvl w:val="2"/>
    </w:pPr>
    <w:rPr>
      <w:rFonts w:ascii="Arial" w:cs="Arial" w:eastAsia="Arial" w:hAnsi="Arial"/>
      <w:b/>
      <w:bCs/>
      <w:color w:val="2E5FA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2026-03-05T03:14:57.795Z</dcterms:created>
  <dcterms:modified xsi:type="dcterms:W3CDTF">2026-03-05T03:14:57.796Z</dcterms:modified>
</cp:coreProperties>
</file>

<file path=docProps/custom.xml><?xml version="1.0" encoding="utf-8"?>
<Properties xmlns="http://schemas.openxmlformats.org/officeDocument/2006/custom-properties" xmlns:vt="http://schemas.openxmlformats.org/officeDocument/2006/docPropsVTypes"/>
</file>