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48"/>
          <w:szCs w:val="48"/>
        </w:rPr>
        <w:t xml:space="preserve">DATA ANNOTATION &amp; LABELING</w:t>
      </w:r>
    </w:p>
    <w:p>
      <w:pPr>
        <w:spacing w:before="0" w:after="200"/>
        <w:jc w:val="center"/>
      </w:pPr>
      <w:r>
        <w:rPr>
          <w:rFonts w:ascii="Arial" w:cs="Arial" w:eastAsia="Arial" w:hAnsi="Arial"/>
          <w:b/>
          <w:bCs/>
          <w:color w:val="2E75B6"/>
          <w:sz w:val="44"/>
          <w:szCs w:val="44"/>
        </w:rPr>
        <w:t xml:space="preserve">IN THE AGENTIC AI ERA</w:t>
      </w:r>
    </w:p>
    <w:p>
      <w:pPr>
        <w:pBdr>
          <w:bottom w:val="single" w:color="2E75B6" w:sz="8" w:space="1"/>
        </w:pBdr>
        <w:spacing w:before="0" w:after="600"/>
        <w:jc w:val="center"/>
      </w:pPr>
      <w:r>
        <w:rPr>
          <w:rFonts w:ascii="Arial" w:cs="Arial" w:eastAsia="Arial" w:hAnsi="Arial"/>
          <w:i/>
          <w:iCs/>
          <w:color w:val="555555"/>
          <w:sz w:val="26"/>
          <w:szCs w:val="26"/>
        </w:rPr>
        <w:t xml:space="preserve">A Comprehensive Industry Overview — 2025–2026</w:t>
      </w:r>
    </w:p>
    <w:p>
      <w:pPr>
        <w:spacing w:before="400" w:after="100"/>
        <w:jc w:val="center"/>
      </w:pPr>
      <w:r>
        <w:rPr>
          <w:rFonts w:ascii="Arial" w:cs="Arial" w:eastAsia="Arial" w:hAnsi="Arial"/>
          <w:color w:val="333333"/>
          <w:sz w:val="22"/>
          <w:szCs w:val="22"/>
        </w:rPr>
        <w:t xml:space="preserve">Covering: Agentic Data Pipelines  |  Financial Document Intelligence</w:t>
      </w:r>
    </w:p>
    <w:p>
      <w:pPr>
        <w:spacing w:before="0" w:after="2000"/>
        <w:jc w:val="center"/>
      </w:pPr>
      <w:r>
        <w:rPr>
          <w:rFonts w:ascii="Arial" w:cs="Arial" w:eastAsia="Arial" w:hAnsi="Arial"/>
          <w:color w:val="333333"/>
          <w:sz w:val="22"/>
          <w:szCs w:val="22"/>
        </w:rPr>
        <w:t xml:space="preserve">Synthetic Data Generation  |  Expert RLHF Networks  |  LLM Reasoning Data</w:t>
      </w:r>
    </w:p>
    <w:p>
      <w:pPr>
        <w:pBdr>
          <w:bottom w:val="single" w:color="2E75B6" w:sz="6" w:space="1"/>
        </w:pBdr>
        <w:spacing w:before="200" w:after="200"/>
      </w:pPr>
    </w:p>
    <w:p>
      <w:pPr>
        <w:pStyle w:val="Heading1"/>
        <w:spacing w:before="400" w:after="160"/>
      </w:pPr>
      <w:r>
        <w:rPr>
          <w:rFonts w:ascii="Arial" w:cs="Arial" w:eastAsia="Arial" w:hAnsi="Arial"/>
          <w:b/>
          <w:bCs/>
          <w:color w:val="1F4E79"/>
          <w:sz w:val="36"/>
          <w:szCs w:val="36"/>
        </w:rPr>
        <w:t xml:space="preserve">Executive Summary</w:t>
      </w:r>
    </w:p>
    <w:p>
      <w:pPr>
        <w:spacing w:before="60" w:after="100"/>
      </w:pPr>
      <w:r>
        <w:rPr>
          <w:rFonts w:ascii="Arial" w:cs="Arial" w:eastAsia="Arial" w:hAnsi="Arial"/>
          <w:sz w:val="22"/>
          <w:szCs w:val="22"/>
        </w:rPr>
        <w:t xml:space="preserve">The data annotation and labeling industry is undergoing its most dramatic transformation since its inception. What began as a manual, crowdsourced process of drawing bounding boxes and labeling images has evolved into a sophisticated ecosystem where AI agents annotate data at scale, expert humans provide domain-specific judgment for frontier model training, and synthetic data pipelines generate reasoning traces for math, coding, and complex problem-solving.</w:t>
      </w:r>
    </w:p>
    <w:p>
      <w:pPr>
        <w:spacing w:before="60" w:after="100"/>
      </w:pPr>
      <w:r>
        <w:rPr>
          <w:rFonts w:ascii="Arial" w:cs="Arial" w:eastAsia="Arial" w:hAnsi="Arial"/>
          <w:sz w:val="22"/>
          <w:szCs w:val="22"/>
        </w:rPr>
        <w:t xml:space="preserve">By 2025, leading AI laboratories — OpenAI, Google DeepMind, Anthropic, Meta, and Microsoft — are each spending on the order of $1 billion annually on human-curated training data. The market has bifurcated into two tiers: large-scale commodity labeling platforms handling routine tasks cheaply and at speed, and boutique expert networks recruiting PhDs, attorneys, Wall Street analysts, and domain specialists to teach models nuanced judgment.</w:t>
      </w:r>
    </w:p>
    <w:p>
      <w:pPr>
        <w:spacing w:before="60" w:after="100"/>
      </w:pPr>
      <w:r>
        <w:rPr>
          <w:rFonts w:ascii="Arial" w:cs="Arial" w:eastAsia="Arial" w:hAnsi="Arial"/>
          <w:sz w:val="22"/>
          <w:szCs w:val="22"/>
        </w:rPr>
        <w:t xml:space="preserve">Three structural forces are reshaping the landscape simultaneously: (1) the Meta–Scale AI deal (a $15B, 49% acquisition) triggered a mass exodus of customers from Scale and created a windfall for independent competitors; (2) reinforcement learning from human feedback (RLHF) and agentic AI training demand a new class of sophisticated human labeler; and (3) synthetic data generation — particularly for reasoning, math, and coding — is emerging as a critical complement to human annotation, growing from ~$0.5B in 2025 toward an estimated $2.7B market by 2030.</w:t>
      </w:r>
    </w:p>
    <w:p>
      <w:pPr>
        <w:shd w:fill="EBF5FB" w:val="clear"/>
        <w:spacing w:before="80" w:after="80"/>
        <w:ind w:left="720" w:right="720"/>
      </w:pPr>
      <w:r>
        <w:rPr>
          <w:rFonts w:ascii="Arial" w:cs="Arial" w:eastAsia="Arial" w:hAnsi="Arial"/>
          <w:i/>
          <w:iCs/>
          <w:color w:val="2C3E50"/>
          <w:sz w:val="21"/>
          <w:szCs w:val="21"/>
        </w:rPr>
        <w:t xml:space="preserve">💡 This report organizes companies into six major categories: (1) Agentic &amp; Full-Service Platforms, (2) Expert Human Intelligence Networks, (3) Annotation Software &amp; Tooling Platforms, (4) Financial Document &amp; Corporate Intelligence Specialists, (5) Synthetic Data &amp; AI-Generated Reasoning Data Companies, and (6) Intelligent Document Processing (IDP) Companies.</w:t>
      </w:r>
    </w:p>
    <w:p>
      <w:r>
        <w:br w:type="page"/>
      </w:r>
    </w:p>
    <w:p>
      <w:pPr>
        <w:pStyle w:val="Heading1"/>
        <w:spacing w:before="400" w:after="160"/>
      </w:pPr>
      <w:r>
        <w:rPr>
          <w:rFonts w:ascii="Arial" w:cs="Arial" w:eastAsia="Arial" w:hAnsi="Arial"/>
          <w:b/>
          <w:bCs/>
          <w:color w:val="1F4E79"/>
          <w:sz w:val="36"/>
          <w:szCs w:val="36"/>
        </w:rPr>
        <w:t xml:space="preserve">Section 1: The Agentic Data Annotation Landscape</w:t>
      </w:r>
    </w:p>
    <w:p>
      <w:pPr>
        <w:pStyle w:val="Heading2"/>
        <w:spacing w:before="320" w:after="120"/>
      </w:pPr>
      <w:r>
        <w:rPr>
          <w:rFonts w:ascii="Arial" w:cs="Arial" w:eastAsia="Arial" w:hAnsi="Arial"/>
          <w:b/>
          <w:bCs/>
          <w:color w:val="2E75B6"/>
          <w:sz w:val="28"/>
          <w:szCs w:val="28"/>
        </w:rPr>
        <w:t xml:space="preserve">1.1 What Is Agentic Data Labeling?</w:t>
      </w:r>
    </w:p>
    <w:p>
      <w:pPr>
        <w:spacing w:before="60" w:after="100"/>
      </w:pPr>
      <w:r>
        <w:rPr>
          <w:rFonts w:ascii="Arial" w:cs="Arial" w:eastAsia="Arial" w:hAnsi="Arial"/>
          <w:sz w:val="22"/>
          <w:szCs w:val="22"/>
        </w:rPr>
        <w:t xml:space="preserve">Traditional data annotation relied entirely on human annotators working with specialized tools. The current paradigm — agentic data workflows — involves LLM-based AI agents handling complex labeling tasks autonomously, with humans focusing on quality assurance, edge cases, and the highest-stakes decisions. Research indicates that integrating AI agents into labeling pipelines can reduce manual effort by roughly 50% and cut annotation costs by up to 4x while maintaining accuracy above 90%.</w:t>
      </w:r>
    </w:p>
    <w:p>
      <w:pPr>
        <w:spacing w:before="60" w:after="100"/>
      </w:pPr>
      <w:r>
        <w:rPr>
          <w:rFonts w:ascii="Arial" w:cs="Arial" w:eastAsia="Arial" w:hAnsi="Arial"/>
          <w:sz w:val="22"/>
          <w:szCs w:val="22"/>
        </w:rPr>
        <w:t xml:space="preserve">The four primary agent roles in modern annotation pipelines are:</w:t>
      </w:r>
    </w:p>
    <w:p>
      <w:pPr>
        <w:pStyle w:val="ListParagraph"/>
        <w:numPr>
          <w:ilvl w:val="0"/>
          <w:numId w:val="2"/>
        </w:numPr>
        <w:spacing w:before="40" w:after="40"/>
      </w:pPr>
      <w:r>
        <w:rPr>
          <w:rFonts w:ascii="Arial" w:cs="Arial" w:eastAsia="Arial" w:hAnsi="Arial"/>
          <w:sz w:val="22"/>
          <w:szCs w:val="22"/>
        </w:rPr>
        <w:t xml:space="preserve">Pre-labeling Agents: Use foundation models (GPT-4o, Claude, Gemini) to generate initial labels for text classification, sentiment analysis, entity recognition, and image segmentation. These agents reduce human workload by 70–80% for routine tasks.</w:t>
      </w:r>
    </w:p>
    <w:p>
      <w:pPr>
        <w:pStyle w:val="ListParagraph"/>
        <w:numPr>
          <w:ilvl w:val="0"/>
          <w:numId w:val="2"/>
        </w:numPr>
        <w:spacing w:before="40" w:after="40"/>
      </w:pPr>
      <w:r>
        <w:rPr>
          <w:rFonts w:ascii="Arial" w:cs="Arial" w:eastAsia="Arial" w:hAnsi="Arial"/>
          <w:sz w:val="22"/>
          <w:szCs w:val="22"/>
        </w:rPr>
        <w:t xml:space="preserve">Quality Assurance Agents: Cross-reference multiple annotations, identify outliers, and flag ambiguous cases. They work alongside human QA teams to catch inconsistencies before data enters training pipelines.</w:t>
      </w:r>
    </w:p>
    <w:p>
      <w:pPr>
        <w:pStyle w:val="ListParagraph"/>
        <w:numPr>
          <w:ilvl w:val="0"/>
          <w:numId w:val="2"/>
        </w:numPr>
        <w:spacing w:before="40" w:after="40"/>
      </w:pPr>
      <w:r>
        <w:rPr>
          <w:rFonts w:ascii="Arial" w:cs="Arial" w:eastAsia="Arial" w:hAnsi="Arial"/>
          <w:sz w:val="22"/>
          <w:szCs w:val="22"/>
        </w:rPr>
        <w:t xml:space="preserve">Routing &amp; Orchestration Agents: Assess task difficulty, annotator expertise, and workload distribution to route tasks intelligently — maximizing throughput while maintaining quality standards.</w:t>
      </w:r>
    </w:p>
    <w:p>
      <w:pPr>
        <w:pStyle w:val="ListParagraph"/>
        <w:numPr>
          <w:ilvl w:val="0"/>
          <w:numId w:val="2"/>
        </w:numPr>
        <w:spacing w:before="40" w:after="40"/>
      </w:pPr>
      <w:r>
        <w:rPr>
          <w:rFonts w:ascii="Arial" w:cs="Arial" w:eastAsia="Arial" w:hAnsi="Arial"/>
          <w:sz w:val="22"/>
          <w:szCs w:val="22"/>
        </w:rPr>
        <w:t xml:space="preserve">Active Learning Agents: Identify the most informative data points for human annotation, reducing the total volume of samples that require human review while preserving training signal quality.</w:t>
      </w:r>
    </w:p>
    <w:p>
      <w:pPr>
        <w:pStyle w:val="Heading2"/>
        <w:spacing w:before="320" w:after="120"/>
      </w:pPr>
      <w:r>
        <w:rPr>
          <w:rFonts w:ascii="Arial" w:cs="Arial" w:eastAsia="Arial" w:hAnsi="Arial"/>
          <w:b/>
          <w:bCs/>
          <w:color w:val="2E75B6"/>
          <w:sz w:val="28"/>
          <w:szCs w:val="28"/>
        </w:rPr>
        <w:t xml:space="preserve">1.2 The RLHF Frontier: Why Expert Annotation Now Dominates</w:t>
      </w:r>
    </w:p>
    <w:p>
      <w:pPr>
        <w:spacing w:before="60" w:after="100"/>
      </w:pPr>
      <w:r>
        <w:rPr>
          <w:rFonts w:ascii="Arial" w:cs="Arial" w:eastAsia="Arial" w:hAnsi="Arial"/>
          <w:sz w:val="22"/>
          <w:szCs w:val="22"/>
        </w:rPr>
        <w:t xml:space="preserve">The shift from simple image labeling to reinforcement learning from human feedback (RLHF) for LLM training has fundamentally changed what data annotation companies must deliver. Modern frontier model training requires annotators who can:</w:t>
      </w:r>
    </w:p>
    <w:p>
      <w:pPr>
        <w:pStyle w:val="ListParagraph"/>
        <w:numPr>
          <w:ilvl w:val="0"/>
          <w:numId w:val="2"/>
        </w:numPr>
        <w:spacing w:before="40" w:after="40"/>
      </w:pPr>
      <w:r>
        <w:rPr>
          <w:rFonts w:ascii="Arial" w:cs="Arial" w:eastAsia="Arial" w:hAnsi="Arial"/>
          <w:sz w:val="22"/>
          <w:szCs w:val="22"/>
        </w:rPr>
        <w:t xml:space="preserve">Rank model outputs on helpfulness, factual correctness, safety, tone, and cultural sensitivity simultaneously</w:t>
      </w:r>
    </w:p>
    <w:p>
      <w:pPr>
        <w:pStyle w:val="ListParagraph"/>
        <w:numPr>
          <w:ilvl w:val="0"/>
          <w:numId w:val="2"/>
        </w:numPr>
        <w:spacing w:before="40" w:after="40"/>
      </w:pPr>
      <w:r>
        <w:rPr>
          <w:rFonts w:ascii="Arial" w:cs="Arial" w:eastAsia="Arial" w:hAnsi="Arial"/>
          <w:sz w:val="22"/>
          <w:szCs w:val="22"/>
        </w:rPr>
        <w:t xml:space="preserve">Evaluate AI-generated code for correctness, efficiency, and security vulnerabilities</w:t>
      </w:r>
    </w:p>
    <w:p>
      <w:pPr>
        <w:pStyle w:val="ListParagraph"/>
        <w:numPr>
          <w:ilvl w:val="0"/>
          <w:numId w:val="2"/>
        </w:numPr>
        <w:spacing w:before="40" w:after="40"/>
      </w:pPr>
      <w:r>
        <w:rPr>
          <w:rFonts w:ascii="Arial" w:cs="Arial" w:eastAsia="Arial" w:hAnsi="Arial"/>
          <w:sz w:val="22"/>
          <w:szCs w:val="22"/>
        </w:rPr>
        <w:t xml:space="preserve">Verify complex mathematical reasoning across multi-step proofs</w:t>
      </w:r>
    </w:p>
    <w:p>
      <w:pPr>
        <w:pStyle w:val="ListParagraph"/>
        <w:numPr>
          <w:ilvl w:val="0"/>
          <w:numId w:val="2"/>
        </w:numPr>
        <w:spacing w:before="40" w:after="40"/>
      </w:pPr>
      <w:r>
        <w:rPr>
          <w:rFonts w:ascii="Arial" w:cs="Arial" w:eastAsia="Arial" w:hAnsi="Arial"/>
          <w:sz w:val="22"/>
          <w:szCs w:val="22"/>
        </w:rPr>
        <w:t xml:space="preserve">Perform adversarial red-teaming to find model vulnerabilities</w:t>
      </w:r>
    </w:p>
    <w:p>
      <w:pPr>
        <w:pStyle w:val="ListParagraph"/>
        <w:numPr>
          <w:ilvl w:val="0"/>
          <w:numId w:val="2"/>
        </w:numPr>
        <w:spacing w:before="40" w:after="40"/>
      </w:pPr>
      <w:r>
        <w:rPr>
          <w:rFonts w:ascii="Arial" w:cs="Arial" w:eastAsia="Arial" w:hAnsi="Arial"/>
          <w:sz w:val="22"/>
          <w:szCs w:val="22"/>
        </w:rPr>
        <w:t xml:space="preserve">Generate and grade synthetic reasoning traces for reinforcement learning environments</w:t>
      </w:r>
    </w:p>
    <w:p>
      <w:pPr>
        <w:spacing w:before="60" w:after="100"/>
      </w:pPr>
      <w:r>
        <w:rPr>
          <w:rFonts w:ascii="Arial" w:cs="Arial" w:eastAsia="Arial" w:hAnsi="Arial"/>
          <w:sz w:val="22"/>
          <w:szCs w:val="22"/>
        </w:rPr>
        <w:t xml:space="preserve">This has made specialized talent — mathematicians, attorneys, physicians, engineers — the most valued commodity in AI training. Surge AI reportedly employs over 20,000 professionals with doctoral degrees, including Wall Street economists, NIH medical advisors, Stanford researchers, and NASA engineers.</w:t>
      </w:r>
    </w:p>
    <w:p>
      <w:r>
        <w:br w:type="page"/>
      </w:r>
    </w:p>
    <w:p>
      <w:pPr>
        <w:pStyle w:val="Heading1"/>
        <w:spacing w:before="400" w:after="160"/>
      </w:pPr>
      <w:r>
        <w:rPr>
          <w:rFonts w:ascii="Arial" w:cs="Arial" w:eastAsia="Arial" w:hAnsi="Arial"/>
          <w:b/>
          <w:bCs/>
          <w:color w:val="1F4E79"/>
          <w:sz w:val="36"/>
          <w:szCs w:val="36"/>
        </w:rPr>
        <w:t xml:space="preserve">Section 2: Full-Service &amp; Agentic Annotation Platforms</w:t>
      </w:r>
    </w:p>
    <w:p>
      <w:pPr>
        <w:pStyle w:val="Heading2"/>
        <w:spacing w:before="320" w:after="120"/>
      </w:pPr>
      <w:r>
        <w:rPr>
          <w:rFonts w:ascii="Arial" w:cs="Arial" w:eastAsia="Arial" w:hAnsi="Arial"/>
          <w:b/>
          <w:bCs/>
          <w:color w:val="2E75B6"/>
          <w:sz w:val="28"/>
          <w:szCs w:val="28"/>
        </w:rPr>
        <w:t xml:space="preserve">2.1 Tier 1: Enterprise Giants</w:t>
      </w:r>
    </w:p>
    <w:p>
      <w:pPr>
        <w:pStyle w:val="Heading3"/>
        <w:spacing w:before="200" w:after="80"/>
      </w:pPr>
      <w:r>
        <w:rPr>
          <w:rFonts w:ascii="Arial" w:cs="Arial" w:eastAsia="Arial" w:hAnsi="Arial"/>
          <w:b/>
          <w:bCs/>
          <w:color w:val="1A1A2E"/>
          <w:sz w:val="24"/>
          <w:szCs w:val="24"/>
        </w:rPr>
        <w:t xml:space="preserve">Scale AI</w:t>
      </w:r>
    </w:p>
    <w:p>
      <w:pPr>
        <w:spacing w:before="60" w:after="100"/>
      </w:pPr>
      <w:r>
        <w:rPr>
          <w:rFonts w:ascii="Arial" w:cs="Arial" w:eastAsia="Arial" w:hAnsi="Arial"/>
          <w:sz w:val="22"/>
          <w:szCs w:val="22"/>
        </w:rPr>
        <w:t xml:space="preserve">Founded: 2016 | HQ: San Francisco | Status: 49% acquired by Meta (June 2025) | Valuation: ~$30B</w:t>
      </w:r>
    </w:p>
    <w:p>
      <w:pPr>
        <w:spacing w:before="60" w:after="100"/>
      </w:pPr>
      <w:r>
        <w:rPr>
          <w:rFonts w:ascii="Arial" w:cs="Arial" w:eastAsia="Arial" w:hAnsi="Arial"/>
          <w:sz w:val="22"/>
          <w:szCs w:val="22"/>
        </w:rPr>
        <w:t xml:space="preserve">Scale AI was the dominant force in data annotation for AI, serving clients from Tesla and Waymo to OpenAI and the US Department of Defense ($249M DoD contract). The company built its reputation on combining ML-assisted labeling with a large crowdsourcing workforce (Remotasks platform) and later expanded aggressively into RLHF, LLM training data, and a full-stack data engine for enterprise AI.</w:t>
      </w:r>
    </w:p>
    <w:p>
      <w:pPr>
        <w:spacing w:before="60" w:after="100"/>
      </w:pPr>
      <w:r>
        <w:rPr>
          <w:rFonts w:ascii="Arial" w:cs="Arial" w:eastAsia="Arial" w:hAnsi="Arial"/>
          <w:sz w:val="22"/>
          <w:szCs w:val="22"/>
        </w:rPr>
        <w:t xml:space="preserve">The 2025 Meta deal — in which Meta took a 49% stake and brought Scale CEO Alexandr Wang on as Meta's Chief AI Officer — fundamentally disrupted the market. Google (Scale's largest customer) and OpenAI both moved their training data work away from Scale over concerns about competitive data access. This triggered a gold rush for independent alternatives, with Surge AI, Mercor, and Handshake as primary beneficiaries.</w:t>
      </w:r>
    </w:p>
    <w:p>
      <w:pPr>
        <w:pStyle w:val="ListParagraph"/>
        <w:numPr>
          <w:ilvl w:val="0"/>
          <w:numId w:val="2"/>
        </w:numPr>
        <w:spacing w:before="40" w:after="40"/>
      </w:pPr>
      <w:r>
        <w:rPr>
          <w:rFonts w:ascii="Arial" w:cs="Arial" w:eastAsia="Arial" w:hAnsi="Arial"/>
          <w:sz w:val="22"/>
          <w:szCs w:val="22"/>
        </w:rPr>
        <w:t xml:space="preserve">Core Products: Rapid (crowdsourced labeling), Scale Data Engine (LLM training pipeline), Scale Evaluation, Scale Government</w:t>
      </w:r>
    </w:p>
    <w:p>
      <w:pPr>
        <w:pStyle w:val="ListParagraph"/>
        <w:numPr>
          <w:ilvl w:val="0"/>
          <w:numId w:val="2"/>
        </w:numPr>
        <w:spacing w:before="40" w:after="40"/>
      </w:pPr>
      <w:r>
        <w:rPr>
          <w:rFonts w:ascii="Arial" w:cs="Arial" w:eastAsia="Arial" w:hAnsi="Arial"/>
          <w:sz w:val="22"/>
          <w:szCs w:val="22"/>
        </w:rPr>
        <w:t xml:space="preserve">RLHF &amp; Agentic: Outlier (Scale subsidiary) connects AI labs with expert evaluators for code, math, and domain-specific tasks</w:t>
      </w:r>
    </w:p>
    <w:p>
      <w:pPr>
        <w:pStyle w:val="ListParagraph"/>
        <w:numPr>
          <w:ilvl w:val="0"/>
          <w:numId w:val="2"/>
        </w:numPr>
        <w:spacing w:before="40" w:after="40"/>
      </w:pPr>
      <w:r>
        <w:rPr>
          <w:rFonts w:ascii="Arial" w:cs="Arial" w:eastAsia="Arial" w:hAnsi="Arial"/>
          <w:sz w:val="22"/>
          <w:szCs w:val="22"/>
        </w:rPr>
        <w:t xml:space="preserve">Key clients (historical): OpenAI, Meta, Google, Tesla, Waymo, Airbnb, NVIDIA, US DoD</w:t>
      </w:r>
    </w:p>
    <w:p>
      <w:pPr>
        <w:pStyle w:val="ListParagraph"/>
        <w:numPr>
          <w:ilvl w:val="0"/>
          <w:numId w:val="2"/>
        </w:numPr>
        <w:spacing w:before="40" w:after="40"/>
      </w:pPr>
      <w:r>
        <w:rPr>
          <w:rFonts w:ascii="Arial" w:cs="Arial" w:eastAsia="Arial" w:hAnsi="Arial"/>
          <w:sz w:val="22"/>
          <w:szCs w:val="22"/>
        </w:rPr>
        <w:t xml:space="preserve">2025 Revenue: Estimated $2B+ ARR</w:t>
      </w:r>
    </w:p>
    <w:p>
      <w:pPr>
        <w:pStyle w:val="Heading3"/>
        <w:spacing w:before="200" w:after="80"/>
      </w:pPr>
      <w:r>
        <w:rPr>
          <w:rFonts w:ascii="Arial" w:cs="Arial" w:eastAsia="Arial" w:hAnsi="Arial"/>
          <w:b/>
          <w:bCs/>
          <w:color w:val="1A1A2E"/>
          <w:sz w:val="24"/>
          <w:szCs w:val="24"/>
        </w:rPr>
        <w:t xml:space="preserve">Appen</w:t>
      </w:r>
    </w:p>
    <w:p>
      <w:pPr>
        <w:spacing w:before="60" w:after="100"/>
      </w:pPr>
      <w:r>
        <w:rPr>
          <w:rFonts w:ascii="Arial" w:cs="Arial" w:eastAsia="Arial" w:hAnsi="Arial"/>
          <w:sz w:val="22"/>
          <w:szCs w:val="22"/>
        </w:rPr>
        <w:t xml:space="preserve">Founded: 1996 | HQ: Sydney, Australia | Status: Public | Valuation: ~$130M (down from $4.3B in 2020)</w:t>
      </w:r>
    </w:p>
    <w:p>
      <w:pPr>
        <w:spacing w:before="60" w:after="100"/>
      </w:pPr>
      <w:r>
        <w:rPr>
          <w:rFonts w:ascii="Arial" w:cs="Arial" w:eastAsia="Arial" w:hAnsi="Arial"/>
          <w:sz w:val="22"/>
          <w:szCs w:val="22"/>
        </w:rPr>
        <w:t xml:space="preserve">Appen is the oldest and most globally distributed data annotation company, with over 1 million contributors across 200+ languages. It pioneered crowdsourced annotation and served Microsoft, Apple, Meta, Google, and Amazon for decades. However, its heavy reliance on five major clients and its failure to adapt quickly to the RLHF era contributed to a dramatic valuation collapse. Appen has since repositioned toward LLM fine-tuning, RLHF services, and multilingual AI evaluation.</w:t>
      </w:r>
    </w:p>
    <w:p>
      <w:pPr>
        <w:pStyle w:val="ListParagraph"/>
        <w:numPr>
          <w:ilvl w:val="0"/>
          <w:numId w:val="2"/>
        </w:numPr>
        <w:spacing w:before="40" w:after="40"/>
      </w:pPr>
      <w:r>
        <w:rPr>
          <w:rFonts w:ascii="Arial" w:cs="Arial" w:eastAsia="Arial" w:hAnsi="Arial"/>
          <w:sz w:val="22"/>
          <w:szCs w:val="22"/>
        </w:rPr>
        <w:t xml:space="preserve">Strengths: Global workforce, 200+ languages, two decades of delivery processes</w:t>
      </w:r>
    </w:p>
    <w:p>
      <w:pPr>
        <w:pStyle w:val="ListParagraph"/>
        <w:numPr>
          <w:ilvl w:val="0"/>
          <w:numId w:val="2"/>
        </w:numPr>
        <w:spacing w:before="40" w:after="40"/>
      </w:pPr>
      <w:r>
        <w:rPr>
          <w:rFonts w:ascii="Arial" w:cs="Arial" w:eastAsia="Arial" w:hAnsi="Arial"/>
          <w:sz w:val="22"/>
          <w:szCs w:val="22"/>
        </w:rPr>
        <w:t xml:space="preserve">RLHF Services: Annotation for preference labeling, instruction following, safety evaluation</w:t>
      </w:r>
    </w:p>
    <w:p>
      <w:pPr>
        <w:pStyle w:val="ListParagraph"/>
        <w:numPr>
          <w:ilvl w:val="0"/>
          <w:numId w:val="2"/>
        </w:numPr>
        <w:spacing w:before="40" w:after="40"/>
      </w:pPr>
      <w:r>
        <w:rPr>
          <w:rFonts w:ascii="Arial" w:cs="Arial" w:eastAsia="Arial" w:hAnsi="Arial"/>
          <w:sz w:val="22"/>
          <w:szCs w:val="22"/>
        </w:rPr>
        <w:t xml:space="preserve">Challenges: Commoditization pressure, loss of major client relationships, rebuilding for GenAI era</w:t>
      </w:r>
    </w:p>
    <w:p>
      <w:pPr>
        <w:pStyle w:val="Heading3"/>
        <w:spacing w:before="200" w:after="80"/>
      </w:pPr>
      <w:r>
        <w:rPr>
          <w:rFonts w:ascii="Arial" w:cs="Arial" w:eastAsia="Arial" w:hAnsi="Arial"/>
          <w:b/>
          <w:bCs/>
          <w:color w:val="1A1A2E"/>
          <w:sz w:val="24"/>
          <w:szCs w:val="24"/>
        </w:rPr>
        <w:t xml:space="preserve">TELUS International</w:t>
      </w:r>
    </w:p>
    <w:p>
      <w:pPr>
        <w:spacing w:before="60" w:after="100"/>
      </w:pPr>
      <w:r>
        <w:rPr>
          <w:rFonts w:ascii="Arial" w:cs="Arial" w:eastAsia="Arial" w:hAnsi="Arial"/>
          <w:sz w:val="22"/>
          <w:szCs w:val="22"/>
        </w:rPr>
        <w:t xml:space="preserve">Founded: 2005 | HQ: Vancouver, Canada | Status: Public (NYSE: TIXT)</w:t>
      </w:r>
    </w:p>
    <w:p>
      <w:pPr>
        <w:spacing w:before="60" w:after="100"/>
      </w:pPr>
      <w:r>
        <w:rPr>
          <w:rFonts w:ascii="Arial" w:cs="Arial" w:eastAsia="Arial" w:hAnsi="Arial"/>
          <w:sz w:val="22"/>
          <w:szCs w:val="22"/>
        </w:rPr>
        <w:t xml:space="preserve">TELUS International provides large-scale data annotation through its Ground Truth Studio platform. With over two decades of AI-related project experience, the platform supports 100+ languages and claims to deliver more than two billion labels annually. Its AI-assisted labeling features — automated labeling, configurable workflows, and project management — represent a solid hybrid human-AI approach. TELUS also acquired Lionbridge AI, deepening its multilingual annotation capabilities.</w:t>
      </w:r>
    </w:p>
    <w:p>
      <w:pPr>
        <w:pStyle w:val="ListParagraph"/>
        <w:numPr>
          <w:ilvl w:val="0"/>
          <w:numId w:val="2"/>
        </w:numPr>
        <w:spacing w:before="40" w:after="40"/>
      </w:pPr>
      <w:r>
        <w:rPr>
          <w:rFonts w:ascii="Arial" w:cs="Arial" w:eastAsia="Arial" w:hAnsi="Arial"/>
          <w:sz w:val="22"/>
          <w:szCs w:val="22"/>
        </w:rPr>
        <w:t xml:space="preserve">Platform: Ground Truth Studio — automated labeling, project management, configurable workflows</w:t>
      </w:r>
    </w:p>
    <w:p>
      <w:pPr>
        <w:pStyle w:val="ListParagraph"/>
        <w:numPr>
          <w:ilvl w:val="0"/>
          <w:numId w:val="2"/>
        </w:numPr>
        <w:spacing w:before="40" w:after="40"/>
      </w:pPr>
      <w:r>
        <w:rPr>
          <w:rFonts w:ascii="Arial" w:cs="Arial" w:eastAsia="Arial" w:hAnsi="Arial"/>
          <w:sz w:val="22"/>
          <w:szCs w:val="22"/>
        </w:rPr>
        <w:t xml:space="preserve">Data Types: Image, video, audio, text, sensor data, 3D point cloud, geo-location</w:t>
      </w:r>
    </w:p>
    <w:p>
      <w:pPr>
        <w:pStyle w:val="ListParagraph"/>
        <w:numPr>
          <w:ilvl w:val="0"/>
          <w:numId w:val="2"/>
        </w:numPr>
        <w:spacing w:before="40" w:after="40"/>
      </w:pPr>
      <w:r>
        <w:rPr>
          <w:rFonts w:ascii="Arial" w:cs="Arial" w:eastAsia="Arial" w:hAnsi="Arial"/>
          <w:sz w:val="22"/>
          <w:szCs w:val="22"/>
        </w:rPr>
        <w:t xml:space="preserve">Enterprise focus: Annotation compliance, security-conscious programs, multilingual evaluation</w:t>
      </w:r>
    </w:p>
    <w:p>
      <w:pPr>
        <w:pStyle w:val="Heading2"/>
        <w:spacing w:before="320" w:after="120"/>
      </w:pPr>
      <w:r>
        <w:rPr>
          <w:rFonts w:ascii="Arial" w:cs="Arial" w:eastAsia="Arial" w:hAnsi="Arial"/>
          <w:b/>
          <w:bCs/>
          <w:color w:val="2E75B6"/>
          <w:sz w:val="28"/>
          <w:szCs w:val="28"/>
        </w:rPr>
        <w:t xml:space="preserve">2.2 Tier 2: Managed Services &amp; Workforce Solutions</w:t>
      </w:r>
    </w:p>
    <w:p>
      <w:pPr>
        <w:pStyle w:val="Heading3"/>
        <w:spacing w:before="200" w:after="80"/>
      </w:pPr>
      <w:r>
        <w:rPr>
          <w:rFonts w:ascii="Arial" w:cs="Arial" w:eastAsia="Arial" w:hAnsi="Arial"/>
          <w:b/>
          <w:bCs/>
          <w:color w:val="1A1A2E"/>
          <w:sz w:val="24"/>
          <w:szCs w:val="24"/>
        </w:rPr>
        <w:t xml:space="preserve">Sama</w:t>
      </w:r>
    </w:p>
    <w:p>
      <w:pPr>
        <w:spacing w:before="60" w:after="100"/>
      </w:pPr>
      <w:r>
        <w:rPr>
          <w:rFonts w:ascii="Arial" w:cs="Arial" w:eastAsia="Arial" w:hAnsi="Arial"/>
          <w:sz w:val="22"/>
          <w:szCs w:val="22"/>
        </w:rPr>
        <w:t xml:space="preserve">Founded: 2008 | HQ: San Francisco</w:t>
      </w:r>
    </w:p>
    <w:p>
      <w:pPr>
        <w:spacing w:before="60" w:after="100"/>
      </w:pPr>
      <w:r>
        <w:rPr>
          <w:rFonts w:ascii="Arial" w:cs="Arial" w:eastAsia="Arial" w:hAnsi="Arial"/>
          <w:sz w:val="22"/>
          <w:szCs w:val="22"/>
        </w:rPr>
        <w:t xml:space="preserve">Sama combines expert-led human annotation with automation for computer vision, NLP, and multimodal AI. The company is notable for its ethical mission — founded on the principle that talent is equally distributed but opportunity is not, Sama creates fair-wage work for people historically excluded from the digital economy. It maintains a 99% accuracy rate across labeling projects and specializes in complex, safety-critical annotation for autonomous systems and robotics.</w:t>
      </w:r>
    </w:p>
    <w:p>
      <w:pPr>
        <w:pStyle w:val="ListParagraph"/>
        <w:numPr>
          <w:ilvl w:val="0"/>
          <w:numId w:val="2"/>
        </w:numPr>
        <w:spacing w:before="40" w:after="40"/>
      </w:pPr>
      <w:r>
        <w:rPr>
          <w:rFonts w:ascii="Arial" w:cs="Arial" w:eastAsia="Arial" w:hAnsi="Arial"/>
          <w:sz w:val="22"/>
          <w:szCs w:val="22"/>
        </w:rPr>
        <w:t xml:space="preserve">Human-in-the-loop (HITL) validation for high-stakes AI applications</w:t>
      </w:r>
    </w:p>
    <w:p>
      <w:pPr>
        <w:pStyle w:val="ListParagraph"/>
        <w:numPr>
          <w:ilvl w:val="0"/>
          <w:numId w:val="2"/>
        </w:numPr>
        <w:spacing w:before="40" w:after="40"/>
      </w:pPr>
      <w:r>
        <w:rPr>
          <w:rFonts w:ascii="Arial" w:cs="Arial" w:eastAsia="Arial" w:hAnsi="Arial"/>
          <w:sz w:val="22"/>
          <w:szCs w:val="22"/>
        </w:rPr>
        <w:t xml:space="preserve">Clients: automotive (3D LiDAR point clouds), retail (product attribute annotation), robotics</w:t>
      </w:r>
    </w:p>
    <w:p>
      <w:pPr>
        <w:pStyle w:val="Heading3"/>
        <w:spacing w:before="200" w:after="80"/>
      </w:pPr>
      <w:r>
        <w:rPr>
          <w:rFonts w:ascii="Arial" w:cs="Arial" w:eastAsia="Arial" w:hAnsi="Arial"/>
          <w:b/>
          <w:bCs/>
          <w:color w:val="1A1A2E"/>
          <w:sz w:val="24"/>
          <w:szCs w:val="24"/>
        </w:rPr>
        <w:t xml:space="preserve">CloudFactory</w:t>
      </w:r>
    </w:p>
    <w:p>
      <w:pPr>
        <w:spacing w:before="60" w:after="100"/>
      </w:pPr>
      <w:r>
        <w:rPr>
          <w:rFonts w:ascii="Arial" w:cs="Arial" w:eastAsia="Arial" w:hAnsi="Arial"/>
          <w:sz w:val="22"/>
          <w:szCs w:val="22"/>
        </w:rPr>
        <w:t xml:space="preserve">Founded: 2010 | HQ: London/Nepal</w:t>
      </w:r>
    </w:p>
    <w:p>
      <w:pPr>
        <w:spacing w:before="60" w:after="100"/>
      </w:pPr>
      <w:r>
        <w:rPr>
          <w:rFonts w:ascii="Arial" w:cs="Arial" w:eastAsia="Arial" w:hAnsi="Arial"/>
          <w:sz w:val="22"/>
          <w:szCs w:val="22"/>
        </w:rPr>
        <w:t xml:space="preserve">CloudFactory operates talent hubs in Nepal, Kenya, and the Philippines, providing managed annotation teams with transparent performance tracking. The company specializes in scalable, repeatable workflows with ISO 27001 certification and embedded team leads for continuous quality calibration.</w:t>
      </w:r>
    </w:p>
    <w:p>
      <w:pPr>
        <w:pStyle w:val="Heading3"/>
        <w:spacing w:before="200" w:after="80"/>
      </w:pPr>
      <w:r>
        <w:rPr>
          <w:rFonts w:ascii="Arial" w:cs="Arial" w:eastAsia="Arial" w:hAnsi="Arial"/>
          <w:b/>
          <w:bCs/>
          <w:color w:val="1A1A2E"/>
          <w:sz w:val="24"/>
          <w:szCs w:val="24"/>
        </w:rPr>
        <w:t xml:space="preserve">iMerit</w:t>
      </w:r>
    </w:p>
    <w:p>
      <w:pPr>
        <w:spacing w:before="60" w:after="100"/>
      </w:pPr>
      <w:r>
        <w:rPr>
          <w:rFonts w:ascii="Arial" w:cs="Arial" w:eastAsia="Arial" w:hAnsi="Arial"/>
          <w:sz w:val="22"/>
          <w:szCs w:val="22"/>
        </w:rPr>
        <w:t xml:space="preserve">Founded: 2012 | HQ: San Francisco</w:t>
      </w:r>
    </w:p>
    <w:p>
      <w:pPr>
        <w:spacing w:before="60" w:after="100"/>
      </w:pPr>
      <w:r>
        <w:rPr>
          <w:rFonts w:ascii="Arial" w:cs="Arial" w:eastAsia="Arial" w:hAnsi="Arial"/>
          <w:sz w:val="22"/>
          <w:szCs w:val="22"/>
        </w:rPr>
        <w:t xml:space="preserve">iMerit specializes in complex computer vision annotation with deep expertise in healthcare (medical imaging), agriculture, and retail. The company offers Ango Hub — a data annotation platform built on a generative AI framework — alongside dedicated annotation teams with domain-specific training.</w:t>
      </w:r>
    </w:p>
    <w:p>
      <w:pPr>
        <w:pStyle w:val="ListParagraph"/>
        <w:numPr>
          <w:ilvl w:val="0"/>
          <w:numId w:val="2"/>
        </w:numPr>
        <w:spacing w:before="40" w:after="40"/>
      </w:pPr>
      <w:r>
        <w:rPr>
          <w:rFonts w:ascii="Arial" w:cs="Arial" w:eastAsia="Arial" w:hAnsi="Arial"/>
          <w:sz w:val="22"/>
          <w:szCs w:val="22"/>
        </w:rPr>
        <w:t xml:space="preserve">Ango Hub: Generative AI-based annotation platform with plugins for automated labeling</w:t>
      </w:r>
    </w:p>
    <w:p>
      <w:pPr>
        <w:pStyle w:val="ListParagraph"/>
        <w:numPr>
          <w:ilvl w:val="0"/>
          <w:numId w:val="2"/>
        </w:numPr>
        <w:spacing w:before="40" w:after="40"/>
      </w:pPr>
      <w:r>
        <w:rPr>
          <w:rFonts w:ascii="Arial" w:cs="Arial" w:eastAsia="Arial" w:hAnsi="Arial"/>
          <w:sz w:val="22"/>
          <w:szCs w:val="22"/>
        </w:rPr>
        <w:t xml:space="preserve">Supports: Image, video, DICOM medical imaging, audio, text, markdown</w:t>
      </w:r>
    </w:p>
    <w:p>
      <w:pPr>
        <w:pStyle w:val="Heading3"/>
        <w:spacing w:before="200" w:after="80"/>
      </w:pPr>
      <w:r>
        <w:rPr>
          <w:rFonts w:ascii="Arial" w:cs="Arial" w:eastAsia="Arial" w:hAnsi="Arial"/>
          <w:b/>
          <w:bCs/>
          <w:color w:val="1A1A2E"/>
          <w:sz w:val="24"/>
          <w:szCs w:val="24"/>
        </w:rPr>
        <w:t xml:space="preserve">TaskUs</w:t>
      </w:r>
    </w:p>
    <w:p>
      <w:pPr>
        <w:spacing w:before="60" w:after="100"/>
      </w:pPr>
      <w:r>
        <w:rPr>
          <w:rFonts w:ascii="Arial" w:cs="Arial" w:eastAsia="Arial" w:hAnsi="Arial"/>
          <w:sz w:val="22"/>
          <w:szCs w:val="22"/>
        </w:rPr>
        <w:t xml:space="preserve">Founded: 2008 | HQ: New Braunfels, TX | Status: Public (NASDAQ: TASK)</w:t>
      </w:r>
    </w:p>
    <w:p>
      <w:pPr>
        <w:spacing w:before="60" w:after="100"/>
      </w:pPr>
      <w:r>
        <w:rPr>
          <w:rFonts w:ascii="Arial" w:cs="Arial" w:eastAsia="Arial" w:hAnsi="Arial"/>
          <w:sz w:val="22"/>
          <w:szCs w:val="22"/>
        </w:rPr>
        <w:t xml:space="preserve">TaskUs provides data annotation for computer vision, NLP, and LLM projects at significant scale. The company combines permanent employees with gig workers and has positioned itself as a key player in trust &amp; safety, content moderation, and AI training data services.</w:t>
      </w:r>
    </w:p>
    <w:p>
      <w:r>
        <w:br w:type="page"/>
      </w:r>
    </w:p>
    <w:p>
      <w:pPr>
        <w:pStyle w:val="Heading1"/>
        <w:spacing w:before="400" w:after="160"/>
      </w:pPr>
      <w:r>
        <w:rPr>
          <w:rFonts w:ascii="Arial" w:cs="Arial" w:eastAsia="Arial" w:hAnsi="Arial"/>
          <w:b/>
          <w:bCs/>
          <w:color w:val="1F4E79"/>
          <w:sz w:val="36"/>
          <w:szCs w:val="36"/>
        </w:rPr>
        <w:t xml:space="preserve">Section 3: Expert Human Intelligence Networks</w:t>
      </w:r>
    </w:p>
    <w:p>
      <w:pPr>
        <w:spacing w:before="60" w:after="100"/>
      </w:pPr>
      <w:r>
        <w:rPr>
          <w:rFonts w:ascii="Arial" w:cs="Arial" w:eastAsia="Arial" w:hAnsi="Arial"/>
          <w:sz w:val="22"/>
          <w:szCs w:val="22"/>
        </w:rPr>
        <w:t xml:space="preserve">This category represents the fastest-growing and most valuable segment of the data annotation industry in 2025–2026. These companies connect frontier AI labs with highly credentialed professionals — PhDs, attorneys, financial analysts, physicians, engineers — who can evaluate model outputs, generate synthetic expert reasoning, and define quality standards for specialized domains.</w:t>
      </w:r>
    </w:p>
    <w:p>
      <w:pPr>
        <w:pStyle w:val="Heading2"/>
        <w:spacing w:before="320" w:after="120"/>
      </w:pPr>
      <w:r>
        <w:rPr>
          <w:rFonts w:ascii="Arial" w:cs="Arial" w:eastAsia="Arial" w:hAnsi="Arial"/>
          <w:b/>
          <w:bCs/>
          <w:color w:val="2E75B6"/>
          <w:sz w:val="28"/>
          <w:szCs w:val="28"/>
        </w:rPr>
        <w:t xml:space="preserve">3.1 Surge AI</w:t>
      </w:r>
    </w:p>
    <w:p>
      <w:pPr>
        <w:spacing w:before="60" w:after="100"/>
      </w:pPr>
      <w:r>
        <w:rPr>
          <w:rFonts w:ascii="Arial" w:cs="Arial" w:eastAsia="Arial" w:hAnsi="Arial"/>
          <w:sz w:val="22"/>
          <w:szCs w:val="22"/>
        </w:rPr>
        <w:t xml:space="preserve">Founded: 2021 (bootstrapped until 2025) | HQ: San Francisco | Revenue: $1.2B (2024) | Valuation: $15B+ (sought in 2025 raise)</w:t>
      </w:r>
    </w:p>
    <w:p>
      <w:pPr>
        <w:spacing w:before="60" w:after="100"/>
      </w:pPr>
      <w:r>
        <w:rPr>
          <w:rFonts w:ascii="Arial" w:cs="Arial" w:eastAsia="Arial" w:hAnsi="Arial"/>
          <w:sz w:val="22"/>
          <w:szCs w:val="22"/>
        </w:rPr>
        <w:t xml:space="preserve">Surge AI is arguably the most important independent data annotation company in the post-Scale era. Operating profitably since launch as a bootstrapped company, Surge quietly built a client base including OpenAI, Google, Anthropic, Microsoft, and Meta. Its workforce of approximately 50,000 expert contractors includes over 20,000 doctoral professionals — Wall Street economists, NIH advisors, Stanford researchers, NASA engineers, Fields Medal mathematicians, and Supreme Court litigators.</w:t>
      </w:r>
    </w:p>
    <w:p>
      <w:pPr>
        <w:spacing w:before="60" w:after="100"/>
      </w:pPr>
      <w:r>
        <w:rPr>
          <w:rFonts w:ascii="Arial" w:cs="Arial" w:eastAsia="Arial" w:hAnsi="Arial"/>
          <w:sz w:val="22"/>
          <w:szCs w:val="22"/>
        </w:rPr>
        <w:t xml:space="preserve">Surge's research division actively publishes work on agentic AI evaluation, including a benchmark study of 150 workplace tasks in a realistic e-commerce RL environment. Their MMRB2 benchmark for multimodal reward models and AdvancedIF framework for instruction-following evaluation demonstrate that Surge is functioning partly as an applied research organization, not just a labeling service.</w:t>
      </w:r>
    </w:p>
    <w:p>
      <w:pPr>
        <w:pStyle w:val="ListParagraph"/>
        <w:numPr>
          <w:ilvl w:val="0"/>
          <w:numId w:val="2"/>
        </w:numPr>
        <w:spacing w:before="40" w:after="40"/>
      </w:pPr>
      <w:r>
        <w:rPr>
          <w:rFonts w:ascii="Arial" w:cs="Arial" w:eastAsia="Arial" w:hAnsi="Arial"/>
          <w:sz w:val="22"/>
          <w:szCs w:val="22"/>
        </w:rPr>
        <w:t xml:space="preserve">Agentic Focus: Develops RL environments and evaluation frameworks for multi-step agentic task completion</w:t>
      </w:r>
    </w:p>
    <w:p>
      <w:pPr>
        <w:pStyle w:val="ListParagraph"/>
        <w:numPr>
          <w:ilvl w:val="0"/>
          <w:numId w:val="2"/>
        </w:numPr>
        <w:spacing w:before="40" w:after="40"/>
      </w:pPr>
      <w:r>
        <w:rPr>
          <w:rFonts w:ascii="Arial" w:cs="Arial" w:eastAsia="Arial" w:hAnsi="Arial"/>
          <w:sz w:val="22"/>
          <w:szCs w:val="22"/>
        </w:rPr>
        <w:t xml:space="preserve">Research: Studies hierarchy of agentic capabilities (tool use, planning, adaptability, groundedness, reasoning)</w:t>
      </w:r>
    </w:p>
    <w:p>
      <w:pPr>
        <w:pStyle w:val="ListParagraph"/>
        <w:numPr>
          <w:ilvl w:val="0"/>
          <w:numId w:val="2"/>
        </w:numPr>
        <w:spacing w:before="40" w:after="40"/>
      </w:pPr>
      <w:r>
        <w:rPr>
          <w:rFonts w:ascii="Arial" w:cs="Arial" w:eastAsia="Arial" w:hAnsi="Arial"/>
          <w:sz w:val="22"/>
          <w:szCs w:val="22"/>
        </w:rPr>
        <w:t xml:space="preserve">Domain Expertise: Math, coding, law, medicine, finance, scientific research</w:t>
      </w:r>
    </w:p>
    <w:p>
      <w:pPr>
        <w:pStyle w:val="ListParagraph"/>
        <w:numPr>
          <w:ilvl w:val="0"/>
          <w:numId w:val="2"/>
        </w:numPr>
        <w:spacing w:before="40" w:after="40"/>
      </w:pPr>
      <w:r>
        <w:rPr>
          <w:rFonts w:ascii="Arial" w:cs="Arial" w:eastAsia="Arial" w:hAnsi="Arial"/>
          <w:sz w:val="22"/>
          <w:szCs w:val="22"/>
        </w:rPr>
        <w:t xml:space="preserve">Model: Usage-based API pricing + managed service contracts for complex RLHF projects</w:t>
      </w:r>
    </w:p>
    <w:p>
      <w:pPr>
        <w:pStyle w:val="ListParagraph"/>
        <w:numPr>
          <w:ilvl w:val="0"/>
          <w:numId w:val="2"/>
        </w:numPr>
        <w:spacing w:before="40" w:after="40"/>
      </w:pPr>
      <w:r>
        <w:rPr>
          <w:rFonts w:ascii="Arial" w:cs="Arial" w:eastAsia="Arial" w:hAnsi="Arial"/>
          <w:sz w:val="22"/>
          <w:szCs w:val="22"/>
        </w:rPr>
        <w:t xml:space="preserve">2025 Milestone: First external fundraise — seeking $1B at $15B+ valuation (July 2025)</w:t>
      </w:r>
    </w:p>
    <w:p>
      <w:pPr>
        <w:shd w:fill="EBF5FB" w:val="clear"/>
        <w:spacing w:before="80" w:after="80"/>
        <w:ind w:left="720" w:right="720"/>
      </w:pPr>
      <w:r>
        <w:rPr>
          <w:rFonts w:ascii="Arial" w:cs="Arial" w:eastAsia="Arial" w:hAnsi="Arial"/>
          <w:i/>
          <w:iCs/>
          <w:color w:val="2C3E50"/>
          <w:sz w:val="21"/>
          <w:szCs w:val="21"/>
        </w:rPr>
        <w:t xml:space="preserve">💡 Surge's rise illustrates the 'quality-first' shift in AI training data. Even the most powerful frontier labs cannot progress without access to verified expert knowledge across specialized domains.</w:t>
      </w:r>
    </w:p>
    <w:p>
      <w:pPr>
        <w:pStyle w:val="Heading2"/>
        <w:spacing w:before="320" w:after="120"/>
      </w:pPr>
      <w:r>
        <w:rPr>
          <w:rFonts w:ascii="Arial" w:cs="Arial" w:eastAsia="Arial" w:hAnsi="Arial"/>
          <w:b/>
          <w:bCs/>
          <w:color w:val="2E75B6"/>
          <w:sz w:val="28"/>
          <w:szCs w:val="28"/>
        </w:rPr>
        <w:t xml:space="preserve">3.2 Mercor</w:t>
      </w:r>
    </w:p>
    <w:p>
      <w:pPr>
        <w:spacing w:before="60" w:after="100"/>
      </w:pPr>
      <w:r>
        <w:rPr>
          <w:rFonts w:ascii="Arial" w:cs="Arial" w:eastAsia="Arial" w:hAnsi="Arial"/>
          <w:sz w:val="22"/>
          <w:szCs w:val="22"/>
        </w:rPr>
        <w:t xml:space="preserve">Founded: 2022 | HQ: San Francisco | Revenue: $500M+ ARR (2024–2025) | Valuation: ~$10B (late 2025)</w:t>
      </w:r>
    </w:p>
    <w:p>
      <w:pPr>
        <w:spacing w:before="60" w:after="100"/>
      </w:pPr>
      <w:r>
        <w:rPr>
          <w:rFonts w:ascii="Arial" w:cs="Arial" w:eastAsia="Arial" w:hAnsi="Arial"/>
          <w:sz w:val="22"/>
          <w:szCs w:val="22"/>
        </w:rPr>
        <w:t xml:space="preserve">Mercor started as an AI-powered recruiting marketplace and pivoted into connecting expert professionals with AI labs for RLHF data and model evaluation. Mercor's founders — Brendan Foody and colleagues, all in their early 20s — became billionaires in 2025 as the company's valuation surged from $2B (February 2025) to $10B (October 2025), a 5x increase in eight months.</w:t>
      </w:r>
    </w:p>
    <w:p>
      <w:pPr>
        <w:spacing w:before="60" w:after="100"/>
      </w:pPr>
      <w:r>
        <w:rPr>
          <w:rFonts w:ascii="Arial" w:cs="Arial" w:eastAsia="Arial" w:hAnsi="Arial"/>
          <w:sz w:val="22"/>
          <w:szCs w:val="22"/>
        </w:rPr>
        <w:t xml:space="preserve">The Meta–Scale deal was a major catalyst: rival labs unwilling to share proprietary training data with a Meta-affiliated vendor turned to Mercor as a neutral alternative. Mercor now serves 4 of the top 5 AI labs and grew entirely through referral-based recruitment with zero advertising spend.</w:t>
      </w:r>
    </w:p>
    <w:p>
      <w:pPr>
        <w:pStyle w:val="ListParagraph"/>
        <w:numPr>
          <w:ilvl w:val="0"/>
          <w:numId w:val="2"/>
        </w:numPr>
        <w:spacing w:before="40" w:after="40"/>
      </w:pPr>
      <w:r>
        <w:rPr>
          <w:rFonts w:ascii="Arial" w:cs="Arial" w:eastAsia="Arial" w:hAnsi="Arial"/>
          <w:sz w:val="22"/>
          <w:szCs w:val="22"/>
        </w:rPr>
        <w:t xml:space="preserve">Expert Network: Goldman Sachs analysts, domain specialists, PhD researchers across STEM and professional fields</w:t>
      </w:r>
    </w:p>
    <w:p>
      <w:pPr>
        <w:pStyle w:val="ListParagraph"/>
        <w:numPr>
          <w:ilvl w:val="0"/>
          <w:numId w:val="2"/>
        </w:numPr>
        <w:spacing w:before="40" w:after="40"/>
      </w:pPr>
      <w:r>
        <w:rPr>
          <w:rFonts w:ascii="Arial" w:cs="Arial" w:eastAsia="Arial" w:hAnsi="Arial"/>
          <w:sz w:val="22"/>
          <w:szCs w:val="22"/>
        </w:rPr>
        <w:t xml:space="preserve">Pay Scale: $90,000–$200,000 annual salary for full-time 'AI tutors'; project-based rates for freelancers</w:t>
      </w:r>
    </w:p>
    <w:p>
      <w:pPr>
        <w:pStyle w:val="ListParagraph"/>
        <w:numPr>
          <w:ilvl w:val="0"/>
          <w:numId w:val="2"/>
        </w:numPr>
        <w:spacing w:before="40" w:after="40"/>
      </w:pPr>
      <w:r>
        <w:rPr>
          <w:rFonts w:ascii="Arial" w:cs="Arial" w:eastAsia="Arial" w:hAnsi="Arial"/>
          <w:sz w:val="22"/>
          <w:szCs w:val="22"/>
        </w:rPr>
        <w:t xml:space="preserve">Focus Areas: Finance, law, medicine, coding, STEM reasoning, personality and behavior evaluation</w:t>
      </w:r>
    </w:p>
    <w:p>
      <w:pPr>
        <w:pStyle w:val="ListParagraph"/>
        <w:numPr>
          <w:ilvl w:val="0"/>
          <w:numId w:val="2"/>
        </w:numPr>
        <w:spacing w:before="40" w:after="40"/>
      </w:pPr>
      <w:r>
        <w:rPr>
          <w:rFonts w:ascii="Arial" w:cs="Arial" w:eastAsia="Arial" w:hAnsi="Arial"/>
          <w:sz w:val="22"/>
          <w:szCs w:val="22"/>
        </w:rPr>
        <w:t xml:space="preserve">Differentiation: AI-powered talent matching, emphasis on vendor neutrality for competing labs</w:t>
      </w:r>
    </w:p>
    <w:p>
      <w:pPr>
        <w:pStyle w:val="Heading2"/>
        <w:spacing w:before="320" w:after="120"/>
      </w:pPr>
      <w:r>
        <w:rPr>
          <w:rFonts w:ascii="Arial" w:cs="Arial" w:eastAsia="Arial" w:hAnsi="Arial"/>
          <w:b/>
          <w:bCs/>
          <w:color w:val="2E75B6"/>
          <w:sz w:val="28"/>
          <w:szCs w:val="28"/>
        </w:rPr>
        <w:t xml:space="preserve">3.3 Turing</w:t>
      </w:r>
    </w:p>
    <w:p>
      <w:pPr>
        <w:spacing w:before="60" w:after="100"/>
      </w:pPr>
      <w:r>
        <w:rPr>
          <w:rFonts w:ascii="Arial" w:cs="Arial" w:eastAsia="Arial" w:hAnsi="Arial"/>
          <w:sz w:val="22"/>
          <w:szCs w:val="22"/>
        </w:rPr>
        <w:t xml:space="preserve">Founded: 2018 | HQ: Palo Alto</w:t>
      </w:r>
    </w:p>
    <w:p>
      <w:pPr>
        <w:spacing w:before="60" w:after="100"/>
      </w:pPr>
      <w:r>
        <w:rPr>
          <w:rFonts w:ascii="Arial" w:cs="Arial" w:eastAsia="Arial" w:hAnsi="Arial"/>
          <w:sz w:val="22"/>
          <w:szCs w:val="22"/>
        </w:rPr>
        <w:t xml:space="preserve">Turing operates on two tracks: Turing AGI Advancement (supporting frontier labs with research-grade data pipelines, RL environments, and evaluation frameworks) and Turing Intelligence (deploying these capabilities in enterprise production). The company develops large-scale RL environments and data generation systems specifically for training multimodal agents in coding, advanced STEM reasoning, and real-world economically valuable tasks.</w:t>
      </w:r>
    </w:p>
    <w:p>
      <w:pPr>
        <w:pStyle w:val="ListParagraph"/>
        <w:numPr>
          <w:ilvl w:val="0"/>
          <w:numId w:val="2"/>
        </w:numPr>
        <w:spacing w:before="40" w:after="40"/>
      </w:pPr>
      <w:r>
        <w:rPr>
          <w:rFonts w:ascii="Arial" w:cs="Arial" w:eastAsia="Arial" w:hAnsi="Arial"/>
          <w:sz w:val="22"/>
          <w:szCs w:val="22"/>
        </w:rPr>
        <w:t xml:space="preserve">RL Environments: Custom reinforcement learning data for coding, robotics, STEM reasoning</w:t>
      </w:r>
    </w:p>
    <w:p>
      <w:pPr>
        <w:pStyle w:val="ListParagraph"/>
        <w:numPr>
          <w:ilvl w:val="0"/>
          <w:numId w:val="2"/>
        </w:numPr>
        <w:spacing w:before="40" w:after="40"/>
      </w:pPr>
      <w:r>
        <w:rPr>
          <w:rFonts w:ascii="Arial" w:cs="Arial" w:eastAsia="Arial" w:hAnsi="Arial"/>
          <w:sz w:val="22"/>
          <w:szCs w:val="22"/>
        </w:rPr>
        <w:t xml:space="preserve">Enterprise: Embedded AI pods for BFSI, healthcare, and regulated industries</w:t>
      </w:r>
    </w:p>
    <w:p>
      <w:pPr>
        <w:pStyle w:val="ListParagraph"/>
        <w:numPr>
          <w:ilvl w:val="0"/>
          <w:numId w:val="2"/>
        </w:numPr>
        <w:spacing w:before="40" w:after="40"/>
      </w:pPr>
      <w:r>
        <w:rPr>
          <w:rFonts w:ascii="Arial" w:cs="Arial" w:eastAsia="Arial" w:hAnsi="Arial"/>
          <w:sz w:val="22"/>
          <w:szCs w:val="22"/>
        </w:rPr>
        <w:t xml:space="preserve">Agentic Capability: Multimodal agent training data across coding, real-world tasks, and reasoning</w:t>
      </w:r>
    </w:p>
    <w:p>
      <w:pPr>
        <w:pStyle w:val="Heading2"/>
        <w:spacing w:before="320" w:after="120"/>
      </w:pPr>
      <w:r>
        <w:rPr>
          <w:rFonts w:ascii="Arial" w:cs="Arial" w:eastAsia="Arial" w:hAnsi="Arial"/>
          <w:b/>
          <w:bCs/>
          <w:color w:val="2E75B6"/>
          <w:sz w:val="28"/>
          <w:szCs w:val="28"/>
        </w:rPr>
        <w:t xml:space="preserve">3.4 Handshake (AI Data Division)</w:t>
      </w:r>
    </w:p>
    <w:p>
      <w:pPr>
        <w:spacing w:before="60" w:after="100"/>
      </w:pPr>
      <w:r>
        <w:rPr>
          <w:rFonts w:ascii="Arial" w:cs="Arial" w:eastAsia="Arial" w:hAnsi="Arial"/>
          <w:sz w:val="22"/>
          <w:szCs w:val="22"/>
        </w:rPr>
        <w:t xml:space="preserve">Founded: 2014 (original platform) | AI division launched: early 2025 | Run rate: $150M+ (November 2025)</w:t>
      </w:r>
    </w:p>
    <w:p>
      <w:pPr>
        <w:spacing w:before="60" w:after="100"/>
      </w:pPr>
      <w:r>
        <w:rPr>
          <w:rFonts w:ascii="Arial" w:cs="Arial" w:eastAsia="Arial" w:hAnsi="Arial"/>
          <w:sz w:val="22"/>
          <w:szCs w:val="22"/>
        </w:rPr>
        <w:t xml:space="preserve">Handshake originally built a professional network connecting college students and alumni. In early 2025, it launched an AI data arm leveraging its network of 20 million alumni, graduate students, and PhDs. Demand tripled in the weeks after the Meta–Scale deal announcement, and by November 2025 the AI data division had surpassed the revenue of the original decade-old platform.</w:t>
      </w:r>
    </w:p>
    <w:p>
      <w:pPr>
        <w:pStyle w:val="Heading2"/>
        <w:spacing w:before="320" w:after="120"/>
      </w:pPr>
      <w:r>
        <w:rPr>
          <w:rFonts w:ascii="Arial" w:cs="Arial" w:eastAsia="Arial" w:hAnsi="Arial"/>
          <w:b/>
          <w:bCs/>
          <w:color w:val="2E75B6"/>
          <w:sz w:val="28"/>
          <w:szCs w:val="28"/>
        </w:rPr>
        <w:t xml:space="preserve">3.5 Micro1</w:t>
      </w:r>
    </w:p>
    <w:p>
      <w:pPr>
        <w:spacing w:before="60" w:after="100"/>
      </w:pPr>
      <w:r>
        <w:rPr>
          <w:rFonts w:ascii="Arial" w:cs="Arial" w:eastAsia="Arial" w:hAnsi="Arial"/>
          <w:sz w:val="22"/>
          <w:szCs w:val="22"/>
        </w:rPr>
        <w:t xml:space="preserve">Founded: 2022 | Focus: High-value AI training roles</w:t>
      </w:r>
    </w:p>
    <w:p>
      <w:pPr>
        <w:spacing w:before="60" w:after="100"/>
      </w:pPr>
      <w:r>
        <w:rPr>
          <w:rFonts w:ascii="Arial" w:cs="Arial" w:eastAsia="Arial" w:hAnsi="Arial"/>
          <w:sz w:val="22"/>
          <w:szCs w:val="22"/>
        </w:rPr>
        <w:t xml:space="preserve">Micro1 is an AI workforce and staffing platform connecting vetted global professionals with AI training, evaluation, and domain-specific projects. Known for higher-paying roles that require subject-matter expertise in medicine, law, finance, and advanced STEM, Micro1 positions itself as a premium alternative for labs seeking verified credentials.</w:t>
      </w:r>
    </w:p>
    <w:p>
      <w:pPr>
        <w:pStyle w:val="Heading2"/>
        <w:spacing w:before="320" w:after="120"/>
      </w:pPr>
      <w:r>
        <w:rPr>
          <w:rFonts w:ascii="Arial" w:cs="Arial" w:eastAsia="Arial" w:hAnsi="Arial"/>
          <w:b/>
          <w:bCs/>
          <w:color w:val="2E75B6"/>
          <w:sz w:val="28"/>
          <w:szCs w:val="28"/>
        </w:rPr>
        <w:t xml:space="preserve">3.6 Snorkel AI</w:t>
      </w:r>
    </w:p>
    <w:p>
      <w:pPr>
        <w:spacing w:before="60" w:after="100"/>
      </w:pPr>
      <w:r>
        <w:rPr>
          <w:rFonts w:ascii="Arial" w:cs="Arial" w:eastAsia="Arial" w:hAnsi="Arial"/>
          <w:sz w:val="22"/>
          <w:szCs w:val="22"/>
        </w:rPr>
        <w:t xml:space="preserve">Founded: 2015 (Stanford AI Lab origin) | Valuation: $1.3B (May 2025 Series D) | Investors: In-Q-Tel, BlackRock, Accenture</w:t>
      </w:r>
    </w:p>
    <w:p>
      <w:pPr>
        <w:spacing w:before="60" w:after="100"/>
      </w:pPr>
      <w:r>
        <w:rPr>
          <w:rFonts w:ascii="Arial" w:cs="Arial" w:eastAsia="Arial" w:hAnsi="Arial"/>
          <w:sz w:val="22"/>
          <w:szCs w:val="22"/>
        </w:rPr>
        <w:t xml:space="preserve">Snorkel AI pioneered programmatic labeling — writing labeling functions that automatically annotate data subsets instead of labeling point-by-point — and has expanded into expert data services for agentic AI. Snorkel's AI Data Development Platform now includes Snorkel Evaluate (for live model performance insights) and Snorkel Expert Data-as-a-Service (custom expert datasets with distributional control).</w:t>
      </w:r>
    </w:p>
    <w:p>
      <w:pPr>
        <w:spacing w:before="60" w:after="100"/>
      </w:pPr>
      <w:r>
        <w:rPr>
          <w:rFonts w:ascii="Arial" w:cs="Arial" w:eastAsia="Arial" w:hAnsi="Arial"/>
          <w:sz w:val="22"/>
          <w:szCs w:val="22"/>
        </w:rPr>
        <w:t xml:space="preserve">Snorkel's enterprise client list includes five of the top ten US banks, BNY Mellon, Chubb Insurance, and Intel — particularly for document analysis, compliance, and classification workflows.</w:t>
      </w:r>
    </w:p>
    <w:p>
      <w:pPr>
        <w:pStyle w:val="ListParagraph"/>
        <w:numPr>
          <w:ilvl w:val="0"/>
          <w:numId w:val="2"/>
        </w:numPr>
        <w:spacing w:before="40" w:after="40"/>
      </w:pPr>
      <w:r>
        <w:rPr>
          <w:rFonts w:ascii="Arial" w:cs="Arial" w:eastAsia="Arial" w:hAnsi="Arial"/>
          <w:sz w:val="22"/>
          <w:szCs w:val="22"/>
        </w:rPr>
        <w:t xml:space="preserve">Agentic Datasets: Multi-turn user interactions, multi-step reasoning, multi-tool agentic workflows</w:t>
      </w:r>
    </w:p>
    <w:p>
      <w:pPr>
        <w:pStyle w:val="ListParagraph"/>
        <w:numPr>
          <w:ilvl w:val="0"/>
          <w:numId w:val="2"/>
        </w:numPr>
        <w:spacing w:before="40" w:after="40"/>
      </w:pPr>
      <w:r>
        <w:rPr>
          <w:rFonts w:ascii="Arial" w:cs="Arial" w:eastAsia="Arial" w:hAnsi="Arial"/>
          <w:sz w:val="22"/>
          <w:szCs w:val="22"/>
        </w:rPr>
        <w:t xml:space="preserve">Expert Knowledge: STEM/academic, professional domains (medicine, law, finance), consumer domains</w:t>
      </w:r>
    </w:p>
    <w:p>
      <w:pPr>
        <w:pStyle w:val="ListParagraph"/>
        <w:numPr>
          <w:ilvl w:val="0"/>
          <w:numId w:val="2"/>
        </w:numPr>
        <w:spacing w:before="40" w:after="40"/>
      </w:pPr>
      <w:r>
        <w:rPr>
          <w:rFonts w:ascii="Arial" w:cs="Arial" w:eastAsia="Arial" w:hAnsi="Arial"/>
          <w:sz w:val="22"/>
          <w:szCs w:val="22"/>
        </w:rPr>
        <w:t xml:space="preserve">Coding Data: Multiple languages, frameworks, unit tests, complex long-sequence software engineering tasks</w:t>
      </w:r>
    </w:p>
    <w:p>
      <w:pPr>
        <w:pStyle w:val="ListParagraph"/>
        <w:numPr>
          <w:ilvl w:val="0"/>
          <w:numId w:val="2"/>
        </w:numPr>
        <w:spacing w:before="40" w:after="40"/>
      </w:pPr>
      <w:r>
        <w:rPr>
          <w:rFonts w:ascii="Arial" w:cs="Arial" w:eastAsia="Arial" w:hAnsi="Arial"/>
          <w:sz w:val="22"/>
          <w:szCs w:val="22"/>
        </w:rPr>
        <w:t xml:space="preserve">Multimodal: Text, PDF, image, video, code</w:t>
      </w:r>
    </w:p>
    <w:p>
      <w:pPr>
        <w:pStyle w:val="ListParagraph"/>
        <w:numPr>
          <w:ilvl w:val="0"/>
          <w:numId w:val="2"/>
        </w:numPr>
        <w:spacing w:before="40" w:after="40"/>
      </w:pPr>
      <w:r>
        <w:rPr>
          <w:rFonts w:ascii="Arial" w:cs="Arial" w:eastAsia="Arial" w:hAnsi="Arial"/>
          <w:sz w:val="22"/>
          <w:szCs w:val="22"/>
        </w:rPr>
        <w:t xml:space="preserve">Programmatic Labeling: 10–100x faster development for classification-heavy tasks; 90%+ cost reduction</w:t>
      </w:r>
    </w:p>
    <w:p>
      <w:pPr>
        <w:shd w:fill="EBF5FB" w:val="clear"/>
        <w:spacing w:before="80" w:after="80"/>
        <w:ind w:left="720" w:right="720"/>
      </w:pPr>
      <w:r>
        <w:rPr>
          <w:rFonts w:ascii="Arial" w:cs="Arial" w:eastAsia="Arial" w:hAnsi="Arial"/>
          <w:i/>
          <w:iCs/>
          <w:color w:val="2C3E50"/>
          <w:sz w:val="21"/>
          <w:szCs w:val="21"/>
        </w:rPr>
        <w:t xml:space="preserve">💡 Snorkel's Stanford AI Lab roots and emphasis on programmatic data development make it uniquely positioned for enterprises that need systematic, reproducible annotation at scale — particularly for financial document classification and compliance workflows.</w:t>
      </w:r>
    </w:p>
    <w:p>
      <w:r>
        <w:br w:type="page"/>
      </w:r>
    </w:p>
    <w:p>
      <w:pPr>
        <w:pStyle w:val="Heading1"/>
        <w:spacing w:before="400" w:after="160"/>
      </w:pPr>
      <w:r>
        <w:rPr>
          <w:rFonts w:ascii="Arial" w:cs="Arial" w:eastAsia="Arial" w:hAnsi="Arial"/>
          <w:b/>
          <w:bCs/>
          <w:color w:val="1F4E79"/>
          <w:sz w:val="36"/>
          <w:szCs w:val="36"/>
        </w:rPr>
        <w:t xml:space="preserve">Section 4: Annotation Software &amp; Tooling Platforms</w:t>
      </w:r>
    </w:p>
    <w:p>
      <w:pPr>
        <w:spacing w:before="60" w:after="100"/>
      </w:pPr>
      <w:r>
        <w:rPr>
          <w:rFonts w:ascii="Arial" w:cs="Arial" w:eastAsia="Arial" w:hAnsi="Arial"/>
          <w:sz w:val="22"/>
          <w:szCs w:val="22"/>
        </w:rPr>
        <w:t xml:space="preserve">These companies provide the software infrastructure and platforms that power annotation workflows, either as self-service tools or hybrid managed services. Unlike the full-service providers above, their core value is the platform itself.</w:t>
      </w:r>
    </w:p>
    <w:p>
      <w:pPr>
        <w:pStyle w:val="Heading2"/>
        <w:spacing w:before="320" w:after="120"/>
      </w:pPr>
      <w:r>
        <w:rPr>
          <w:rFonts w:ascii="Arial" w:cs="Arial" w:eastAsia="Arial" w:hAnsi="Arial"/>
          <w:b/>
          <w:bCs/>
          <w:color w:val="2E75B6"/>
          <w:sz w:val="28"/>
          <w:szCs w:val="28"/>
        </w:rPr>
        <w:t xml:space="preserve">4.1 Labelbox</w:t>
      </w:r>
    </w:p>
    <w:p>
      <w:pPr>
        <w:spacing w:before="60" w:after="100"/>
      </w:pPr>
      <w:r>
        <w:rPr>
          <w:rFonts w:ascii="Arial" w:cs="Arial" w:eastAsia="Arial" w:hAnsi="Arial"/>
          <w:sz w:val="22"/>
          <w:szCs w:val="22"/>
        </w:rPr>
        <w:t xml:space="preserve">Founded: 2018 | HQ: San Francisco | Funding: $189M | Status: Public (NYSE: LBX)</w:t>
      </w:r>
    </w:p>
    <w:p>
      <w:pPr>
        <w:spacing w:before="60" w:after="100"/>
      </w:pPr>
      <w:r>
        <w:rPr>
          <w:rFonts w:ascii="Arial" w:cs="Arial" w:eastAsia="Arial" w:hAnsi="Arial"/>
          <w:sz w:val="22"/>
          <w:szCs w:val="22"/>
        </w:rPr>
        <w:t xml:space="preserve">Labelbox combines software and managed services in a unified platform, supporting images, video, text, geospatial data, audio, and medical imagery. The company has strong RLHF support — providing 'volumes of high-quality, nuanced preference data' through a dedicated expert workforce — and launched its Evaluation Studio in early 2025 to deliver live insights on model performance during RLHF workflows.</w:t>
      </w:r>
    </w:p>
    <w:p>
      <w:pPr>
        <w:pStyle w:val="ListParagraph"/>
        <w:numPr>
          <w:ilvl w:val="0"/>
          <w:numId w:val="2"/>
        </w:numPr>
        <w:spacing w:before="40" w:after="40"/>
      </w:pPr>
      <w:r>
        <w:rPr>
          <w:rFonts w:ascii="Arial" w:cs="Arial" w:eastAsia="Arial" w:hAnsi="Arial"/>
          <w:sz w:val="22"/>
          <w:szCs w:val="22"/>
        </w:rPr>
        <w:t xml:space="preserve">Alignerr: Labelbox's subsidiary connecting expert annotators (PhD-credentialed) with AI training projects</w:t>
      </w:r>
    </w:p>
    <w:p>
      <w:pPr>
        <w:pStyle w:val="ListParagraph"/>
        <w:numPr>
          <w:ilvl w:val="0"/>
          <w:numId w:val="2"/>
        </w:numPr>
        <w:spacing w:before="40" w:after="40"/>
      </w:pPr>
      <w:r>
        <w:rPr>
          <w:rFonts w:ascii="Arial" w:cs="Arial" w:eastAsia="Arial" w:hAnsi="Arial"/>
          <w:sz w:val="22"/>
          <w:szCs w:val="22"/>
        </w:rPr>
        <w:t xml:space="preserve">RLHF: InstructGPT-style generation projects, preference labeling, Direct Preference Optimization (DPO)</w:t>
      </w:r>
    </w:p>
    <w:p>
      <w:pPr>
        <w:pStyle w:val="ListParagraph"/>
        <w:numPr>
          <w:ilvl w:val="0"/>
          <w:numId w:val="2"/>
        </w:numPr>
        <w:spacing w:before="40" w:after="40"/>
      </w:pPr>
      <w:r>
        <w:rPr>
          <w:rFonts w:ascii="Arial" w:cs="Arial" w:eastAsia="Arial" w:hAnsi="Arial"/>
          <w:sz w:val="22"/>
          <w:szCs w:val="22"/>
        </w:rPr>
        <w:t xml:space="preserve">Healthcare: HIPAA-compliant annotation for medical imaging, genomics, surgical video</w:t>
      </w:r>
    </w:p>
    <w:p>
      <w:pPr>
        <w:pStyle w:val="ListParagraph"/>
        <w:numPr>
          <w:ilvl w:val="0"/>
          <w:numId w:val="2"/>
        </w:numPr>
        <w:spacing w:before="40" w:after="40"/>
      </w:pPr>
      <w:r>
        <w:rPr>
          <w:rFonts w:ascii="Arial" w:cs="Arial" w:eastAsia="Arial" w:hAnsi="Arial"/>
          <w:sz w:val="22"/>
          <w:szCs w:val="22"/>
        </w:rPr>
        <w:t xml:space="preserve">Enterprise: Google Cloud partnership for LLM evaluation; used by Stryker, Cedars-Sinai</w:t>
      </w:r>
    </w:p>
    <w:p>
      <w:pPr>
        <w:pStyle w:val="ListParagraph"/>
        <w:numPr>
          <w:ilvl w:val="0"/>
          <w:numId w:val="2"/>
        </w:numPr>
        <w:spacing w:before="40" w:after="40"/>
      </w:pPr>
      <w:r>
        <w:rPr>
          <w:rFonts w:ascii="Arial" w:cs="Arial" w:eastAsia="Arial" w:hAnsi="Arial"/>
          <w:sz w:val="22"/>
          <w:szCs w:val="22"/>
        </w:rPr>
        <w:t xml:space="preserve">Pricing: Free tier + pay-as-you-go Labelbox Units (LBUs); managed services at $6/labeling hour</w:t>
      </w:r>
    </w:p>
    <w:p>
      <w:pPr>
        <w:pStyle w:val="Heading2"/>
        <w:spacing w:before="320" w:after="120"/>
      </w:pPr>
      <w:r>
        <w:rPr>
          <w:rFonts w:ascii="Arial" w:cs="Arial" w:eastAsia="Arial" w:hAnsi="Arial"/>
          <w:b/>
          <w:bCs/>
          <w:color w:val="2E75B6"/>
          <w:sz w:val="28"/>
          <w:szCs w:val="28"/>
        </w:rPr>
        <w:t xml:space="preserve">4.2 Encord</w:t>
      </w:r>
    </w:p>
    <w:p>
      <w:pPr>
        <w:spacing w:before="60" w:after="100"/>
      </w:pPr>
      <w:r>
        <w:rPr>
          <w:rFonts w:ascii="Arial" w:cs="Arial" w:eastAsia="Arial" w:hAnsi="Arial"/>
          <w:sz w:val="22"/>
          <w:szCs w:val="22"/>
        </w:rPr>
        <w:t xml:space="preserve">Founded: 2021 | HQ: London &amp; San Francisco</w:t>
      </w:r>
    </w:p>
    <w:p>
      <w:pPr>
        <w:spacing w:before="60" w:after="100"/>
      </w:pPr>
      <w:r>
        <w:rPr>
          <w:rFonts w:ascii="Arial" w:cs="Arial" w:eastAsia="Arial" w:hAnsi="Arial"/>
          <w:sz w:val="22"/>
          <w:szCs w:val="22"/>
        </w:rPr>
        <w:t xml:space="preserve">Encord is a top-rated platform for ML teams working with multimodal, regulated, or large-scale datasets. It integrates Meta's Segment Anything Model (SAM) for automated image segmentation, includes interpolation and object tracking, and connects to AWS, Google Cloud, Azure, and Open Telekom Cloud. Cedars-Sinai uses Encord to annotate radiology data with built-in QA workflows.</w:t>
      </w:r>
    </w:p>
    <w:p>
      <w:pPr>
        <w:pStyle w:val="Heading2"/>
        <w:spacing w:before="320" w:after="120"/>
      </w:pPr>
      <w:r>
        <w:rPr>
          <w:rFonts w:ascii="Arial" w:cs="Arial" w:eastAsia="Arial" w:hAnsi="Arial"/>
          <w:b/>
          <w:bCs/>
          <w:color w:val="2E75B6"/>
          <w:sz w:val="28"/>
          <w:szCs w:val="28"/>
        </w:rPr>
        <w:t xml:space="preserve">4.3 SuperAnnotate</w:t>
      </w:r>
    </w:p>
    <w:p>
      <w:pPr>
        <w:spacing w:before="60" w:after="100"/>
      </w:pPr>
      <w:r>
        <w:rPr>
          <w:rFonts w:ascii="Arial" w:cs="Arial" w:eastAsia="Arial" w:hAnsi="Arial"/>
          <w:sz w:val="22"/>
          <w:szCs w:val="22"/>
        </w:rPr>
        <w:t xml:space="preserve">Founded: 2019 | HQ: San Francisco</w:t>
      </w:r>
    </w:p>
    <w:p>
      <w:pPr>
        <w:spacing w:before="60" w:after="100"/>
      </w:pPr>
      <w:r>
        <w:rPr>
          <w:rFonts w:ascii="Arial" w:cs="Arial" w:eastAsia="Arial" w:hAnsi="Arial"/>
          <w:sz w:val="22"/>
          <w:szCs w:val="22"/>
        </w:rPr>
        <w:t xml:space="preserve">SuperAnnotate offers sophisticated annotation, quality assurance, data management, and AI-assisted labeling with native integrations and data governance. The platform caters to teams of all sizes and is known for agentic AI performance workshops and an 'Agentic RAG' evaluation framework. It functions as both a software platform and a managed service provider.</w:t>
      </w:r>
    </w:p>
    <w:p>
      <w:pPr>
        <w:pStyle w:val="Heading2"/>
        <w:spacing w:before="320" w:after="120"/>
      </w:pPr>
      <w:r>
        <w:rPr>
          <w:rFonts w:ascii="Arial" w:cs="Arial" w:eastAsia="Arial" w:hAnsi="Arial"/>
          <w:b/>
          <w:bCs/>
          <w:color w:val="2E75B6"/>
          <w:sz w:val="28"/>
          <w:szCs w:val="28"/>
        </w:rPr>
        <w:t xml:space="preserve">4.4 V7 Labs</w:t>
      </w:r>
    </w:p>
    <w:p>
      <w:pPr>
        <w:spacing w:before="60" w:after="100"/>
      </w:pPr>
      <w:r>
        <w:rPr>
          <w:rFonts w:ascii="Arial" w:cs="Arial" w:eastAsia="Arial" w:hAnsi="Arial"/>
          <w:sz w:val="22"/>
          <w:szCs w:val="22"/>
        </w:rPr>
        <w:t xml:space="preserve">Founded: 2018 | HQ: London</w:t>
      </w:r>
    </w:p>
    <w:p>
      <w:pPr>
        <w:spacing w:before="60" w:after="100"/>
      </w:pPr>
      <w:r>
        <w:rPr>
          <w:rFonts w:ascii="Arial" w:cs="Arial" w:eastAsia="Arial" w:hAnsi="Arial"/>
          <w:sz w:val="22"/>
          <w:szCs w:val="22"/>
        </w:rPr>
        <w:t xml:space="preserve">V7 Labs specializes in biomedical and life sciences annotation with a focus on computer vision workflows. Its platform includes model-assisted labeling, smart object tracking (auto-duplicating annotations across video frames), and a flexible API for ML framework integration.</w:t>
      </w:r>
    </w:p>
    <w:p>
      <w:pPr>
        <w:pStyle w:val="Heading2"/>
        <w:spacing w:before="320" w:after="120"/>
      </w:pPr>
      <w:r>
        <w:rPr>
          <w:rFonts w:ascii="Arial" w:cs="Arial" w:eastAsia="Arial" w:hAnsi="Arial"/>
          <w:b/>
          <w:bCs/>
          <w:color w:val="2E75B6"/>
          <w:sz w:val="28"/>
          <w:szCs w:val="28"/>
        </w:rPr>
        <w:t xml:space="preserve">4.5 Dataloop</w:t>
      </w:r>
    </w:p>
    <w:p>
      <w:pPr>
        <w:spacing w:before="60" w:after="100"/>
      </w:pPr>
      <w:r>
        <w:rPr>
          <w:rFonts w:ascii="Arial" w:cs="Arial" w:eastAsia="Arial" w:hAnsi="Arial"/>
          <w:sz w:val="22"/>
          <w:szCs w:val="22"/>
        </w:rPr>
        <w:t xml:space="preserve">Founded: 2017 | HQ: Tel Aviv</w:t>
      </w:r>
    </w:p>
    <w:p>
      <w:pPr>
        <w:spacing w:before="60" w:after="100"/>
      </w:pPr>
      <w:r>
        <w:rPr>
          <w:rFonts w:ascii="Arial" w:cs="Arial" w:eastAsia="Arial" w:hAnsi="Arial"/>
          <w:sz w:val="22"/>
          <w:szCs w:val="22"/>
        </w:rPr>
        <w:t xml:space="preserve">Dataloop pairs an extensible training data platform with managed services, offering semi-automated deployment pipelines for ML teams. The platform supports image and video annotation with model-assisted labeling, active learning, and a fully managed workforce network.</w:t>
      </w:r>
    </w:p>
    <w:p>
      <w:pPr>
        <w:pStyle w:val="Heading2"/>
        <w:spacing w:before="320" w:after="120"/>
      </w:pPr>
      <w:r>
        <w:rPr>
          <w:rFonts w:ascii="Arial" w:cs="Arial" w:eastAsia="Arial" w:hAnsi="Arial"/>
          <w:b/>
          <w:bCs/>
          <w:color w:val="2E75B6"/>
          <w:sz w:val="28"/>
          <w:szCs w:val="28"/>
        </w:rPr>
        <w:t xml:space="preserve">4.6 Label Studio (HumanSignal)</w:t>
      </w:r>
    </w:p>
    <w:p>
      <w:pPr>
        <w:spacing w:before="60" w:after="100"/>
      </w:pPr>
      <w:r>
        <w:rPr>
          <w:rFonts w:ascii="Arial" w:cs="Arial" w:eastAsia="Arial" w:hAnsi="Arial"/>
          <w:sz w:val="22"/>
          <w:szCs w:val="22"/>
        </w:rPr>
        <w:t xml:space="preserve">Open-source annotation tool widely used across computer vision, NLP, and multimodal tasks. HumanSignal, the commercial company behind Label Studio, provides enterprise features including team management, cloud storage integration, and ML-assisted labeling.</w:t>
      </w:r>
    </w:p>
    <w:p>
      <w:pPr>
        <w:pStyle w:val="Heading2"/>
        <w:spacing w:before="320" w:after="120"/>
      </w:pPr>
      <w:r>
        <w:rPr>
          <w:rFonts w:ascii="Arial" w:cs="Arial" w:eastAsia="Arial" w:hAnsi="Arial"/>
          <w:b/>
          <w:bCs/>
          <w:color w:val="2E75B6"/>
          <w:sz w:val="28"/>
          <w:szCs w:val="28"/>
        </w:rPr>
        <w:t xml:space="preserve">4.7 Kili Technology</w:t>
      </w:r>
    </w:p>
    <w:p>
      <w:pPr>
        <w:spacing w:before="60" w:after="100"/>
      </w:pPr>
      <w:r>
        <w:rPr>
          <w:rFonts w:ascii="Arial" w:cs="Arial" w:eastAsia="Arial" w:hAnsi="Arial"/>
          <w:sz w:val="22"/>
          <w:szCs w:val="22"/>
        </w:rPr>
        <w:t xml:space="preserve">Founded: 2019 | HQ: Paris</w:t>
      </w:r>
    </w:p>
    <w:p>
      <w:pPr>
        <w:spacing w:before="60" w:after="100"/>
      </w:pPr>
      <w:r>
        <w:rPr>
          <w:rFonts w:ascii="Arial" w:cs="Arial" w:eastAsia="Arial" w:hAnsi="Arial"/>
          <w:sz w:val="22"/>
          <w:szCs w:val="22"/>
        </w:rPr>
        <w:t xml:space="preserve">Kili Technology focuses on UI-driven annotation with strong compliance features (GDPR), making it popular for European enterprises. It supports text, image, video, and PDF annotation with a clean interface and automation capabilities.</w:t>
      </w:r>
    </w:p>
    <w:p>
      <w:pPr>
        <w:pStyle w:val="Heading2"/>
        <w:spacing w:before="320" w:after="120"/>
      </w:pPr>
      <w:r>
        <w:rPr>
          <w:rFonts w:ascii="Arial" w:cs="Arial" w:eastAsia="Arial" w:hAnsi="Arial"/>
          <w:b/>
          <w:bCs/>
          <w:color w:val="2E75B6"/>
          <w:sz w:val="28"/>
          <w:szCs w:val="28"/>
        </w:rPr>
        <w:t xml:space="preserve">4.8 Platform Comparison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500"/>
        <w:gridCol w:w="472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4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Notable Differentiator</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Labelbox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platform + managed services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RLHF/DPO support, Evaluation Studio, HIPAA compliance, Alignerr expert network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Multimodal regulated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integration, cloud storage connectors, medical imaging QA</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SuperAnnotate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AI + agentic workflows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RAG evaluation, data governance, hybrid managed/self-serve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V7 Labs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Biomedical / life sciences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AutoAnnotate, object detection, video annotation, medical imaging</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Dataloop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 pipelines + 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Semi-automated deployment pipelines, managed workforce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Kili Technology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compliance-first annotation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GDPR-compliant, clean UI, strong for European enterprises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Snorkel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Programmatic labeling + expert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10-100x speedup for classification, enterprise banking/finance clients</w:t>
            </w:r>
          </w:p>
        </w:tc>
      </w:tr>
    </w:tbl>
    <w:p>
      <w:r>
        <w:br w:type="page"/>
      </w:r>
    </w:p>
    <w:p>
      <w:pPr>
        <w:pStyle w:val="Heading1"/>
        <w:spacing w:before="400" w:after="160"/>
      </w:pPr>
      <w:r>
        <w:rPr>
          <w:rFonts w:ascii="Arial" w:cs="Arial" w:eastAsia="Arial" w:hAnsi="Arial"/>
          <w:b/>
          <w:bCs/>
          <w:color w:val="1F4E79"/>
          <w:sz w:val="36"/>
          <w:szCs w:val="36"/>
        </w:rPr>
        <w:t xml:space="preserve">Section 5: Financial Document &amp; Corporate Intelligence Specialists</w:t>
      </w:r>
    </w:p>
    <w:p>
      <w:pPr>
        <w:spacing w:before="60" w:after="100"/>
      </w:pPr>
      <w:r>
        <w:rPr>
          <w:rFonts w:ascii="Arial" w:cs="Arial" w:eastAsia="Arial" w:hAnsi="Arial"/>
          <w:sz w:val="22"/>
          <w:szCs w:val="22"/>
        </w:rPr>
        <w:t xml:space="preserve">Financial documents present some of the most complex annotation challenges in the industry. Annual reports, SEC filings, earnings presentations, loan applications, and compliance records contain dense tables, embedded charts, mixed numerical and textual data, cross-references, and regulatory language that requires deep domain expertise to accurately annotate and extract.</w:t>
      </w:r>
    </w:p>
    <w:p>
      <w:pPr>
        <w:spacing w:before="60" w:after="100"/>
      </w:pPr>
      <w:r>
        <w:rPr>
          <w:rFonts w:ascii="Arial" w:cs="Arial" w:eastAsia="Arial" w:hAnsi="Arial"/>
          <w:sz w:val="22"/>
          <w:szCs w:val="22"/>
        </w:rPr>
        <w:t xml:space="preserve">Companies in this category operate at the intersection of data annotation, intelligent document processing, and fintech AI — building training data and extraction tools specifically for financial workflows.</w:t>
      </w:r>
    </w:p>
    <w:p>
      <w:pPr>
        <w:pStyle w:val="Heading2"/>
        <w:spacing w:before="320" w:after="120"/>
      </w:pPr>
      <w:r>
        <w:rPr>
          <w:rFonts w:ascii="Arial" w:cs="Arial" w:eastAsia="Arial" w:hAnsi="Arial"/>
          <w:b/>
          <w:bCs/>
          <w:color w:val="2E75B6"/>
          <w:sz w:val="28"/>
          <w:szCs w:val="28"/>
        </w:rPr>
        <w:t xml:space="preserve">5.1 The Financial Document Challenge</w:t>
      </w:r>
    </w:p>
    <w:p>
      <w:pPr>
        <w:spacing w:before="60" w:after="100"/>
      </w:pPr>
      <w:r>
        <w:rPr>
          <w:rFonts w:ascii="Arial" w:cs="Arial" w:eastAsia="Arial" w:hAnsi="Arial"/>
          <w:sz w:val="22"/>
          <w:szCs w:val="22"/>
        </w:rPr>
        <w:t xml:space="preserve">Financial documents are uniquely challenging for AI training pipelines for several reasons:</w:t>
      </w:r>
    </w:p>
    <w:p>
      <w:pPr>
        <w:pStyle w:val="ListParagraph"/>
        <w:numPr>
          <w:ilvl w:val="0"/>
          <w:numId w:val="2"/>
        </w:numPr>
        <w:spacing w:before="40" w:after="40"/>
      </w:pPr>
      <w:r>
        <w:rPr>
          <w:rFonts w:ascii="Arial" w:cs="Arial" w:eastAsia="Arial" w:hAnsi="Arial"/>
          <w:sz w:val="22"/>
          <w:szCs w:val="22"/>
        </w:rPr>
        <w:t xml:space="preserve">Multi-modal complexity: Charts, tables, footnotes, and narrative text coexist on the same page — models must understand structure, not just content</w:t>
      </w:r>
    </w:p>
    <w:p>
      <w:pPr>
        <w:pStyle w:val="ListParagraph"/>
        <w:numPr>
          <w:ilvl w:val="0"/>
          <w:numId w:val="2"/>
        </w:numPr>
        <w:spacing w:before="40" w:after="40"/>
      </w:pPr>
      <w:r>
        <w:rPr>
          <w:rFonts w:ascii="Arial" w:cs="Arial" w:eastAsia="Arial" w:hAnsi="Arial"/>
          <w:sz w:val="22"/>
          <w:szCs w:val="22"/>
        </w:rPr>
        <w:t xml:space="preserve">Dense numerical data: Revenue tables, financial ratios, multi-year comparisons require semantic understanding of accounting terminology</w:t>
      </w:r>
    </w:p>
    <w:p>
      <w:pPr>
        <w:pStyle w:val="ListParagraph"/>
        <w:numPr>
          <w:ilvl w:val="0"/>
          <w:numId w:val="2"/>
        </w:numPr>
        <w:spacing w:before="40" w:after="40"/>
      </w:pPr>
      <w:r>
        <w:rPr>
          <w:rFonts w:ascii="Arial" w:cs="Arial" w:eastAsia="Arial" w:hAnsi="Arial"/>
          <w:sz w:val="22"/>
          <w:szCs w:val="22"/>
        </w:rPr>
        <w:t xml:space="preserve">Regulatory precision: AML, KYC, and compliance documents have legal implications for misclassification or missed entities</w:t>
      </w:r>
    </w:p>
    <w:p>
      <w:pPr>
        <w:pStyle w:val="ListParagraph"/>
        <w:numPr>
          <w:ilvl w:val="0"/>
          <w:numId w:val="2"/>
        </w:numPr>
        <w:spacing w:before="40" w:after="40"/>
      </w:pPr>
      <w:r>
        <w:rPr>
          <w:rFonts w:ascii="Arial" w:cs="Arial" w:eastAsia="Arial" w:hAnsi="Arial"/>
          <w:sz w:val="22"/>
          <w:szCs w:val="22"/>
        </w:rPr>
        <w:t xml:space="preserve">Document variety: Annual reports (10-K), quarterly filings (10-Q), proxy statements, earnings presentations, loan packets, and insurance claim forms all require different annotation schemas</w:t>
      </w:r>
    </w:p>
    <w:p>
      <w:pPr>
        <w:pStyle w:val="ListParagraph"/>
        <w:numPr>
          <w:ilvl w:val="0"/>
          <w:numId w:val="2"/>
        </w:numPr>
        <w:spacing w:before="40" w:after="40"/>
      </w:pPr>
      <w:r>
        <w:rPr>
          <w:rFonts w:ascii="Arial" w:cs="Arial" w:eastAsia="Arial" w:hAnsi="Arial"/>
          <w:sz w:val="22"/>
          <w:szCs w:val="22"/>
        </w:rPr>
        <w:t xml:space="preserve">Cross-document reasoning: Multi-document analysis (comparing peers' filings, year-over-year trends) requires annotation that captures relationships across documents, not just within them</w:t>
      </w:r>
    </w:p>
    <w:p>
      <w:pPr>
        <w:pStyle w:val="Heading2"/>
        <w:spacing w:before="320" w:after="120"/>
      </w:pPr>
      <w:r>
        <w:rPr>
          <w:rFonts w:ascii="Arial" w:cs="Arial" w:eastAsia="Arial" w:hAnsi="Arial"/>
          <w:b/>
          <w:bCs/>
          <w:color w:val="2E75B6"/>
          <w:sz w:val="28"/>
          <w:szCs w:val="28"/>
        </w:rPr>
        <w:t xml:space="preserve">5.2 Key Companies: Financial Document Annotation &amp; Training Data</w:t>
      </w:r>
    </w:p>
    <w:p>
      <w:pPr>
        <w:pStyle w:val="Heading3"/>
        <w:spacing w:before="200" w:after="80"/>
      </w:pPr>
      <w:r>
        <w:rPr>
          <w:rFonts w:ascii="Arial" w:cs="Arial" w:eastAsia="Arial" w:hAnsi="Arial"/>
          <w:b/>
          <w:bCs/>
          <w:color w:val="1A1A2E"/>
          <w:sz w:val="24"/>
          <w:szCs w:val="24"/>
        </w:rPr>
        <w:t xml:space="preserve">Snorkel AI (Financial Focus)</w:t>
      </w:r>
    </w:p>
    <w:p>
      <w:pPr>
        <w:spacing w:before="60" w:after="100"/>
      </w:pPr>
      <w:r>
        <w:rPr>
          <w:rFonts w:ascii="Arial" w:cs="Arial" w:eastAsia="Arial" w:hAnsi="Arial"/>
          <w:sz w:val="22"/>
          <w:szCs w:val="22"/>
        </w:rPr>
        <w:t xml:space="preserve">Five of the top ten US banks use Snorkel for document analysis, compliance, and classification. The platform's programmatic labeling approach is particularly well-suited to financial documents because recurring document structures (e.g., balance sheets, income statements) can be encoded as labeling functions that automatically annotate at scale. Snorkel also powers regulatory document parsing for BNY Mellon and Chubb Insurance.</w:t>
      </w:r>
    </w:p>
    <w:p>
      <w:pPr>
        <w:pStyle w:val="Heading3"/>
        <w:spacing w:before="200" w:after="80"/>
      </w:pPr>
      <w:r>
        <w:rPr>
          <w:rFonts w:ascii="Arial" w:cs="Arial" w:eastAsia="Arial" w:hAnsi="Arial"/>
          <w:b/>
          <w:bCs/>
          <w:color w:val="1A1A2E"/>
          <w:sz w:val="24"/>
          <w:szCs w:val="24"/>
        </w:rPr>
        <w:t xml:space="preserve">DataVLab</w:t>
      </w:r>
    </w:p>
    <w:p>
      <w:pPr>
        <w:spacing w:before="60" w:after="100"/>
      </w:pPr>
      <w:r>
        <w:rPr>
          <w:rFonts w:ascii="Arial" w:cs="Arial" w:eastAsia="Arial" w:hAnsi="Arial"/>
          <w:sz w:val="22"/>
          <w:szCs w:val="22"/>
        </w:rPr>
        <w:t xml:space="preserve">DataVLab provides dedicated financial data annotation for banks, fintech startups, insurance firms, investment platforms, and RegTech providers. The company handles structured and unstructured financial data including transactions, statements, invoices, KYC documents, contracts, customer support logs, and OCR-extracted content.</w:t>
      </w:r>
    </w:p>
    <w:p>
      <w:pPr>
        <w:pStyle w:val="ListParagraph"/>
        <w:numPr>
          <w:ilvl w:val="0"/>
          <w:numId w:val="2"/>
        </w:numPr>
        <w:spacing w:before="40" w:after="40"/>
      </w:pPr>
      <w:r>
        <w:rPr>
          <w:rFonts w:ascii="Arial" w:cs="Arial" w:eastAsia="Arial" w:hAnsi="Arial"/>
          <w:sz w:val="22"/>
          <w:szCs w:val="22"/>
        </w:rPr>
        <w:t xml:space="preserve">Document Intelligence: Bounding boxes, zone labeling, signature detection, page-level classification, entity linking, table extraction, handwriting interpretation</w:t>
      </w:r>
    </w:p>
    <w:p>
      <w:pPr>
        <w:pStyle w:val="ListParagraph"/>
        <w:numPr>
          <w:ilvl w:val="0"/>
          <w:numId w:val="2"/>
        </w:numPr>
        <w:spacing w:before="40" w:after="40"/>
      </w:pPr>
      <w:r>
        <w:rPr>
          <w:rFonts w:ascii="Arial" w:cs="Arial" w:eastAsia="Arial" w:hAnsi="Arial"/>
          <w:sz w:val="22"/>
          <w:szCs w:val="22"/>
        </w:rPr>
        <w:t xml:space="preserve">Table Annotation: Annotates table boundaries, cell relationships, numeric values, and multi-row structures to improve extraction accuracy in financial documents</w:t>
      </w:r>
    </w:p>
    <w:p>
      <w:pPr>
        <w:pStyle w:val="ListParagraph"/>
        <w:numPr>
          <w:ilvl w:val="0"/>
          <w:numId w:val="2"/>
        </w:numPr>
        <w:spacing w:before="40" w:after="40"/>
      </w:pPr>
      <w:r>
        <w:rPr>
          <w:rFonts w:ascii="Arial" w:cs="Arial" w:eastAsia="Arial" w:hAnsi="Arial"/>
          <w:sz w:val="22"/>
          <w:szCs w:val="22"/>
        </w:rPr>
        <w:t xml:space="preserve">Compliance: EU-only annotation teams available; GDPR-aligned for financial privacy requirements</w:t>
      </w:r>
    </w:p>
    <w:p>
      <w:pPr>
        <w:pStyle w:val="ListParagraph"/>
        <w:numPr>
          <w:ilvl w:val="0"/>
          <w:numId w:val="2"/>
        </w:numPr>
        <w:spacing w:before="40" w:after="40"/>
      </w:pPr>
      <w:r>
        <w:rPr>
          <w:rFonts w:ascii="Arial" w:cs="Arial" w:eastAsia="Arial" w:hAnsi="Arial"/>
          <w:sz w:val="22"/>
          <w:szCs w:val="22"/>
        </w:rPr>
        <w:t xml:space="preserve">NLP: Intent, sentiment, entities, topics, and compliance-sensitive information across fintech support messages</w:t>
      </w:r>
    </w:p>
    <w:p>
      <w:pPr>
        <w:pStyle w:val="Heading3"/>
        <w:spacing w:before="200" w:after="80"/>
      </w:pPr>
      <w:r>
        <w:rPr>
          <w:rFonts w:ascii="Arial" w:cs="Arial" w:eastAsia="Arial" w:hAnsi="Arial"/>
          <w:b/>
          <w:bCs/>
          <w:color w:val="1A1A2E"/>
          <w:sz w:val="24"/>
          <w:szCs w:val="24"/>
        </w:rPr>
        <w:t xml:space="preserve">Label Your Data (Fintech Division)</w:t>
      </w:r>
    </w:p>
    <w:p>
      <w:pPr>
        <w:spacing w:before="60" w:after="100"/>
      </w:pPr>
      <w:r>
        <w:rPr>
          <w:rFonts w:ascii="Arial" w:cs="Arial" w:eastAsia="Arial" w:hAnsi="Arial"/>
          <w:sz w:val="22"/>
          <w:szCs w:val="22"/>
        </w:rPr>
        <w:t xml:space="preserve">Label Your Data offers specialized financial annotation services, including a case study of processing commercial invoices, shipment documents, and transaction details for a UK-based online invoice financing company expanding into the Chinese market — requiring bilingual annotators with financial domain knowledge.</w:t>
      </w:r>
    </w:p>
    <w:p>
      <w:pPr>
        <w:pStyle w:val="ListParagraph"/>
        <w:numPr>
          <w:ilvl w:val="0"/>
          <w:numId w:val="2"/>
        </w:numPr>
        <w:spacing w:before="40" w:after="40"/>
      </w:pPr>
      <w:r>
        <w:rPr>
          <w:rFonts w:ascii="Arial" w:cs="Arial" w:eastAsia="Arial" w:hAnsi="Arial"/>
          <w:sz w:val="22"/>
          <w:szCs w:val="22"/>
        </w:rPr>
        <w:t xml:space="preserve">Services: OCR annotation, entity recognition (NER) for financial texts, text categorization, prompt creation for NLP models</w:t>
      </w:r>
    </w:p>
    <w:p>
      <w:pPr>
        <w:pStyle w:val="ListParagraph"/>
        <w:numPr>
          <w:ilvl w:val="0"/>
          <w:numId w:val="2"/>
        </w:numPr>
        <w:spacing w:before="40" w:after="40"/>
      </w:pPr>
      <w:r>
        <w:rPr>
          <w:rFonts w:ascii="Arial" w:cs="Arial" w:eastAsia="Arial" w:hAnsi="Arial"/>
          <w:sz w:val="22"/>
          <w:szCs w:val="22"/>
        </w:rPr>
        <w:t xml:space="preserve">Compliance: Strict security measures, API-based labeling for real-time transaction data management</w:t>
      </w:r>
    </w:p>
    <w:p>
      <w:pPr>
        <w:pStyle w:val="Heading3"/>
        <w:spacing w:before="200" w:after="80"/>
      </w:pPr>
      <w:r>
        <w:rPr>
          <w:rFonts w:ascii="Arial" w:cs="Arial" w:eastAsia="Arial" w:hAnsi="Arial"/>
          <w:b/>
          <w:bCs/>
          <w:color w:val="1A1A2E"/>
          <w:sz w:val="24"/>
          <w:szCs w:val="24"/>
        </w:rPr>
        <w:t xml:space="preserve">Cogito Tech (Financial AI)</w:t>
      </w:r>
    </w:p>
    <w:p>
      <w:pPr>
        <w:spacing w:before="60" w:after="100"/>
      </w:pPr>
      <w:r>
        <w:rPr>
          <w:rFonts w:ascii="Arial" w:cs="Arial" w:eastAsia="Arial" w:hAnsi="Arial"/>
          <w:sz w:val="22"/>
          <w:szCs w:val="22"/>
        </w:rPr>
        <w:t xml:space="preserve">Cogito Tech's AI Innovation Hubs deliver SME-led data annotation for financial AI, combining subject matter expert oversight with efficient workflow management. The company was recognized in Everest Group's Data Annotation and Labeling Solutions PEAK Matrix 2024 and in The Financial Times' fastest-growing US companies ranking.</w:t>
      </w:r>
    </w:p>
    <w:p>
      <w:pPr>
        <w:pStyle w:val="ListParagraph"/>
        <w:numPr>
          <w:ilvl w:val="0"/>
          <w:numId w:val="2"/>
        </w:numPr>
        <w:spacing w:before="40" w:after="40"/>
      </w:pPr>
      <w:r>
        <w:rPr>
          <w:rFonts w:ascii="Arial" w:cs="Arial" w:eastAsia="Arial" w:hAnsi="Arial"/>
          <w:sz w:val="22"/>
          <w:szCs w:val="22"/>
        </w:rPr>
        <w:t xml:space="preserve">Fraud Detection: Transaction labeling for anomaly detection, AML pattern recognition</w:t>
      </w:r>
    </w:p>
    <w:p>
      <w:pPr>
        <w:pStyle w:val="ListParagraph"/>
        <w:numPr>
          <w:ilvl w:val="0"/>
          <w:numId w:val="2"/>
        </w:numPr>
        <w:spacing w:before="40" w:after="40"/>
      </w:pPr>
      <w:r>
        <w:rPr>
          <w:rFonts w:ascii="Arial" w:cs="Arial" w:eastAsia="Arial" w:hAnsi="Arial"/>
          <w:sz w:val="22"/>
          <w:szCs w:val="22"/>
        </w:rPr>
        <w:t xml:space="preserve">KYC/Document Processing: OCR annotation for loan applications, financial statements, identity documents</w:t>
      </w:r>
    </w:p>
    <w:p>
      <w:pPr>
        <w:pStyle w:val="ListParagraph"/>
        <w:numPr>
          <w:ilvl w:val="0"/>
          <w:numId w:val="2"/>
        </w:numPr>
        <w:spacing w:before="40" w:after="40"/>
      </w:pPr>
      <w:r>
        <w:rPr>
          <w:rFonts w:ascii="Arial" w:cs="Arial" w:eastAsia="Arial" w:hAnsi="Arial"/>
          <w:sz w:val="22"/>
          <w:szCs w:val="22"/>
        </w:rPr>
        <w:t xml:space="preserve">NLP: Regulatory document parsing, customer sentiment analysis, intent recognition for banking AI</w:t>
      </w:r>
    </w:p>
    <w:p>
      <w:pPr>
        <w:pStyle w:val="Heading3"/>
        <w:spacing w:before="200" w:after="80"/>
      </w:pPr>
      <w:r>
        <w:rPr>
          <w:rFonts w:ascii="Arial" w:cs="Arial" w:eastAsia="Arial" w:hAnsi="Arial"/>
          <w:b/>
          <w:bCs/>
          <w:color w:val="1A1A2E"/>
          <w:sz w:val="24"/>
          <w:szCs w:val="24"/>
        </w:rPr>
        <w:t xml:space="preserve">Hitech BPO</w:t>
      </w:r>
    </w:p>
    <w:p>
      <w:pPr>
        <w:spacing w:before="60" w:after="100"/>
      </w:pPr>
      <w:r>
        <w:rPr>
          <w:rFonts w:ascii="Arial" w:cs="Arial" w:eastAsia="Arial" w:hAnsi="Arial"/>
          <w:sz w:val="22"/>
          <w:szCs w:val="22"/>
        </w:rPr>
        <w:t xml:space="preserve">Hitech BPO provides NER annotation, text categorization, sentiment annotation, and transaction classification for fintech and banking AI models. Specializes in annotating financial metrics, historical prices, market indicators for time-series predictive models.</w:t>
      </w:r>
    </w:p>
    <w:p>
      <w:pPr>
        <w:pStyle w:val="Heading3"/>
        <w:spacing w:before="200" w:after="80"/>
      </w:pPr>
      <w:r>
        <w:rPr>
          <w:rFonts w:ascii="Arial" w:cs="Arial" w:eastAsia="Arial" w:hAnsi="Arial"/>
          <w:b/>
          <w:bCs/>
          <w:color w:val="1A1A2E"/>
          <w:sz w:val="24"/>
          <w:szCs w:val="24"/>
        </w:rPr>
        <w:t xml:space="preserve">ARDEM</w:t>
      </w:r>
    </w:p>
    <w:p>
      <w:pPr>
        <w:spacing w:before="60" w:after="100"/>
      </w:pPr>
      <w:r>
        <w:rPr>
          <w:rFonts w:ascii="Arial" w:cs="Arial" w:eastAsia="Arial" w:hAnsi="Arial"/>
          <w:sz w:val="22"/>
          <w:szCs w:val="22"/>
        </w:rPr>
        <w:t xml:space="preserve">ARDEM offers BPO-based financial data annotation for generative AI, with a focus on CFO-facing applications: invoice processing automation, transaction reconciliation, fraud detection, and compliance reporting. The company emphasizes error-free, audit-ready datasets for regulated financial institutions.</w:t>
      </w:r>
    </w:p>
    <w:p>
      <w:pPr>
        <w:pStyle w:val="Heading3"/>
        <w:spacing w:before="200" w:after="80"/>
      </w:pPr>
      <w:r>
        <w:rPr>
          <w:rFonts w:ascii="Arial" w:cs="Arial" w:eastAsia="Arial" w:hAnsi="Arial"/>
          <w:b/>
          <w:bCs/>
          <w:color w:val="1A1A2E"/>
          <w:sz w:val="24"/>
          <w:szCs w:val="24"/>
        </w:rPr>
        <w:t xml:space="preserve">Annotation Support</w:t>
      </w:r>
    </w:p>
    <w:p>
      <w:pPr>
        <w:spacing w:before="60" w:after="100"/>
      </w:pPr>
      <w:r>
        <w:rPr>
          <w:rFonts w:ascii="Arial" w:cs="Arial" w:eastAsia="Arial" w:hAnsi="Arial"/>
          <w:sz w:val="22"/>
          <w:szCs w:val="22"/>
        </w:rPr>
        <w:t xml:space="preserve">Provides specialized financial annotation services including: OCR annotation for loan applications and financial statements, entity recognition for tax forms and insurance claims, AML annotation for money laundering detection, time series annotation for trading models, and behavioral data annotation for personalized wealth management and investment advice systems.</w:t>
      </w:r>
    </w:p>
    <w:p>
      <w:pPr>
        <w:pStyle w:val="Heading2"/>
        <w:spacing w:before="320" w:after="120"/>
      </w:pPr>
      <w:r>
        <w:rPr>
          <w:rFonts w:ascii="Arial" w:cs="Arial" w:eastAsia="Arial" w:hAnsi="Arial"/>
          <w:b/>
          <w:bCs/>
          <w:color w:val="2E75B6"/>
          <w:sz w:val="28"/>
          <w:szCs w:val="28"/>
        </w:rPr>
        <w:t xml:space="preserve">5.3 Intelligent Document Processing for Financial Workflows</w:t>
      </w:r>
    </w:p>
    <w:p>
      <w:pPr>
        <w:spacing w:before="60" w:after="100"/>
      </w:pPr>
      <w:r>
        <w:rPr>
          <w:rFonts w:ascii="Arial" w:cs="Arial" w:eastAsia="Arial" w:hAnsi="Arial"/>
          <w:sz w:val="22"/>
          <w:szCs w:val="22"/>
        </w:rPr>
        <w:t xml:space="preserve">A parallel category — Intelligent Document Processing (IDP) — builds the extraction infrastructure that financial annotated data ultimately trains. These platforms use the annotated datasets created by annotation companies to deploy production-ready document AI.</w:t>
      </w:r>
    </w:p>
    <w:p>
      <w:pPr>
        <w:pStyle w:val="Heading3"/>
        <w:spacing w:before="200" w:after="80"/>
      </w:pPr>
      <w:r>
        <w:rPr>
          <w:rFonts w:ascii="Arial" w:cs="Arial" w:eastAsia="Arial" w:hAnsi="Arial"/>
          <w:b/>
          <w:bCs/>
          <w:color w:val="1A1A2E"/>
          <w:sz w:val="24"/>
          <w:szCs w:val="24"/>
        </w:rPr>
        <w:t xml:space="preserve">Instabase</w:t>
      </w:r>
    </w:p>
    <w:p>
      <w:pPr>
        <w:spacing w:before="60" w:after="100"/>
      </w:pPr>
      <w:r>
        <w:rPr>
          <w:rFonts w:ascii="Arial" w:cs="Arial" w:eastAsia="Arial" w:hAnsi="Arial"/>
          <w:sz w:val="22"/>
          <w:szCs w:val="22"/>
        </w:rPr>
        <w:t xml:space="preserve">Founded: 2015 | HQ: San Francisco | Funding: $280M | Valuation: $2B+</w:t>
      </w:r>
    </w:p>
    <w:p>
      <w:pPr>
        <w:spacing w:before="60" w:after="100"/>
      </w:pPr>
      <w:r>
        <w:rPr>
          <w:rFonts w:ascii="Arial" w:cs="Arial" w:eastAsia="Arial" w:hAnsi="Arial"/>
          <w:sz w:val="22"/>
          <w:szCs w:val="22"/>
        </w:rPr>
        <w:t xml:space="preserve">Instabase found product-market fit at Standard Chartered (a $1.5M contract in 2018) by helping banks turn stacks of paystubs, bank statements, and identity documents into structured data for credit and KYC checks. The platform handles unstructured data across modalities — scanned PDFs, mobile photos, handwritten notes — and converts them into machine-readable structured data.</w:t>
      </w:r>
    </w:p>
    <w:p>
      <w:pPr>
        <w:spacing w:before="60" w:after="100"/>
      </w:pPr>
      <w:r>
        <w:rPr>
          <w:rFonts w:ascii="Arial" w:cs="Arial" w:eastAsia="Arial" w:hAnsi="Arial"/>
          <w:sz w:val="22"/>
          <w:szCs w:val="22"/>
        </w:rPr>
        <w:t xml:space="preserve">In November 2025, Instabase introduced AI Runtime 2.0 with 'Agent Mode' — using next-generation models for higher extraction accuracy with auto-generated classification schemas from uploaded documents. The company also launched Case Management for complex multi-document workflows with structured human-in-the-loop oversight.</w:t>
      </w:r>
    </w:p>
    <w:p>
      <w:pPr>
        <w:pStyle w:val="ListParagraph"/>
        <w:numPr>
          <w:ilvl w:val="0"/>
          <w:numId w:val="2"/>
        </w:numPr>
        <w:spacing w:before="40" w:after="40"/>
      </w:pPr>
      <w:r>
        <w:rPr>
          <w:rFonts w:ascii="Arial" w:cs="Arial" w:eastAsia="Arial" w:hAnsi="Arial"/>
          <w:sz w:val="22"/>
          <w:szCs w:val="22"/>
        </w:rPr>
        <w:t xml:space="preserve">Chart &amp; Table Extraction: Complex financial document structures (annual reports, earnings presentations)</w:t>
      </w:r>
    </w:p>
    <w:p>
      <w:pPr>
        <w:pStyle w:val="ListParagraph"/>
        <w:numPr>
          <w:ilvl w:val="0"/>
          <w:numId w:val="2"/>
        </w:numPr>
        <w:spacing w:before="40" w:after="40"/>
      </w:pPr>
      <w:r>
        <w:rPr>
          <w:rFonts w:ascii="Arial" w:cs="Arial" w:eastAsia="Arial" w:hAnsi="Arial"/>
          <w:sz w:val="22"/>
          <w:szCs w:val="22"/>
        </w:rPr>
        <w:t xml:space="preserve">Visual Reasoning: Upgraded in March 2025 — multimodal understanding of charts, diagrams, and form layouts</w:t>
      </w:r>
    </w:p>
    <w:p>
      <w:pPr>
        <w:pStyle w:val="ListParagraph"/>
        <w:numPr>
          <w:ilvl w:val="0"/>
          <w:numId w:val="2"/>
        </w:numPr>
        <w:spacing w:before="40" w:after="40"/>
      </w:pPr>
      <w:r>
        <w:rPr>
          <w:rFonts w:ascii="Arial" w:cs="Arial" w:eastAsia="Arial" w:hAnsi="Arial"/>
          <w:sz w:val="22"/>
          <w:szCs w:val="22"/>
        </w:rPr>
        <w:t xml:space="preserve">Enterprise Clients: Standard Chartered, major global banks, insurance firms</w:t>
      </w:r>
    </w:p>
    <w:p>
      <w:pPr>
        <w:pStyle w:val="ListParagraph"/>
        <w:numPr>
          <w:ilvl w:val="0"/>
          <w:numId w:val="2"/>
        </w:numPr>
        <w:spacing w:before="40" w:after="40"/>
      </w:pPr>
      <w:r>
        <w:rPr>
          <w:rFonts w:ascii="Arial" w:cs="Arial" w:eastAsia="Arial" w:hAnsi="Arial"/>
          <w:sz w:val="22"/>
          <w:szCs w:val="22"/>
        </w:rPr>
        <w:t xml:space="preserve">Low-Code Platform: Business users can build document extraction workflows without engineering expertise</w:t>
      </w:r>
    </w:p>
    <w:p>
      <w:pPr>
        <w:pStyle w:val="Heading3"/>
        <w:spacing w:before="200" w:after="80"/>
      </w:pPr>
      <w:r>
        <w:rPr>
          <w:rFonts w:ascii="Arial" w:cs="Arial" w:eastAsia="Arial" w:hAnsi="Arial"/>
          <w:b/>
          <w:bCs/>
          <w:color w:val="1A1A2E"/>
          <w:sz w:val="24"/>
          <w:szCs w:val="24"/>
        </w:rPr>
        <w:t xml:space="preserve">Hyperscience</w:t>
      </w:r>
    </w:p>
    <w:p>
      <w:pPr>
        <w:spacing w:before="60" w:after="100"/>
      </w:pPr>
      <w:r>
        <w:rPr>
          <w:rFonts w:ascii="Arial" w:cs="Arial" w:eastAsia="Arial" w:hAnsi="Arial"/>
          <w:sz w:val="22"/>
          <w:szCs w:val="22"/>
        </w:rPr>
        <w:t xml:space="preserve">Founded: 2014 | HQ: New York | Status: Gartner Magic Quadrant Leader (IDP) 2025</w:t>
      </w:r>
    </w:p>
    <w:p>
      <w:pPr>
        <w:spacing w:before="60" w:after="100"/>
      </w:pPr>
      <w:r>
        <w:rPr>
          <w:rFonts w:ascii="Arial" w:cs="Arial" w:eastAsia="Arial" w:hAnsi="Arial"/>
          <w:sz w:val="22"/>
          <w:szCs w:val="22"/>
        </w:rPr>
        <w:t xml:space="preserve">Hyperscience is recognized as a Leader and Fast Mover in Gartner's 2025 Magic Quadrant for Intelligent Document Processing. The platform uses a composable, ML-native approach to IDP with strong compliance features for regulated industries. Financial services customers use Hyperscience for mortgage processing, account opening, and servicing document automation. The platform's Full Page Transcription capability (introduced in Flow Blocks v40) and AI agent creation in TotalAgility 8.1 represent its move toward fully agentic document workflows.</w:t>
      </w:r>
    </w:p>
    <w:p>
      <w:pPr>
        <w:pStyle w:val="ListParagraph"/>
        <w:numPr>
          <w:ilvl w:val="0"/>
          <w:numId w:val="2"/>
        </w:numPr>
        <w:spacing w:before="40" w:after="40"/>
      </w:pPr>
      <w:r>
        <w:rPr>
          <w:rFonts w:ascii="Arial" w:cs="Arial" w:eastAsia="Arial" w:hAnsi="Arial"/>
          <w:sz w:val="22"/>
          <w:szCs w:val="22"/>
        </w:rPr>
        <w:t xml:space="preserve">Finance Use Cases: Mortgage processing, account opening, account servicing, loan origination</w:t>
      </w:r>
    </w:p>
    <w:p>
      <w:pPr>
        <w:pStyle w:val="ListParagraph"/>
        <w:numPr>
          <w:ilvl w:val="0"/>
          <w:numId w:val="2"/>
        </w:numPr>
        <w:spacing w:before="40" w:after="40"/>
      </w:pPr>
      <w:r>
        <w:rPr>
          <w:rFonts w:ascii="Arial" w:cs="Arial" w:eastAsia="Arial" w:hAnsi="Arial"/>
          <w:sz w:val="22"/>
          <w:szCs w:val="22"/>
        </w:rPr>
        <w:t xml:space="preserve">Compliance: FedRAMP-authorized for government; HIPAA, SOC2 for financial services</w:t>
      </w:r>
    </w:p>
    <w:p>
      <w:pPr>
        <w:pStyle w:val="ListParagraph"/>
        <w:numPr>
          <w:ilvl w:val="0"/>
          <w:numId w:val="2"/>
        </w:numPr>
        <w:spacing w:before="40" w:after="40"/>
      </w:pPr>
      <w:r>
        <w:rPr>
          <w:rFonts w:ascii="Arial" w:cs="Arial" w:eastAsia="Arial" w:hAnsi="Arial"/>
          <w:sz w:val="22"/>
          <w:szCs w:val="22"/>
        </w:rPr>
        <w:t xml:space="preserve">Human-in-the-Loop: Configurable review thresholds with auditable decision trails</w:t>
      </w:r>
    </w:p>
    <w:p>
      <w:pPr>
        <w:pStyle w:val="Heading3"/>
        <w:spacing w:before="200" w:after="80"/>
      </w:pPr>
      <w:r>
        <w:rPr>
          <w:rFonts w:ascii="Arial" w:cs="Arial" w:eastAsia="Arial" w:hAnsi="Arial"/>
          <w:b/>
          <w:bCs/>
          <w:color w:val="1A1A2E"/>
          <w:sz w:val="24"/>
          <w:szCs w:val="24"/>
        </w:rPr>
        <w:t xml:space="preserve">73 Strings</w:t>
      </w:r>
    </w:p>
    <w:p>
      <w:pPr>
        <w:spacing w:before="60" w:after="100"/>
      </w:pPr>
      <w:r>
        <w:rPr>
          <w:rFonts w:ascii="Arial" w:cs="Arial" w:eastAsia="Arial" w:hAnsi="Arial"/>
          <w:sz w:val="22"/>
          <w:szCs w:val="22"/>
        </w:rPr>
        <w:t xml:space="preserve">73 Strings is a specialized AI data extraction platform focused on private capital markets. Clients include Blackstone. The platform uses domain-specific language models trained on financial and legal text (BERT-based Transformers) to extract data from fund reports, loan agreements, financial statements, investor communications, and legal filings.</w:t>
      </w:r>
    </w:p>
    <w:p>
      <w:pPr>
        <w:pStyle w:val="ListParagraph"/>
        <w:numPr>
          <w:ilvl w:val="0"/>
          <w:numId w:val="2"/>
        </w:numPr>
        <w:spacing w:before="40" w:after="40"/>
      </w:pPr>
      <w:r>
        <w:rPr>
          <w:rFonts w:ascii="Arial" w:cs="Arial" w:eastAsia="Arial" w:hAnsi="Arial"/>
          <w:sz w:val="22"/>
          <w:szCs w:val="22"/>
        </w:rPr>
        <w:t xml:space="preserve">Private Capital: Fund-level reporting, portfolio monitoring, valuation automation</w:t>
      </w:r>
    </w:p>
    <w:p>
      <w:pPr>
        <w:pStyle w:val="ListParagraph"/>
        <w:numPr>
          <w:ilvl w:val="0"/>
          <w:numId w:val="2"/>
        </w:numPr>
        <w:spacing w:before="40" w:after="40"/>
      </w:pPr>
      <w:r>
        <w:rPr>
          <w:rFonts w:ascii="Arial" w:cs="Arial" w:eastAsia="Arial" w:hAnsi="Arial"/>
          <w:sz w:val="22"/>
          <w:szCs w:val="22"/>
        </w:rPr>
        <w:t xml:space="preserve">Validation: Extracted data validated against reference datasets, business rules, and historical context</w:t>
      </w:r>
    </w:p>
    <w:p>
      <w:pPr>
        <w:pStyle w:val="ListParagraph"/>
        <w:numPr>
          <w:ilvl w:val="0"/>
          <w:numId w:val="2"/>
        </w:numPr>
        <w:spacing w:before="40" w:after="40"/>
      </w:pPr>
      <w:r>
        <w:rPr>
          <w:rFonts w:ascii="Arial" w:cs="Arial" w:eastAsia="Arial" w:hAnsi="Arial"/>
          <w:sz w:val="22"/>
          <w:szCs w:val="22"/>
        </w:rPr>
        <w:t xml:space="preserve">Audit-Ready: Clean, validated, structured output suitable for regulatory reporting</w:t>
      </w:r>
    </w:p>
    <w:p>
      <w:r>
        <w:br w:type="page"/>
      </w:r>
    </w:p>
    <w:p>
      <w:pPr>
        <w:pStyle w:val="Heading1"/>
        <w:spacing w:before="400" w:after="160"/>
      </w:pPr>
      <w:r>
        <w:rPr>
          <w:rFonts w:ascii="Arial" w:cs="Arial" w:eastAsia="Arial" w:hAnsi="Arial"/>
          <w:b/>
          <w:bCs/>
          <w:color w:val="1F4E79"/>
          <w:sz w:val="36"/>
          <w:szCs w:val="36"/>
        </w:rPr>
        <w:t xml:space="preserve">Section 6: Synthetic Data &amp; AI-Generated Reasoning Data</w:t>
      </w:r>
    </w:p>
    <w:p>
      <w:pPr>
        <w:spacing w:before="60" w:after="100"/>
      </w:pPr>
      <w:r>
        <w:rPr>
          <w:rFonts w:ascii="Arial" w:cs="Arial" w:eastAsia="Arial" w:hAnsi="Arial"/>
          <w:sz w:val="22"/>
          <w:szCs w:val="22"/>
        </w:rPr>
        <w:t xml:space="preserve">Synthetic data — computer-generated datasets that mirror the statistical properties of real data — has emerged as a critical complement to human annotation. The synthetic data market is projected to grow from approximately $0.5 billion in 2025 to $2.7 billion by 2030, driven primarily by AI model training demand. The most commercially significant applications include generating reasoning traces for mathematics and coding, creating privacy-preserving versions of sensitive financial and healthcare records, and building agentic training environments at scale.</w:t>
      </w:r>
    </w:p>
    <w:p>
      <w:pPr>
        <w:shd w:fill="EBF5FB" w:val="clear"/>
        <w:spacing w:before="80" w:after="80"/>
        <w:ind w:left="720" w:right="720"/>
      </w:pPr>
      <w:r>
        <w:rPr>
          <w:rFonts w:ascii="Arial" w:cs="Arial" w:eastAsia="Arial" w:hAnsi="Arial"/>
          <w:i/>
          <w:iCs/>
          <w:color w:val="2C3E50"/>
          <w:sz w:val="21"/>
          <w:szCs w:val="21"/>
        </w:rPr>
        <w:t xml:space="preserve">💡 Gartner estimates that by 2026, 75% of businesses will use generative AI to create synthetic customer data, up from less than 5% in 2023.</w:t>
      </w:r>
    </w:p>
    <w:p>
      <w:pPr>
        <w:pStyle w:val="Heading2"/>
        <w:spacing w:before="320" w:after="120"/>
      </w:pPr>
      <w:r>
        <w:rPr>
          <w:rFonts w:ascii="Arial" w:cs="Arial" w:eastAsia="Arial" w:hAnsi="Arial"/>
          <w:b/>
          <w:bCs/>
          <w:color w:val="2E75B6"/>
          <w:sz w:val="28"/>
          <w:szCs w:val="28"/>
        </w:rPr>
        <w:t xml:space="preserve">6.1 Gretel AI (acquired by NVIDIA, March 2025)</w:t>
      </w:r>
    </w:p>
    <w:p>
      <w:pPr>
        <w:spacing w:before="60" w:after="100"/>
      </w:pPr>
      <w:r>
        <w:rPr>
          <w:rFonts w:ascii="Arial" w:cs="Arial" w:eastAsia="Arial" w:hAnsi="Arial"/>
          <w:sz w:val="22"/>
          <w:szCs w:val="22"/>
        </w:rPr>
        <w:t xml:space="preserve">Founded: 2019 | HQ: San Diego | Acquired by NVIDIA for $320M+ (March 2025)</w:t>
      </w:r>
    </w:p>
    <w:p>
      <w:pPr>
        <w:spacing w:before="60" w:after="100"/>
      </w:pPr>
      <w:r>
        <w:rPr>
          <w:rFonts w:ascii="Arial" w:cs="Arial" w:eastAsia="Arial" w:hAnsi="Arial"/>
          <w:sz w:val="22"/>
          <w:szCs w:val="22"/>
        </w:rPr>
        <w:t xml:space="preserve">Gretel was the leading independent synthetic data platform before its NVIDIA acquisition. The company fine-tuned open-source models, added differential privacy features, and packaged synthetic data generation as a developer API. Over 150,000 cloud users and Fortune 500 clients including Google, SAP, Snowflake, Illumina, and Bayer used the platform.</w:t>
      </w:r>
    </w:p>
    <w:p>
      <w:pPr>
        <w:spacing w:before="60" w:after="100"/>
      </w:pPr>
      <w:r>
        <w:rPr>
          <w:rFonts w:ascii="Arial" w:cs="Arial" w:eastAsia="Arial" w:hAnsi="Arial"/>
          <w:sz w:val="22"/>
          <w:szCs w:val="22"/>
        </w:rPr>
        <w:t xml:space="preserve">Gretel's synthetic data capabilities included tabular data, time-series data, and unstructured text. Notably, Gretel developed and open-sourced the largest Text-to-SQL synthetic dataset — 105,851 samples with 23M total tokens across 100 domains — demonstrating the platform's relevance to training models for structured data reasoning in financial and database contexts.</w:t>
      </w:r>
    </w:p>
    <w:p>
      <w:pPr>
        <w:pStyle w:val="ListParagraph"/>
        <w:numPr>
          <w:ilvl w:val="0"/>
          <w:numId w:val="2"/>
        </w:numPr>
        <w:spacing w:before="40" w:after="40"/>
      </w:pPr>
      <w:r>
        <w:rPr>
          <w:rFonts w:ascii="Arial" w:cs="Arial" w:eastAsia="Arial" w:hAnsi="Arial"/>
          <w:sz w:val="22"/>
          <w:szCs w:val="22"/>
        </w:rPr>
        <w:t xml:space="preserve">Privacy Preservation: Differential privacy controls, HIPAA and GDPR compliance</w:t>
      </w:r>
    </w:p>
    <w:p>
      <w:pPr>
        <w:pStyle w:val="ListParagraph"/>
        <w:numPr>
          <w:ilvl w:val="0"/>
          <w:numId w:val="2"/>
        </w:numPr>
        <w:spacing w:before="40" w:after="40"/>
      </w:pPr>
      <w:r>
        <w:rPr>
          <w:rFonts w:ascii="Arial" w:cs="Arial" w:eastAsia="Arial" w:hAnsi="Arial"/>
          <w:sz w:val="22"/>
          <w:szCs w:val="22"/>
        </w:rPr>
        <w:t xml:space="preserve">Reasoning &amp; Math: Synthetic math validation datasets, benchmark alignment studies</w:t>
      </w:r>
    </w:p>
    <w:p>
      <w:pPr>
        <w:pStyle w:val="ListParagraph"/>
        <w:numPr>
          <w:ilvl w:val="0"/>
          <w:numId w:val="2"/>
        </w:numPr>
        <w:spacing w:before="40" w:after="40"/>
      </w:pPr>
      <w:r>
        <w:rPr>
          <w:rFonts w:ascii="Arial" w:cs="Arial" w:eastAsia="Arial" w:hAnsi="Arial"/>
          <w:sz w:val="22"/>
          <w:szCs w:val="22"/>
        </w:rPr>
        <w:t xml:space="preserve">Financial Documents: Synthetic document datasets for tax form validation, legal documents, mortgage approvals</w:t>
      </w:r>
    </w:p>
    <w:p>
      <w:pPr>
        <w:pStyle w:val="ListParagraph"/>
        <w:numPr>
          <w:ilvl w:val="0"/>
          <w:numId w:val="2"/>
        </w:numPr>
        <w:spacing w:before="40" w:after="40"/>
      </w:pPr>
      <w:r>
        <w:rPr>
          <w:rFonts w:ascii="Arial" w:cs="Arial" w:eastAsia="Arial" w:hAnsi="Arial"/>
          <w:sz w:val="22"/>
          <w:szCs w:val="22"/>
        </w:rPr>
        <w:t xml:space="preserve">NVIDIA Integration: Now folded into NVIDIA's NeMo Data Designer suite for agentic AI training</w:t>
      </w:r>
    </w:p>
    <w:p>
      <w:pPr>
        <w:pStyle w:val="Heading2"/>
        <w:spacing w:before="320" w:after="120"/>
      </w:pPr>
      <w:r>
        <w:rPr>
          <w:rFonts w:ascii="Arial" w:cs="Arial" w:eastAsia="Arial" w:hAnsi="Arial"/>
          <w:b/>
          <w:bCs/>
          <w:color w:val="2E75B6"/>
          <w:sz w:val="28"/>
          <w:szCs w:val="28"/>
        </w:rPr>
        <w:t xml:space="preserve">6.2 NVIDIA NeMo Synthetic Data (Post-Gretel)</w:t>
      </w:r>
    </w:p>
    <w:p>
      <w:pPr>
        <w:spacing w:before="60" w:after="100"/>
      </w:pPr>
      <w:r>
        <w:rPr>
          <w:rFonts w:ascii="Arial" w:cs="Arial" w:eastAsia="Arial" w:hAnsi="Arial"/>
          <w:sz w:val="22"/>
          <w:szCs w:val="22"/>
        </w:rPr>
        <w:t xml:space="preserve">Following the Gretel acquisition, NVIDIA consolidated its synthetic data capabilities into a unified suite. NeMo Data Designer enables teams to build synthetic data generation (SDG) pipelines for conversational AI, LLM evaluation benchmarks, and agentic AI workflows. NeMo Safe Synthesizer creates privacy-safe versions of sensitive data with HIPAA and GDPR compliance built in.</w:t>
      </w:r>
    </w:p>
    <w:p>
      <w:pPr>
        <w:pStyle w:val="ListParagraph"/>
        <w:numPr>
          <w:ilvl w:val="0"/>
          <w:numId w:val="2"/>
        </w:numPr>
        <w:spacing w:before="40" w:after="40"/>
      </w:pPr>
      <w:r>
        <w:rPr>
          <w:rFonts w:ascii="Arial" w:cs="Arial" w:eastAsia="Arial" w:hAnsi="Arial"/>
          <w:sz w:val="22"/>
          <w:szCs w:val="22"/>
        </w:rPr>
        <w:t xml:space="preserve">Nemotron-4 340B: Family of models generating synthetic training data for healthcare, finance, and retail</w:t>
      </w:r>
    </w:p>
    <w:p>
      <w:pPr>
        <w:pStyle w:val="ListParagraph"/>
        <w:numPr>
          <w:ilvl w:val="0"/>
          <w:numId w:val="2"/>
        </w:numPr>
        <w:spacing w:before="40" w:after="40"/>
      </w:pPr>
      <w:r>
        <w:rPr>
          <w:rFonts w:ascii="Arial" w:cs="Arial" w:eastAsia="Arial" w:hAnsi="Arial"/>
          <w:sz w:val="22"/>
          <w:szCs w:val="22"/>
        </w:rPr>
        <w:t xml:space="preserve">Omniverse Replicator: Physically accurate 3D synthetic data for robotics and autonomous systems</w:t>
      </w:r>
    </w:p>
    <w:p>
      <w:pPr>
        <w:pStyle w:val="ListParagraph"/>
        <w:numPr>
          <w:ilvl w:val="0"/>
          <w:numId w:val="2"/>
        </w:numPr>
        <w:spacing w:before="40" w:after="40"/>
      </w:pPr>
      <w:r>
        <w:rPr>
          <w:rFonts w:ascii="Arial" w:cs="Arial" w:eastAsia="Arial" w:hAnsi="Arial"/>
          <w:sz w:val="22"/>
          <w:szCs w:val="22"/>
        </w:rPr>
        <w:t xml:space="preserve">Low-Resource Domains: Synthetic text for proprietary coding languages, underrepresented languages, specialized financial terminology</w:t>
      </w:r>
    </w:p>
    <w:p>
      <w:pPr>
        <w:pStyle w:val="ListParagraph"/>
        <w:numPr>
          <w:ilvl w:val="0"/>
          <w:numId w:val="2"/>
        </w:numPr>
        <w:spacing w:before="40" w:after="40"/>
      </w:pPr>
      <w:r>
        <w:rPr>
          <w:rFonts w:ascii="Arial" w:cs="Arial" w:eastAsia="Arial" w:hAnsi="Arial"/>
          <w:sz w:val="22"/>
          <w:szCs w:val="22"/>
        </w:rPr>
        <w:t xml:space="preserve">Agentic Training: Synthetic multi-agent system training data for reasoning LLMs</w:t>
      </w:r>
    </w:p>
    <w:p>
      <w:pPr>
        <w:pStyle w:val="Heading2"/>
        <w:spacing w:before="320" w:after="120"/>
      </w:pPr>
      <w:r>
        <w:rPr>
          <w:rFonts w:ascii="Arial" w:cs="Arial" w:eastAsia="Arial" w:hAnsi="Arial"/>
          <w:b/>
          <w:bCs/>
          <w:color w:val="2E75B6"/>
          <w:sz w:val="28"/>
          <w:szCs w:val="28"/>
        </w:rPr>
        <w:t xml:space="preserve">6.3 Mostly AI</w:t>
      </w:r>
    </w:p>
    <w:p>
      <w:pPr>
        <w:spacing w:before="60" w:after="100"/>
      </w:pPr>
      <w:r>
        <w:rPr>
          <w:rFonts w:ascii="Arial" w:cs="Arial" w:eastAsia="Arial" w:hAnsi="Arial"/>
          <w:sz w:val="22"/>
          <w:szCs w:val="22"/>
        </w:rPr>
        <w:t xml:space="preserve">Mostly AI specializes in synthetic data for technology and data security sectors. Its platform and open-source SDK enable organizations to generate, analyze, and share synthetic data for ML model training, software testing, and data sharing. The company targets financial institutions, telecoms, and healthcare organizations seeking to share data across teams without exposing personally identifiable information.</w:t>
      </w:r>
    </w:p>
    <w:p>
      <w:pPr>
        <w:pStyle w:val="Heading2"/>
        <w:spacing w:before="320" w:after="120"/>
      </w:pPr>
      <w:r>
        <w:rPr>
          <w:rFonts w:ascii="Arial" w:cs="Arial" w:eastAsia="Arial" w:hAnsi="Arial"/>
          <w:b/>
          <w:bCs/>
          <w:color w:val="2E75B6"/>
          <w:sz w:val="28"/>
          <w:szCs w:val="28"/>
        </w:rPr>
        <w:t xml:space="preserve">6.4 Snorkel AI (Synthetic Reasoning Data)</w:t>
      </w:r>
    </w:p>
    <w:p>
      <w:pPr>
        <w:spacing w:before="60" w:after="100"/>
      </w:pPr>
      <w:r>
        <w:rPr>
          <w:rFonts w:ascii="Arial" w:cs="Arial" w:eastAsia="Arial" w:hAnsi="Arial"/>
          <w:sz w:val="22"/>
          <w:szCs w:val="22"/>
        </w:rPr>
        <w:t xml:space="preserve">Beyond its programmatic labeling core, Snorkel generates synthetic expert datasets for frontier LLMs through its Expert Data-as-a-Service. This includes synthetic agentic task data (multi-turn, multi-step, multi-tool), expert knowledge and reasoning across thousands of STEM and professional subdomains, and synthetic coding data across languages and frameworks.</w:t>
      </w:r>
    </w:p>
    <w:p>
      <w:pPr>
        <w:pStyle w:val="Heading2"/>
        <w:spacing w:before="320" w:after="120"/>
      </w:pPr>
      <w:r>
        <w:rPr>
          <w:rFonts w:ascii="Arial" w:cs="Arial" w:eastAsia="Arial" w:hAnsi="Arial"/>
          <w:b/>
          <w:bCs/>
          <w:color w:val="2E75B6"/>
          <w:sz w:val="28"/>
          <w:szCs w:val="28"/>
        </w:rPr>
        <w:t xml:space="preserve">6.5 Microsoft Research Synthetic Reasoning Initiatives</w:t>
      </w:r>
    </w:p>
    <w:p>
      <w:pPr>
        <w:spacing w:before="60" w:after="100"/>
      </w:pPr>
      <w:r>
        <w:rPr>
          <w:rFonts w:ascii="Arial" w:cs="Arial" w:eastAsia="Arial" w:hAnsi="Arial"/>
          <w:sz w:val="22"/>
          <w:szCs w:val="22"/>
        </w:rPr>
        <w:t xml:space="preserve">Microsoft has pioneered synthetic data for teaching reasoning to small models. The Phi-3 model family uses 'textbook-like' synthetic data specifically designed to teach math, coding, and reasoning — allowing Phi-3-mini (3.8B parameters) to outperform models twice its size. The Orca series demonstrated that a 13B parameter model trained on synthetic data from GPT-4 could match models 5–10x larger on reasoning benchmarks.</w:t>
      </w:r>
    </w:p>
    <w:p>
      <w:pPr>
        <w:pStyle w:val="ListParagraph"/>
        <w:numPr>
          <w:ilvl w:val="0"/>
          <w:numId w:val="2"/>
        </w:numPr>
        <w:spacing w:before="40" w:after="40"/>
      </w:pPr>
      <w:r>
        <w:rPr>
          <w:rFonts w:ascii="Arial" w:cs="Arial" w:eastAsia="Arial" w:hAnsi="Arial"/>
          <w:sz w:val="22"/>
          <w:szCs w:val="22"/>
        </w:rPr>
        <w:t xml:space="preserve">Orca-3-Mistral: 40% improvement on AGIEval, 54% on GSM8K (math), 45% on AlpacaEval using 25M synthetic instruction-response pairs</w:t>
      </w:r>
    </w:p>
    <w:p>
      <w:pPr>
        <w:pStyle w:val="ListParagraph"/>
        <w:numPr>
          <w:ilvl w:val="0"/>
          <w:numId w:val="2"/>
        </w:numPr>
        <w:spacing w:before="40" w:after="40"/>
      </w:pPr>
      <w:r>
        <w:rPr>
          <w:rFonts w:ascii="Arial" w:cs="Arial" w:eastAsia="Arial" w:hAnsi="Arial"/>
          <w:sz w:val="22"/>
          <w:szCs w:val="22"/>
        </w:rPr>
        <w:t xml:space="preserve">WizardLM Evol-Instruct: Methodology for generating progressively complex synthetic instructions that push models toward sophisticated reasoning</w:t>
      </w:r>
    </w:p>
    <w:p>
      <w:pPr>
        <w:pStyle w:val="ListParagraph"/>
        <w:numPr>
          <w:ilvl w:val="0"/>
          <w:numId w:val="2"/>
        </w:numPr>
        <w:spacing w:before="40" w:after="40"/>
      </w:pPr>
      <w:r>
        <w:rPr>
          <w:rFonts w:ascii="Arial" w:cs="Arial" w:eastAsia="Arial" w:hAnsi="Arial"/>
          <w:sz w:val="22"/>
          <w:szCs w:val="22"/>
        </w:rPr>
        <w:t xml:space="preserve">Phi-3 Architecture: 'Textbook quality' synthetic data philosophy — optimized for knowledge density rather than volume</w:t>
      </w:r>
    </w:p>
    <w:p>
      <w:pPr>
        <w:pStyle w:val="Heading2"/>
        <w:spacing w:before="320" w:after="120"/>
      </w:pPr>
      <w:r>
        <w:rPr>
          <w:rFonts w:ascii="Arial" w:cs="Arial" w:eastAsia="Arial" w:hAnsi="Arial"/>
          <w:b/>
          <w:bCs/>
          <w:color w:val="2E75B6"/>
          <w:sz w:val="28"/>
          <w:szCs w:val="28"/>
        </w:rPr>
        <w:t xml:space="preserve">6.6 Gretel.ai / NVIDIA: Financial &amp; Structured Data Synthesis</w:t>
      </w:r>
    </w:p>
    <w:p>
      <w:pPr>
        <w:spacing w:before="60" w:after="100"/>
      </w:pPr>
      <w:r>
        <w:rPr>
          <w:rFonts w:ascii="Arial" w:cs="Arial" w:eastAsia="Arial" w:hAnsi="Arial"/>
          <w:sz w:val="22"/>
          <w:szCs w:val="22"/>
        </w:rPr>
        <w:t xml:space="preserve">For financial document training specifically, NVIDIA's NeMo suite enables:</w:t>
      </w:r>
    </w:p>
    <w:p>
      <w:pPr>
        <w:pStyle w:val="ListParagraph"/>
        <w:numPr>
          <w:ilvl w:val="0"/>
          <w:numId w:val="2"/>
        </w:numPr>
        <w:spacing w:before="40" w:after="40"/>
      </w:pPr>
      <w:r>
        <w:rPr>
          <w:rFonts w:ascii="Arial" w:cs="Arial" w:eastAsia="Arial" w:hAnsi="Arial"/>
          <w:sz w:val="22"/>
          <w:szCs w:val="22"/>
        </w:rPr>
        <w:t xml:space="preserve">Synthetic financial statement generation for training extraction models without exposing real client data</w:t>
      </w:r>
    </w:p>
    <w:p>
      <w:pPr>
        <w:pStyle w:val="ListParagraph"/>
        <w:numPr>
          <w:ilvl w:val="0"/>
          <w:numId w:val="2"/>
        </w:numPr>
        <w:spacing w:before="40" w:after="40"/>
      </w:pPr>
      <w:r>
        <w:rPr>
          <w:rFonts w:ascii="Arial" w:cs="Arial" w:eastAsia="Arial" w:hAnsi="Arial"/>
          <w:sz w:val="22"/>
          <w:szCs w:val="22"/>
        </w:rPr>
        <w:t xml:space="preserve">Tax form and mortgage approval document synthesis for regulated AI development</w:t>
      </w:r>
    </w:p>
    <w:p>
      <w:pPr>
        <w:pStyle w:val="ListParagraph"/>
        <w:numPr>
          <w:ilvl w:val="0"/>
          <w:numId w:val="2"/>
        </w:numPr>
        <w:spacing w:before="40" w:after="40"/>
      </w:pPr>
      <w:r>
        <w:rPr>
          <w:rFonts w:ascii="Arial" w:cs="Arial" w:eastAsia="Arial" w:hAnsi="Arial"/>
          <w:sz w:val="22"/>
          <w:szCs w:val="22"/>
        </w:rPr>
        <w:t xml:space="preserve">Cross-document relationship synthesis for multi-document reasoning tasks (e.g., comparing peers' filings)</w:t>
      </w:r>
    </w:p>
    <w:p>
      <w:pPr>
        <w:pStyle w:val="ListParagraph"/>
        <w:numPr>
          <w:ilvl w:val="0"/>
          <w:numId w:val="2"/>
        </w:numPr>
        <w:spacing w:before="40" w:after="40"/>
      </w:pPr>
      <w:r>
        <w:rPr>
          <w:rFonts w:ascii="Arial" w:cs="Arial" w:eastAsia="Arial" w:hAnsi="Arial"/>
          <w:sz w:val="22"/>
          <w:szCs w:val="22"/>
        </w:rPr>
        <w:t xml:space="preserve">Chart and table generation for training models to understand embedded financial visualizations</w:t>
      </w:r>
    </w:p>
    <w:p>
      <w:pPr>
        <w:pStyle w:val="Heading2"/>
        <w:spacing w:before="320" w:after="120"/>
      </w:pPr>
      <w:r>
        <w:rPr>
          <w:rFonts w:ascii="Arial" w:cs="Arial" w:eastAsia="Arial" w:hAnsi="Arial"/>
          <w:b/>
          <w:bCs/>
          <w:color w:val="2E75B6"/>
          <w:sz w:val="28"/>
          <w:szCs w:val="28"/>
        </w:rPr>
        <w:t xml:space="preserve">6.7 Other Synthetic Data Platforms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32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K2view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 Agentic AI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test data for enterprise systems; $15M raise for agentic AI data readiness; Gartner Magic Quadrant Visionary (3rd year)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D6E4F0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science pipelines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synthetic data generation for ML pipelines; open-source SDK; structured and time-series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Tonic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Privacy-safe data for dev/test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Synthesizes realistic relational database records for software testing; used by fintechs and healthcare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D6E4F0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Hazy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tabular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synthesis for banking and insurance data; strong European compliance focus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Syntho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&amp; healthcare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Privacy-preserving synthetic data for GDPR-sensitive financial records and clinical trial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D6E4F0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CVEDIA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 vision synthesis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visual data for object detection and recognition; useful for security and surveillance AI training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r>
    </w:tbl>
    <w:p>
      <w:r>
        <w:br w:type="page"/>
      </w:r>
    </w:p>
    <w:p>
      <w:pPr>
        <w:pStyle w:val="Heading1"/>
        <w:spacing w:before="400" w:after="160"/>
      </w:pPr>
      <w:r>
        <w:rPr>
          <w:rFonts w:ascii="Arial" w:cs="Arial" w:eastAsia="Arial" w:hAnsi="Arial"/>
          <w:b/>
          <w:bCs/>
          <w:color w:val="1F4E79"/>
          <w:sz w:val="36"/>
          <w:szCs w:val="36"/>
        </w:rPr>
        <w:t xml:space="preserve">Section 7: Building Agentic Capabilities — Specialized Training Pipelines</w:t>
      </w:r>
    </w:p>
    <w:p>
      <w:pPr>
        <w:spacing w:before="60" w:after="100"/>
      </w:pPr>
      <w:r>
        <w:rPr>
          <w:rFonts w:ascii="Arial" w:cs="Arial" w:eastAsia="Arial" w:hAnsi="Arial"/>
          <w:sz w:val="22"/>
          <w:szCs w:val="22"/>
        </w:rPr>
        <w:t xml:space="preserve">Training models to act as agents — reasoning, planning, using tools, and completing multi-step tasks autonomously — requires a fundamentally different class of training data than standard language model fine-tuning. This section covers companies and methodologies specifically oriented toward building the agentic capability stack.</w:t>
      </w:r>
    </w:p>
    <w:p>
      <w:pPr>
        <w:pStyle w:val="Heading2"/>
        <w:spacing w:before="320" w:after="120"/>
      </w:pPr>
      <w:r>
        <w:rPr>
          <w:rFonts w:ascii="Arial" w:cs="Arial" w:eastAsia="Arial" w:hAnsi="Arial"/>
          <w:b/>
          <w:bCs/>
          <w:color w:val="2E75B6"/>
          <w:sz w:val="28"/>
          <w:szCs w:val="28"/>
        </w:rPr>
        <w:t xml:space="preserve">7.1 What Agentic Training Data Looks Like</w:t>
      </w:r>
    </w:p>
    <w:p>
      <w:pPr>
        <w:spacing w:before="60" w:after="100"/>
      </w:pPr>
      <w:r>
        <w:rPr>
          <w:rFonts w:ascii="Arial" w:cs="Arial" w:eastAsia="Arial" w:hAnsi="Arial"/>
          <w:sz w:val="22"/>
          <w:szCs w:val="22"/>
        </w:rPr>
        <w:t xml:space="preserve">Research from Surge AI identifies an empirically derived hierarchy of agentic capabilities that models must master for real-world deployment:</w:t>
      </w:r>
    </w:p>
    <w:p>
      <w:pPr>
        <w:pStyle w:val="ListParagraph"/>
        <w:numPr>
          <w:ilvl w:val="0"/>
          <w:numId w:val="2"/>
        </w:numPr>
        <w:spacing w:before="40" w:after="40"/>
      </w:pPr>
      <w:r>
        <w:rPr>
          <w:rFonts w:ascii="Arial" w:cs="Arial" w:eastAsia="Arial" w:hAnsi="Arial"/>
          <w:sz w:val="22"/>
          <w:szCs w:val="22"/>
        </w:rPr>
        <w:t xml:space="preserve">Level 1 — Tool Use: Correctly invoking APIs, databases, and system tools with appropriate parameters</w:t>
      </w:r>
    </w:p>
    <w:p>
      <w:pPr>
        <w:pStyle w:val="ListParagraph"/>
        <w:numPr>
          <w:ilvl w:val="0"/>
          <w:numId w:val="2"/>
        </w:numPr>
        <w:spacing w:before="40" w:after="40"/>
      </w:pPr>
      <w:r>
        <w:rPr>
          <w:rFonts w:ascii="Arial" w:cs="Arial" w:eastAsia="Arial" w:hAnsi="Arial"/>
          <w:sz w:val="22"/>
          <w:szCs w:val="22"/>
        </w:rPr>
        <w:t xml:space="preserve">Level 2 — Planning &amp; Goal Formation: Decomposing high-level objectives into executable subgoals</w:t>
      </w:r>
    </w:p>
    <w:p>
      <w:pPr>
        <w:pStyle w:val="ListParagraph"/>
        <w:numPr>
          <w:ilvl w:val="0"/>
          <w:numId w:val="2"/>
        </w:numPr>
        <w:spacing w:before="40" w:after="40"/>
      </w:pPr>
      <w:r>
        <w:rPr>
          <w:rFonts w:ascii="Arial" w:cs="Arial" w:eastAsia="Arial" w:hAnsi="Arial"/>
          <w:sz w:val="22"/>
          <w:szCs w:val="22"/>
        </w:rPr>
        <w:t xml:space="preserve">Level 3 — Adaptability: Adjusting strategies when intermediate steps fail or return unexpected results</w:t>
      </w:r>
    </w:p>
    <w:p>
      <w:pPr>
        <w:pStyle w:val="ListParagraph"/>
        <w:numPr>
          <w:ilvl w:val="0"/>
          <w:numId w:val="2"/>
        </w:numPr>
        <w:spacing w:before="40" w:after="40"/>
      </w:pPr>
      <w:r>
        <w:rPr>
          <w:rFonts w:ascii="Arial" w:cs="Arial" w:eastAsia="Arial" w:hAnsi="Arial"/>
          <w:sz w:val="22"/>
          <w:szCs w:val="22"/>
        </w:rPr>
        <w:t xml:space="preserve">Level 4 — Groundedness: Staying within the scope of available information without hallucinating capabilities</w:t>
      </w:r>
    </w:p>
    <w:p>
      <w:pPr>
        <w:pStyle w:val="ListParagraph"/>
        <w:numPr>
          <w:ilvl w:val="0"/>
          <w:numId w:val="2"/>
        </w:numPr>
        <w:spacing w:before="40" w:after="40"/>
      </w:pPr>
      <w:r>
        <w:rPr>
          <w:rFonts w:ascii="Arial" w:cs="Arial" w:eastAsia="Arial" w:hAnsi="Arial"/>
          <w:sz w:val="22"/>
          <w:szCs w:val="22"/>
        </w:rPr>
        <w:t xml:space="preserve">Level 5 — Common-Sense Reasoning: Inferring context beyond explicit instructions in realistic workplace settings</w:t>
      </w:r>
    </w:p>
    <w:p>
      <w:pPr>
        <w:spacing w:before="60" w:after="100"/>
      </w:pPr>
      <w:r>
        <w:rPr>
          <w:rFonts w:ascii="Arial" w:cs="Arial" w:eastAsia="Arial" w:hAnsi="Arial"/>
          <w:sz w:val="22"/>
          <w:szCs w:val="22"/>
        </w:rPr>
        <w:t xml:space="preserve">Even the best-performing frontier models fail approximately 40% of tasks in realistic RL evaluation environments, with failures clustering along this hierarchy. This creates enormous demand for high-quality training data at each level.</w:t>
      </w:r>
    </w:p>
    <w:p>
      <w:pPr>
        <w:pStyle w:val="Heading2"/>
        <w:spacing w:before="320" w:after="120"/>
      </w:pPr>
      <w:r>
        <w:rPr>
          <w:rFonts w:ascii="Arial" w:cs="Arial" w:eastAsia="Arial" w:hAnsi="Arial"/>
          <w:b/>
          <w:bCs/>
          <w:color w:val="2E75B6"/>
          <w:sz w:val="28"/>
          <w:szCs w:val="28"/>
        </w:rPr>
        <w:t xml:space="preserve">7.2 Reinforcement Learning Environments</w:t>
      </w:r>
    </w:p>
    <w:p>
      <w:pPr>
        <w:spacing w:before="60" w:after="100"/>
      </w:pPr>
      <w:r>
        <w:rPr>
          <w:rFonts w:ascii="Arial" w:cs="Arial" w:eastAsia="Arial" w:hAnsi="Arial"/>
          <w:sz w:val="22"/>
          <w:szCs w:val="22"/>
        </w:rPr>
        <w:t xml:space="preserve">Turing develops large-scale RL environments and data generation systems that train multimodal agents to improve model performance in coding, real-world economically valuable tasks, and advanced STEM reasoning. These environments simulate authentic workplace contexts — software development workflows, financial analysis tasks, scientific research pipelines — with verifiable ground truth.</w:t>
      </w:r>
    </w:p>
    <w:p>
      <w:pPr>
        <w:spacing w:before="60" w:after="100"/>
      </w:pPr>
      <w:r>
        <w:rPr>
          <w:rFonts w:ascii="Arial" w:cs="Arial" w:eastAsia="Arial" w:hAnsi="Arial"/>
          <w:sz w:val="22"/>
          <w:szCs w:val="22"/>
        </w:rPr>
        <w:t xml:space="preserve">Surge AI develops proprietary e-commerce and workplace RL environments that assess model performance across 150 diverse tasks with domain-expert contributions and task-centric design methodology.</w:t>
      </w:r>
    </w:p>
    <w:p>
      <w:pPr>
        <w:pStyle w:val="Heading2"/>
        <w:spacing w:before="320" w:after="120"/>
      </w:pPr>
      <w:r>
        <w:rPr>
          <w:rFonts w:ascii="Arial" w:cs="Arial" w:eastAsia="Arial" w:hAnsi="Arial"/>
          <w:b/>
          <w:bCs/>
          <w:color w:val="2E75B6"/>
          <w:sz w:val="28"/>
          <w:szCs w:val="28"/>
        </w:rPr>
        <w:t xml:space="preserve">7.3 Coding Data Generation</w:t>
      </w:r>
    </w:p>
    <w:p>
      <w:pPr>
        <w:spacing w:before="60" w:after="100"/>
      </w:pPr>
      <w:r>
        <w:rPr>
          <w:rFonts w:ascii="Arial" w:cs="Arial" w:eastAsia="Arial" w:hAnsi="Arial"/>
          <w:sz w:val="22"/>
          <w:szCs w:val="22"/>
        </w:rPr>
        <w:t xml:space="preserve">Coding annotation is among the most valuable and technically demanding categories of training data. Frontier labs require:</w:t>
      </w:r>
    </w:p>
    <w:p>
      <w:pPr>
        <w:pStyle w:val="ListParagraph"/>
        <w:numPr>
          <w:ilvl w:val="0"/>
          <w:numId w:val="2"/>
        </w:numPr>
        <w:spacing w:before="40" w:after="40"/>
      </w:pPr>
      <w:r>
        <w:rPr>
          <w:rFonts w:ascii="Arial" w:cs="Arial" w:eastAsia="Arial" w:hAnsi="Arial"/>
          <w:sz w:val="22"/>
          <w:szCs w:val="22"/>
        </w:rPr>
        <w:t xml:space="preserve">Human expert evaluation of AI-generated code for correctness, security, efficiency, and maintainability</w:t>
      </w:r>
    </w:p>
    <w:p>
      <w:pPr>
        <w:pStyle w:val="ListParagraph"/>
        <w:numPr>
          <w:ilvl w:val="0"/>
          <w:numId w:val="2"/>
        </w:numPr>
        <w:spacing w:before="40" w:after="40"/>
      </w:pPr>
      <w:r>
        <w:rPr>
          <w:rFonts w:ascii="Arial" w:cs="Arial" w:eastAsia="Arial" w:hAnsi="Arial"/>
          <w:sz w:val="22"/>
          <w:szCs w:val="22"/>
        </w:rPr>
        <w:t xml:space="preserve">Synthetic code generation across languages, frameworks, and complexity levels</w:t>
      </w:r>
    </w:p>
    <w:p>
      <w:pPr>
        <w:pStyle w:val="ListParagraph"/>
        <w:numPr>
          <w:ilvl w:val="0"/>
          <w:numId w:val="2"/>
        </w:numPr>
        <w:spacing w:before="40" w:after="40"/>
      </w:pPr>
      <w:r>
        <w:rPr>
          <w:rFonts w:ascii="Arial" w:cs="Arial" w:eastAsia="Arial" w:hAnsi="Arial"/>
          <w:sz w:val="22"/>
          <w:szCs w:val="22"/>
        </w:rPr>
        <w:t xml:space="preserve">Unit test annotation and code review simulation for multi-step software engineering tasks</w:t>
      </w:r>
    </w:p>
    <w:p>
      <w:pPr>
        <w:pStyle w:val="ListParagraph"/>
        <w:numPr>
          <w:ilvl w:val="0"/>
          <w:numId w:val="2"/>
        </w:numPr>
        <w:spacing w:before="40" w:after="40"/>
      </w:pPr>
      <w:r>
        <w:rPr>
          <w:rFonts w:ascii="Arial" w:cs="Arial" w:eastAsia="Arial" w:hAnsi="Arial"/>
          <w:sz w:val="22"/>
          <w:szCs w:val="22"/>
        </w:rPr>
        <w:t xml:space="preserve">Bug detection and vulnerability annotation for safety-critical code review training</w:t>
      </w:r>
    </w:p>
    <w:p>
      <w:pPr>
        <w:spacing w:before="60" w:after="100"/>
      </w:pPr>
      <w:r>
        <w:rPr>
          <w:rFonts w:ascii="Arial" w:cs="Arial" w:eastAsia="Arial" w:hAnsi="Arial"/>
          <w:sz w:val="22"/>
          <w:szCs w:val="22"/>
        </w:rPr>
        <w:t xml:space="preserve">Key providers for coding data include Scale AI (via Outlier), Surge AI (employs senior software engineers for evaluation), Turing (builds coding RL environments), Snorkel AI (complex long-sequence software engineering datasets), and Mercor (connects AI labs with top engineering talent from Goldman Sachs, McKinsey technical teams, and elite university graduates).</w:t>
      </w:r>
    </w:p>
    <w:p>
      <w:pPr>
        <w:pStyle w:val="Heading2"/>
        <w:spacing w:before="320" w:after="120"/>
      </w:pPr>
      <w:r>
        <w:rPr>
          <w:rFonts w:ascii="Arial" w:cs="Arial" w:eastAsia="Arial" w:hAnsi="Arial"/>
          <w:b/>
          <w:bCs/>
          <w:color w:val="2E75B6"/>
          <w:sz w:val="28"/>
          <w:szCs w:val="28"/>
        </w:rPr>
        <w:t xml:space="preserve">7.4 Mathematical Reasoning Data</w:t>
      </w:r>
    </w:p>
    <w:p>
      <w:pPr>
        <w:spacing w:before="60" w:after="100"/>
      </w:pPr>
      <w:r>
        <w:rPr>
          <w:rFonts w:ascii="Arial" w:cs="Arial" w:eastAsia="Arial" w:hAnsi="Arial"/>
          <w:sz w:val="22"/>
          <w:szCs w:val="22"/>
        </w:rPr>
        <w:t xml:space="preserve">Mathematical reasoning — particularly multi-step proof verification, competition math problem solving, and scientific calculation — represents the highest-value annotation category in the current market. Surge AI reportedly employs Fields Medal mathematicians as contractors. Key data types include:</w:t>
      </w:r>
    </w:p>
    <w:p>
      <w:pPr>
        <w:pStyle w:val="ListParagraph"/>
        <w:numPr>
          <w:ilvl w:val="0"/>
          <w:numId w:val="2"/>
        </w:numPr>
        <w:spacing w:before="40" w:after="40"/>
      </w:pPr>
      <w:r>
        <w:rPr>
          <w:rFonts w:ascii="Arial" w:cs="Arial" w:eastAsia="Arial" w:hAnsi="Arial"/>
          <w:sz w:val="22"/>
          <w:szCs w:val="22"/>
        </w:rPr>
        <w:t xml:space="preserve">Step-by-step solution verification for competition mathematics (AIME, IMO-level problems)</w:t>
      </w:r>
    </w:p>
    <w:p>
      <w:pPr>
        <w:pStyle w:val="ListParagraph"/>
        <w:numPr>
          <w:ilvl w:val="0"/>
          <w:numId w:val="2"/>
        </w:numPr>
        <w:spacing w:before="40" w:after="40"/>
      </w:pPr>
      <w:r>
        <w:rPr>
          <w:rFonts w:ascii="Arial" w:cs="Arial" w:eastAsia="Arial" w:hAnsi="Arial"/>
          <w:sz w:val="22"/>
          <w:szCs w:val="22"/>
        </w:rPr>
        <w:t xml:space="preserve">Proof annotation with intermediate reasoning traces for RL reward modeling</w:t>
      </w:r>
    </w:p>
    <w:p>
      <w:pPr>
        <w:pStyle w:val="ListParagraph"/>
        <w:numPr>
          <w:ilvl w:val="0"/>
          <w:numId w:val="2"/>
        </w:numPr>
        <w:spacing w:before="40" w:after="40"/>
      </w:pPr>
      <w:r>
        <w:rPr>
          <w:rFonts w:ascii="Arial" w:cs="Arial" w:eastAsia="Arial" w:hAnsi="Arial"/>
          <w:sz w:val="22"/>
          <w:szCs w:val="22"/>
        </w:rPr>
        <w:t xml:space="preserve">Synthetic math problem generation with verified solutions at graduated difficulty levels</w:t>
      </w:r>
    </w:p>
    <w:p>
      <w:pPr>
        <w:pStyle w:val="ListParagraph"/>
        <w:numPr>
          <w:ilvl w:val="0"/>
          <w:numId w:val="2"/>
        </w:numPr>
        <w:spacing w:before="40" w:after="40"/>
      </w:pPr>
      <w:r>
        <w:rPr>
          <w:rFonts w:ascii="Arial" w:cs="Arial" w:eastAsia="Arial" w:hAnsi="Arial"/>
          <w:sz w:val="22"/>
          <w:szCs w:val="22"/>
        </w:rPr>
        <w:t xml:space="preserve">Science and engineering calculations with ground-truth verification</w:t>
      </w:r>
    </w:p>
    <w:p>
      <w:pPr>
        <w:pStyle w:val="Heading2"/>
        <w:spacing w:before="320" w:after="120"/>
      </w:pPr>
      <w:r>
        <w:rPr>
          <w:rFonts w:ascii="Arial" w:cs="Arial" w:eastAsia="Arial" w:hAnsi="Arial"/>
          <w:b/>
          <w:bCs/>
          <w:color w:val="2E75B6"/>
          <w:sz w:val="28"/>
          <w:szCs w:val="28"/>
        </w:rPr>
        <w:t xml:space="preserve">7.5 The LLM-as-Judge Paradigm</w:t>
      </w:r>
    </w:p>
    <w:p>
      <w:pPr>
        <w:spacing w:before="60" w:after="100"/>
      </w:pPr>
      <w:r>
        <w:rPr>
          <w:rFonts w:ascii="Arial" w:cs="Arial" w:eastAsia="Arial" w:hAnsi="Arial"/>
          <w:sz w:val="22"/>
          <w:szCs w:val="22"/>
        </w:rPr>
        <w:t xml:space="preserve">Modern annotation pipelines increasingly use LLMs themselves as quality control mechanisms. Research shows LLMs are often better at verifying outputs than generating them. Key techniques include:</w:t>
      </w:r>
    </w:p>
    <w:p>
      <w:pPr>
        <w:pStyle w:val="ListParagraph"/>
        <w:numPr>
          <w:ilvl w:val="0"/>
          <w:numId w:val="2"/>
        </w:numPr>
        <w:spacing w:before="40" w:after="40"/>
      </w:pPr>
      <w:r>
        <w:rPr>
          <w:rFonts w:ascii="Arial" w:cs="Arial" w:eastAsia="Arial" w:hAnsi="Arial"/>
          <w:sz w:val="22"/>
          <w:szCs w:val="22"/>
        </w:rPr>
        <w:t xml:space="preserve">LLM-as-Judge: LLMs review the quality, accuracy, or coherence of outputs from other agents — reducing human QA burden for routine evaluation</w:t>
      </w:r>
    </w:p>
    <w:p>
      <w:pPr>
        <w:pStyle w:val="ListParagraph"/>
        <w:numPr>
          <w:ilvl w:val="0"/>
          <w:numId w:val="2"/>
        </w:numPr>
        <w:spacing w:before="40" w:after="40"/>
      </w:pPr>
      <w:r>
        <w:rPr>
          <w:rFonts w:ascii="Arial" w:cs="Arial" w:eastAsia="Arial" w:hAnsi="Arial"/>
          <w:sz w:val="22"/>
          <w:szCs w:val="22"/>
        </w:rPr>
        <w:t xml:space="preserve">Debate-Based Annotation: Two AI agents argue for and against competing outputs; human annotators decide which argument is more convincing — reducing susceptibility to single-agent misleading</w:t>
      </w:r>
    </w:p>
    <w:p>
      <w:pPr>
        <w:pStyle w:val="ListParagraph"/>
        <w:numPr>
          <w:ilvl w:val="0"/>
          <w:numId w:val="2"/>
        </w:numPr>
        <w:spacing w:before="40" w:after="40"/>
      </w:pPr>
      <w:r>
        <w:rPr>
          <w:rFonts w:ascii="Arial" w:cs="Arial" w:eastAsia="Arial" w:hAnsi="Arial"/>
          <w:sz w:val="22"/>
          <w:szCs w:val="22"/>
        </w:rPr>
        <w:t xml:space="preserve">Critique-Then-Rank: One model generates a critique of another's output; a human reviews before selecting the preferred response — combines AI efficiency with human judgment</w:t>
      </w:r>
    </w:p>
    <w:p>
      <w:pPr>
        <w:pStyle w:val="ListParagraph"/>
        <w:numPr>
          <w:ilvl w:val="0"/>
          <w:numId w:val="2"/>
        </w:numPr>
        <w:spacing w:before="40" w:after="40"/>
      </w:pPr>
      <w:r>
        <w:rPr>
          <w:rFonts w:ascii="Arial" w:cs="Arial" w:eastAsia="Arial" w:hAnsi="Arial"/>
          <w:sz w:val="22"/>
          <w:szCs w:val="22"/>
        </w:rPr>
        <w:t xml:space="preserve">Active Learning: Models estimate uncertainty in reward model outputs, requesting human input only on the most informative uncertain cases — reducing total annotation cost</w:t>
      </w:r>
    </w:p>
    <w:p>
      <w:r>
        <w:br w:type="page"/>
      </w:r>
    </w:p>
    <w:p>
      <w:pPr>
        <w:pStyle w:val="Heading1"/>
        <w:spacing w:before="400" w:after="160"/>
      </w:pPr>
      <w:r>
        <w:rPr>
          <w:rFonts w:ascii="Arial" w:cs="Arial" w:eastAsia="Arial" w:hAnsi="Arial"/>
          <w:b/>
          <w:bCs/>
          <w:color w:val="1F4E79"/>
          <w:sz w:val="36"/>
          <w:szCs w:val="36"/>
        </w:rPr>
        <w:t xml:space="preserve">Section 8: Market Dynamics &amp; Competitive Landscape</w:t>
      </w:r>
    </w:p>
    <w:p>
      <w:pPr>
        <w:pStyle w:val="Heading2"/>
        <w:spacing w:before="320" w:after="120"/>
      </w:pPr>
      <w:r>
        <w:rPr>
          <w:rFonts w:ascii="Arial" w:cs="Arial" w:eastAsia="Arial" w:hAnsi="Arial"/>
          <w:b/>
          <w:bCs/>
          <w:color w:val="2E75B6"/>
          <w:sz w:val="28"/>
          <w:szCs w:val="28"/>
        </w:rPr>
        <w:t xml:space="preserve">8.1 The Post-Scale AI Reshuffling</w:t>
      </w:r>
    </w:p>
    <w:p>
      <w:pPr>
        <w:spacing w:before="60" w:after="100"/>
      </w:pPr>
      <w:r>
        <w:rPr>
          <w:rFonts w:ascii="Arial" w:cs="Arial" w:eastAsia="Arial" w:hAnsi="Arial"/>
          <w:sz w:val="22"/>
          <w:szCs w:val="22"/>
        </w:rPr>
        <w:t xml:space="preserve">The June 2025 Meta–Scale AI deal — a $15B acquisition of a 49% stake — was the most disruptive event in data annotation history. The implications cascaded rapidly:</w:t>
      </w:r>
    </w:p>
    <w:p>
      <w:pPr>
        <w:pStyle w:val="ListParagraph"/>
        <w:numPr>
          <w:ilvl w:val="0"/>
          <w:numId w:val="2"/>
        </w:numPr>
        <w:spacing w:before="40" w:after="40"/>
      </w:pPr>
      <w:r>
        <w:rPr>
          <w:rFonts w:ascii="Arial" w:cs="Arial" w:eastAsia="Arial" w:hAnsi="Arial"/>
          <w:sz w:val="22"/>
          <w:szCs w:val="22"/>
        </w:rPr>
        <w:t xml:space="preserve">Google (Scale's largest customer) and OpenAI both announced they would shift labeling work away from Scale within weeks of the deal</w:t>
      </w:r>
    </w:p>
    <w:p>
      <w:pPr>
        <w:pStyle w:val="ListParagraph"/>
        <w:numPr>
          <w:ilvl w:val="0"/>
          <w:numId w:val="2"/>
        </w:numPr>
        <w:spacing w:before="40" w:after="40"/>
      </w:pPr>
      <w:r>
        <w:rPr>
          <w:rFonts w:ascii="Arial" w:cs="Arial" w:eastAsia="Arial" w:hAnsi="Arial"/>
          <w:sz w:val="22"/>
          <w:szCs w:val="22"/>
        </w:rPr>
        <w:t xml:space="preserve">Demand for independent alternatives exploded overnight, tripling request volumes at companies like Handshake</w:t>
      </w:r>
    </w:p>
    <w:p>
      <w:pPr>
        <w:pStyle w:val="ListParagraph"/>
        <w:numPr>
          <w:ilvl w:val="0"/>
          <w:numId w:val="2"/>
        </w:numPr>
        <w:spacing w:before="40" w:after="40"/>
      </w:pPr>
      <w:r>
        <w:rPr>
          <w:rFonts w:ascii="Arial" w:cs="Arial" w:eastAsia="Arial" w:hAnsi="Arial"/>
          <w:sz w:val="22"/>
          <w:szCs w:val="22"/>
        </w:rPr>
        <w:t xml:space="preserve">Mercor's valuation jumped from $2B to $10B in eight months</w:t>
      </w:r>
    </w:p>
    <w:p>
      <w:pPr>
        <w:pStyle w:val="ListParagraph"/>
        <w:numPr>
          <w:ilvl w:val="0"/>
          <w:numId w:val="2"/>
        </w:numPr>
        <w:spacing w:before="40" w:after="40"/>
      </w:pPr>
      <w:r>
        <w:rPr>
          <w:rFonts w:ascii="Arial" w:cs="Arial" w:eastAsia="Arial" w:hAnsi="Arial"/>
          <w:sz w:val="22"/>
          <w:szCs w:val="22"/>
        </w:rPr>
        <w:t xml:space="preserve">Surge AI launched its first-ever external fundraise at a $15B+ target valuation</w:t>
      </w:r>
    </w:p>
    <w:p>
      <w:pPr>
        <w:pStyle w:val="ListParagraph"/>
        <w:numPr>
          <w:ilvl w:val="0"/>
          <w:numId w:val="2"/>
        </w:numPr>
        <w:spacing w:before="40" w:after="40"/>
      </w:pPr>
      <w:r>
        <w:rPr>
          <w:rFonts w:ascii="Arial" w:cs="Arial" w:eastAsia="Arial" w:hAnsi="Arial"/>
          <w:sz w:val="22"/>
          <w:szCs w:val="22"/>
        </w:rPr>
        <w:t xml:space="preserve">Scale's workforce was reduced by 14% (200 full-time employees and 500 contractors) in July 2025</w:t>
      </w:r>
    </w:p>
    <w:p>
      <w:pPr>
        <w:spacing w:before="60" w:after="100"/>
      </w:pPr>
      <w:r>
        <w:rPr>
          <w:rFonts w:ascii="Arial" w:cs="Arial" w:eastAsia="Arial" w:hAnsi="Arial"/>
          <w:sz w:val="22"/>
          <w:szCs w:val="22"/>
        </w:rPr>
        <w:t xml:space="preserve">The episode revealed a fundamental tension: data annotation vendors handle proprietary training data that reveals model architecture decisions, strategic priorities, and competitive advantages. Labs will not share that data with a vendor controlled by a direct competitor.</w:t>
      </w:r>
    </w:p>
    <w:p>
      <w:pPr>
        <w:pStyle w:val="Heading2"/>
        <w:spacing w:before="320" w:after="120"/>
      </w:pPr>
      <w:r>
        <w:rPr>
          <w:rFonts w:ascii="Arial" w:cs="Arial" w:eastAsia="Arial" w:hAnsi="Arial"/>
          <w:b/>
          <w:bCs/>
          <w:color w:val="2E75B6"/>
          <w:sz w:val="28"/>
          <w:szCs w:val="28"/>
        </w:rPr>
        <w:t xml:space="preserve">8.2 Two-Tier Market Structure</w:t>
      </w:r>
    </w:p>
    <w:p>
      <w:pPr>
        <w:spacing w:before="60" w:after="100"/>
      </w:pPr>
      <w:r>
        <w:rPr>
          <w:rFonts w:ascii="Arial" w:cs="Arial" w:eastAsia="Arial" w:hAnsi="Arial"/>
          <w:sz w:val="22"/>
          <w:szCs w:val="22"/>
        </w:rPr>
        <w:t xml:space="preserve">The market has solidified into two distinct tiers with different value propositions:</w:t>
      </w:r>
    </w:p>
    <w:p>
      <w:pPr>
        <w:spacing w:before="60" w:after="100"/>
      </w:pPr>
      <w:r>
        <w:rPr>
          <w:rFonts w:ascii="Arial" w:cs="Arial" w:eastAsia="Arial" w:hAnsi="Arial"/>
          <w:b/>
          <w:bCs/>
          <w:sz w:val="22"/>
          <w:szCs w:val="22"/>
        </w:rPr>
        <w:t xml:space="preserve">Tier 1 — Scale &amp; Compliance: </w:t>
      </w:r>
      <w:r>
        <w:rPr>
          <w:rFonts w:ascii="Arial" w:cs="Arial" w:eastAsia="Arial" w:hAnsi="Arial"/>
          <w:sz w:val="22"/>
          <w:szCs w:val="22"/>
        </w:rPr>
        <w:t xml:space="preserve">Large providers (Appen, TELUS, CloudFactory) excel at high-volume, multilingual, routine annotation with strong governance frameworks. Best for commodity tasks, large-scale classification, and markets where regulatory compliance is paramount.</w:t>
      </w:r>
    </w:p>
    <w:p>
      <w:pPr>
        <w:spacing w:before="60" w:after="100"/>
      </w:pPr>
      <w:r>
        <w:rPr>
          <w:rFonts w:ascii="Arial" w:cs="Arial" w:eastAsia="Arial" w:hAnsi="Arial"/>
          <w:b/>
          <w:bCs/>
          <w:sz w:val="22"/>
          <w:szCs w:val="22"/>
        </w:rPr>
        <w:t xml:space="preserve">Tier 2 — Expert Quality: </w:t>
      </w:r>
      <w:r>
        <w:rPr>
          <w:rFonts w:ascii="Arial" w:cs="Arial" w:eastAsia="Arial" w:hAnsi="Arial"/>
          <w:sz w:val="22"/>
          <w:szCs w:val="22"/>
        </w:rPr>
        <w:t xml:space="preserve">Boutique expert networks (Surge, Mercor, Micro1, Handshake) provide credentialed domain professionals for tasks requiring nuanced judgment. Best for frontier model RLHF, domain-specific evaluation, and tasks where annotation quality directly determines model capability.</w:t>
      </w:r>
    </w:p>
    <w:p>
      <w:pPr>
        <w:spacing w:before="60" w:after="100"/>
      </w:pPr>
      <w:r>
        <w:rPr>
          <w:rFonts w:ascii="Arial" w:cs="Arial" w:eastAsia="Arial" w:hAnsi="Arial"/>
          <w:sz w:val="22"/>
          <w:szCs w:val="22"/>
        </w:rPr>
        <w:t xml:space="preserve">Most major AI labs now maintain relationships with multiple providers to cover different needs — a large provider for routine labeling and specialist firms for complex R&amp;D data.</w:t>
      </w:r>
    </w:p>
    <w:p>
      <w:pPr>
        <w:pStyle w:val="Heading2"/>
        <w:spacing w:before="320" w:after="120"/>
      </w:pPr>
      <w:r>
        <w:rPr>
          <w:rFonts w:ascii="Arial" w:cs="Arial" w:eastAsia="Arial" w:hAnsi="Arial"/>
          <w:b/>
          <w:bCs/>
          <w:color w:val="2E75B6"/>
          <w:sz w:val="28"/>
          <w:szCs w:val="28"/>
        </w:rPr>
        <w:t xml:space="preserve">8.3 Annual Spend by Major AI Labs</w:t>
      </w:r>
    </w:p>
    <w:p>
      <w:pPr>
        <w:spacing w:before="60" w:after="100"/>
      </w:pPr>
      <w:r>
        <w:rPr>
          <w:rFonts w:ascii="Arial" w:cs="Arial" w:eastAsia="Arial" w:hAnsi="Arial"/>
          <w:sz w:val="22"/>
          <w:szCs w:val="22"/>
        </w:rPr>
        <w:t xml:space="preserve">According to Foundation Capital analysis, leading AI companies (OpenAI, Google, Meta, Anthropic, and others) are each spending on the order of $1 billion per year on human-provided training data. The total addressable market for data annotation exceeded $10 billion annually in 2025. Notable revenue benchmarks:</w:t>
      </w:r>
    </w:p>
    <w:p>
      <w:pPr>
        <w:pStyle w:val="ListParagraph"/>
        <w:numPr>
          <w:ilvl w:val="0"/>
          <w:numId w:val="2"/>
        </w:numPr>
        <w:spacing w:before="40" w:after="40"/>
      </w:pPr>
      <w:r>
        <w:rPr>
          <w:rFonts w:ascii="Arial" w:cs="Arial" w:eastAsia="Arial" w:hAnsi="Arial"/>
          <w:sz w:val="22"/>
          <w:szCs w:val="22"/>
        </w:rPr>
        <w:t xml:space="preserve">Surge AI: $1.2B revenue (2024), bootstrapped to profitability with 50,000 contractors</w:t>
      </w:r>
    </w:p>
    <w:p>
      <w:pPr>
        <w:pStyle w:val="ListParagraph"/>
        <w:numPr>
          <w:ilvl w:val="0"/>
          <w:numId w:val="2"/>
        </w:numPr>
        <w:spacing w:before="40" w:after="40"/>
      </w:pPr>
      <w:r>
        <w:rPr>
          <w:rFonts w:ascii="Arial" w:cs="Arial" w:eastAsia="Arial" w:hAnsi="Arial"/>
          <w:sz w:val="22"/>
          <w:szCs w:val="22"/>
        </w:rPr>
        <w:t xml:space="preserve">Scale AI: $870M revenue (2024), projected $2B+ for 2025</w:t>
      </w:r>
    </w:p>
    <w:p>
      <w:pPr>
        <w:pStyle w:val="ListParagraph"/>
        <w:numPr>
          <w:ilvl w:val="0"/>
          <w:numId w:val="2"/>
        </w:numPr>
        <w:spacing w:before="40" w:after="40"/>
      </w:pPr>
      <w:r>
        <w:rPr>
          <w:rFonts w:ascii="Arial" w:cs="Arial" w:eastAsia="Arial" w:hAnsi="Arial"/>
          <w:sz w:val="22"/>
          <w:szCs w:val="22"/>
        </w:rPr>
        <w:t xml:space="preserve">Mercor: $500M+ ARR (2024–2025)</w:t>
      </w:r>
    </w:p>
    <w:p>
      <w:pPr>
        <w:pStyle w:val="ListParagraph"/>
        <w:numPr>
          <w:ilvl w:val="0"/>
          <w:numId w:val="2"/>
        </w:numPr>
        <w:spacing w:before="40" w:after="40"/>
      </w:pPr>
      <w:r>
        <w:rPr>
          <w:rFonts w:ascii="Arial" w:cs="Arial" w:eastAsia="Arial" w:hAnsi="Arial"/>
          <w:sz w:val="22"/>
          <w:szCs w:val="22"/>
        </w:rPr>
        <w:t xml:space="preserve">Appen: ~$130M market cap (down from $4.3B in 2020) — cautionary tale of client concentration</w:t>
      </w:r>
    </w:p>
    <w:p>
      <w:pPr>
        <w:pStyle w:val="Heading2"/>
        <w:spacing w:before="320" w:after="120"/>
      </w:pPr>
      <w:r>
        <w:rPr>
          <w:rFonts w:ascii="Arial" w:cs="Arial" w:eastAsia="Arial" w:hAnsi="Arial"/>
          <w:b/>
          <w:bCs/>
          <w:color w:val="2E75B6"/>
          <w:sz w:val="28"/>
          <w:szCs w:val="28"/>
        </w:rPr>
        <w:t xml:space="preserve">8.4 Key Trends Shaping the Industry</w:t>
      </w:r>
    </w:p>
    <w:p>
      <w:pPr>
        <w:pStyle w:val="ListParagraph"/>
        <w:numPr>
          <w:ilvl w:val="0"/>
          <w:numId w:val="2"/>
        </w:numPr>
        <w:spacing w:before="40" w:after="40"/>
      </w:pPr>
      <w:r>
        <w:rPr>
          <w:rFonts w:ascii="Arial" w:cs="Arial" w:eastAsia="Arial" w:hAnsi="Arial"/>
          <w:sz w:val="22"/>
          <w:szCs w:val="22"/>
        </w:rPr>
        <w:t xml:space="preserve">Agentic AI Demand: The shift from single-turn chatbots to multi-step autonomous agents requires training data that captures complex planning, tool use, and error recovery — fundamentally different from prior annotation tasks</w:t>
      </w:r>
    </w:p>
    <w:p>
      <w:pPr>
        <w:pStyle w:val="ListParagraph"/>
        <w:numPr>
          <w:ilvl w:val="0"/>
          <w:numId w:val="2"/>
        </w:numPr>
        <w:spacing w:before="40" w:after="40"/>
      </w:pPr>
      <w:r>
        <w:rPr>
          <w:rFonts w:ascii="Arial" w:cs="Arial" w:eastAsia="Arial" w:hAnsi="Arial"/>
          <w:sz w:val="22"/>
          <w:szCs w:val="22"/>
        </w:rPr>
        <w:t xml:space="preserve">Synthetic Data Scaling: Labs like Microsoft (Phi-3, Orca series) demonstrate that high-quality synthetic reasoning data can produce models that outperform those trained on larger real-world datasets</w:t>
      </w:r>
    </w:p>
    <w:p>
      <w:pPr>
        <w:pStyle w:val="ListParagraph"/>
        <w:numPr>
          <w:ilvl w:val="0"/>
          <w:numId w:val="2"/>
        </w:numPr>
        <w:spacing w:before="40" w:after="40"/>
      </w:pPr>
      <w:r>
        <w:rPr>
          <w:rFonts w:ascii="Arial" w:cs="Arial" w:eastAsia="Arial" w:hAnsi="Arial"/>
          <w:sz w:val="22"/>
          <w:szCs w:val="22"/>
        </w:rPr>
        <w:t xml:space="preserve">Expert Talent Scarcity: The bottleneck is no longer cheap labor but credentialed professionals willing to perform annotation work — driving premium wages for PhDs, attorneys, and domain specialists</w:t>
      </w:r>
    </w:p>
    <w:p>
      <w:pPr>
        <w:pStyle w:val="ListParagraph"/>
        <w:numPr>
          <w:ilvl w:val="0"/>
          <w:numId w:val="2"/>
        </w:numPr>
        <w:spacing w:before="40" w:after="40"/>
      </w:pPr>
      <w:r>
        <w:rPr>
          <w:rFonts w:ascii="Arial" w:cs="Arial" w:eastAsia="Arial" w:hAnsi="Arial"/>
          <w:sz w:val="22"/>
          <w:szCs w:val="22"/>
        </w:rPr>
        <w:t xml:space="preserve">Vendor Neutrality Premium: The Meta–Scale deal created lasting demand for provably independent annotation providers that won't share client training data with competitors</w:t>
      </w:r>
    </w:p>
    <w:p>
      <w:pPr>
        <w:pStyle w:val="ListParagraph"/>
        <w:numPr>
          <w:ilvl w:val="0"/>
          <w:numId w:val="2"/>
        </w:numPr>
        <w:spacing w:before="40" w:after="40"/>
      </w:pPr>
      <w:r>
        <w:rPr>
          <w:rFonts w:ascii="Arial" w:cs="Arial" w:eastAsia="Arial" w:hAnsi="Arial"/>
          <w:sz w:val="22"/>
          <w:szCs w:val="22"/>
        </w:rPr>
        <w:t xml:space="preserve">Financial Document Intelligence: Rising regulatory complexity (AML, KYC, ESG reporting) is creating sustained demand for specialized annotation of financial and compliance documents with legal-grade accuracy</w:t>
      </w:r>
    </w:p>
    <w:p>
      <w:pPr>
        <w:pStyle w:val="ListParagraph"/>
        <w:numPr>
          <w:ilvl w:val="0"/>
          <w:numId w:val="2"/>
        </w:numPr>
        <w:spacing w:before="40" w:after="40"/>
      </w:pPr>
      <w:r>
        <w:rPr>
          <w:rFonts w:ascii="Arial" w:cs="Arial" w:eastAsia="Arial" w:hAnsi="Arial"/>
          <w:sz w:val="22"/>
          <w:szCs w:val="22"/>
        </w:rPr>
        <w:t xml:space="preserve">Privacy-Preserving Synthetic Data: GDPR, HIPAA, and financial privacy regulations are driving adoption of synthetic data generation for training models on sensitive records without exposing real data</w:t>
      </w:r>
    </w:p>
    <w:p>
      <w:r>
        <w:br w:type="page"/>
      </w:r>
    </w:p>
    <w:p>
      <w:pPr>
        <w:pStyle w:val="Heading1"/>
        <w:spacing w:before="400" w:after="160"/>
      </w:pPr>
      <w:r>
        <w:rPr>
          <w:rFonts w:ascii="Arial" w:cs="Arial" w:eastAsia="Arial" w:hAnsi="Arial"/>
          <w:b/>
          <w:bCs/>
          <w:color w:val="1F4E79"/>
          <w:sz w:val="36"/>
          <w:szCs w:val="36"/>
        </w:rPr>
        <w:t xml:space="preserve">Section 9: Company Quick Reference Directory</w:t>
      </w:r>
    </w:p>
    <w:p>
      <w:pPr>
        <w:pStyle w:val="Heading2"/>
        <w:spacing w:before="320" w:after="120"/>
      </w:pPr>
      <w:r>
        <w:rPr>
          <w:rFonts w:ascii="Arial" w:cs="Arial" w:eastAsia="Arial" w:hAnsi="Arial"/>
          <w:b/>
          <w:bCs/>
          <w:color w:val="2E75B6"/>
          <w:sz w:val="28"/>
          <w:szCs w:val="28"/>
        </w:rPr>
        <w:t xml:space="preserve">Category A: Full-Service Agentic &amp; Enterprise Platforms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42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Service</w:t>
            </w:r>
          </w:p>
        </w:tc>
        <w:tc>
          <w:tcPr>
            <w:tcW w:type="dxa" w:w="4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2025 Status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Scale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annotation + LLM training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$30B valuation; 49% Meta-owned; lost Google/OpenAI; $2B+ projected revenue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Crowdsourced annotation, RLHF, multilingual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~$130M market cap; repositioning for GenAI era; 1M+ contributors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TELUS International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Truth Studio, 2B+ labels/yr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(TIXT); 100+ languages; acquired Lionbridge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HITL annotation, CV + NLP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accuracy; ethical workforce model; autonomous systems focus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CloudFactory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annotation pods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27001; talent hubs in Nepal, Kenya, Philippines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BPO annotation + trust &amp; safety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(TASK); LLM training + content moderation</w:t>
            </w:r>
          </w:p>
        </w:tc>
      </w:tr>
    </w:tbl>
    <w:p>
      <w:pPr>
        <w:spacing w:before="200" w:after="0"/>
      </w:pPr>
    </w:p>
    <w:p>
      <w:pPr>
        <w:pStyle w:val="Heading2"/>
        <w:spacing w:before="320" w:after="120"/>
      </w:pPr>
      <w:r>
        <w:rPr>
          <w:rFonts w:ascii="Arial" w:cs="Arial" w:eastAsia="Arial" w:hAnsi="Arial"/>
          <w:b/>
          <w:bCs/>
          <w:color w:val="2E75B6"/>
          <w:sz w:val="28"/>
          <w:szCs w:val="28"/>
        </w:rPr>
        <w:t xml:space="preserve">Category B: Expert Human Intelligence Networks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420"/>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Service</w:t>
            </w:r>
          </w:p>
        </w:tc>
        <w:tc>
          <w:tcPr>
            <w:tcW w:type="dxa" w:w="44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2025 Status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Surge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PhD-level expert annotation, RLHF, RL envs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$1.2B revenue; $15B+ valuation sought; 50,000 expert contractors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Mercor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talent marketplace for AI labs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$10B valuation; $500M+ ARR; 4 of top 5 AI labs as clients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Turing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 environments, STEM + coding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 Advancement track; enterprise deployment track; frontier lab partnerships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Handshake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 student + alumni expert network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 run rate; tripled demand post-Meta deal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Micro1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 AI training roles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Med/law/finance experts; premium pricing; vetted professional network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Snorkel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Programmatic labeling + expert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$1.3B valuation; Series D; top 10 US banks, BNY Mellon clients</w:t>
            </w:r>
          </w:p>
        </w:tc>
      </w:tr>
    </w:tbl>
    <w:p>
      <w:pPr>
        <w:spacing w:before="200" w:after="0"/>
      </w:pPr>
    </w:p>
    <w:p>
      <w:pPr>
        <w:pStyle w:val="Heading2"/>
        <w:spacing w:before="320" w:after="120"/>
      </w:pPr>
      <w:r>
        <w:rPr>
          <w:rFonts w:ascii="Arial" w:cs="Arial" w:eastAsia="Arial" w:hAnsi="Arial"/>
          <w:b/>
          <w:bCs/>
          <w:color w:val="2E75B6"/>
          <w:sz w:val="28"/>
          <w:szCs w:val="28"/>
        </w:rPr>
        <w:t xml:space="preserve">Category C: Annotation Software Platforms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420"/>
      </w:tblGrid>
      <w:tr>
        <w:trPr>
          <w:tblHeader/>
        </w:trPr>
        <w:tc>
          <w:tcPr>
            <w:tcW w:type="dxa" w:w="15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8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30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Platform Type</w:t>
            </w:r>
          </w:p>
        </w:tc>
        <w:tc>
          <w:tcPr>
            <w:tcW w:type="dxa" w:w="442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Labelbox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platform + managed services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company; RLHF/DPO support; Evaluation Studio; HIPAA compliance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Multimodal ML platform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integration; regulated data focus; Cedars-Sinai use case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SuperAnnotate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AI data platform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RAG evaluation; data governance; hybrid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V7 Labs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 sciences / biomedical annotation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AutoAnnotate; surgical/medical video; Darwin AI engine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Dataloop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 pipelines + 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Semi-automated deployment; managed workforce; active learning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iMerit / Ango Hub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GenAI-based annotation platform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Domain-specific apps for autonomy, ag, healthcare; plugin system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Kili Technology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Compliance-first EU platform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 clean UI; text, image, video, PDF annotation</w:t>
            </w:r>
          </w:p>
        </w:tc>
      </w:tr>
    </w:tbl>
    <w:p>
      <w:pPr>
        <w:spacing w:before="200" w:after="0"/>
      </w:pPr>
    </w:p>
    <w:p>
      <w:pPr>
        <w:pStyle w:val="Heading2"/>
        <w:spacing w:before="320" w:after="120"/>
      </w:pPr>
      <w:r>
        <w:rPr>
          <w:rFonts w:ascii="Arial" w:cs="Arial" w:eastAsia="Arial" w:hAnsi="Arial"/>
          <w:b/>
          <w:bCs/>
          <w:color w:val="2E75B6"/>
          <w:sz w:val="28"/>
          <w:szCs w:val="28"/>
        </w:rPr>
        <w:t xml:space="preserve">Category D: Financial Document &amp; Corporate Intelligence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420"/>
      </w:tblGrid>
      <w:tr>
        <w:trPr>
          <w:tblHeader/>
        </w:trPr>
        <w:tc>
          <w:tcPr>
            <w:tcW w:type="dxa" w:w="1500"/>
            <w:tcBorders>
              <w:top w:val="single" w:color="CCCCCC" w:sz="1"/>
              <w:left w:val="single" w:color="CCCCCC" w:sz="1"/>
              <w:bottom w:val="single" w:color="CCCCCC" w:sz="1"/>
              <w:right w:val="single" w:color="CCCCCC"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800"/>
            <w:tcBorders>
              <w:top w:val="single" w:color="CCCCCC" w:sz="1"/>
              <w:left w:val="single" w:color="CCCCCC" w:sz="1"/>
              <w:bottom w:val="single" w:color="CCCCCC" w:sz="1"/>
              <w:right w:val="single" w:color="CCCCCC"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420"/>
            <w:tcBorders>
              <w:top w:val="single" w:color="CCCCCC" w:sz="1"/>
              <w:left w:val="single" w:color="CCCCCC" w:sz="1"/>
              <w:bottom w:val="single" w:color="CCCCCC" w:sz="1"/>
              <w:right w:val="single" w:color="CCCCCC" w:sz="1"/>
            </w:tcBorders>
            <w:shd w:fill="7D6608"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Instabase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IDP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doc processing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$280M raised; Agent Mode (Nov 2025); visual reasoning; Standard Chartered client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Hyperscience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IDP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document automation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Gartner MQ Leader 2025; FedRAMP; mortgage/loan/KYC automation</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73 Strings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capital markets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Blackstone client; fund reports, loan agreements, valuations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Snorkel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Bank/finance document classification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top-10 US banks; BNY Mellon; programmatic labeling for compliance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DataVLab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data annotation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extraction, zone labeling, EU-only teams, GDPR-ready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Cogito Tech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Fintech/banking AI training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fastest-growing; AI Innovation Hubs; fraud, KYC, NLP annotation</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ARDEM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BPO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CFO/finance automation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processing, transaction reconciliation, compliance automation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Label Your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fintech annotation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Cross-border invoice/doc annotation; API-based real-time pipeline</w:t>
            </w:r>
          </w:p>
        </w:tc>
      </w:tr>
    </w:tbl>
    <w:p>
      <w:pPr>
        <w:spacing w:before="200" w:after="0"/>
      </w:pPr>
    </w:p>
    <w:p>
      <w:pPr>
        <w:pStyle w:val="Heading2"/>
        <w:spacing w:before="320" w:after="120"/>
      </w:pPr>
      <w:r>
        <w:rPr>
          <w:rFonts w:ascii="Arial" w:cs="Arial" w:eastAsia="Arial" w:hAnsi="Arial"/>
          <w:b/>
          <w:bCs/>
          <w:color w:val="2E75B6"/>
          <w:sz w:val="28"/>
          <w:szCs w:val="28"/>
        </w:rPr>
        <w:t xml:space="preserve">Category E: Synthetic Data &amp; AI-Generated Reasoning Data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420"/>
      </w:tblGrid>
      <w:tr>
        <w:trPr>
          <w:tblHeader/>
        </w:trPr>
        <w:tc>
          <w:tcPr>
            <w:tcW w:type="dxa" w:w="15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30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44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Gretel AI / NVIDIA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Privacy-preserving synthetic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Acquired by NVIDIA Mar 2025 for $320M+; Text-to-SQL datasets; NeMo Data Designer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NVIDIA NeMo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AI synthetic data suite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Nemotron-4 340B; NeMo Data Designer; financial document synthesis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Mostly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data for ML/testing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SDK; financial, telco, healthcare synthetic 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K2view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AI data readiness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Gartner Visionary (3rd year); $15M raise for agentic AI data</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Tonic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Privacy-safe dev/test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database synthesis; fintech and healthcare focus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science pipeline synthesis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SDK; ML pipeline integration; time-series support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Hazy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tabular synthesis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Banking/insurance focus; European compliance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Syntho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&amp; clinical synthesis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GDPR-sensitive financial records; clinical trial data</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Snorkel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synthetic reasoning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coding, STEM reasoning; frontier LLM training datasets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Microsoft Research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Model-distilled reasoning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 Orca series; synthetic textbook math/coding; WizardLM Evol-Instruct</w:t>
            </w:r>
          </w:p>
        </w:tc>
      </w:tr>
    </w:tbl>
    <w:p>
      <w:r>
        <w:br w:type="page"/>
      </w:r>
    </w:p>
    <w:p>
      <w:pPr>
        <w:pStyle w:val="Heading1"/>
        <w:spacing w:before="400" w:after="160"/>
      </w:pPr>
      <w:r>
        <w:rPr>
          <w:rFonts w:ascii="Arial" w:cs="Arial" w:eastAsia="Arial" w:hAnsi="Arial"/>
          <w:b/>
          <w:bCs/>
          <w:color w:val="1F4E79"/>
          <w:sz w:val="36"/>
          <w:szCs w:val="36"/>
        </w:rPr>
        <w:t xml:space="preserve">Conclusion: The Trajectory of the Industry</w:t>
      </w:r>
    </w:p>
    <w:p>
      <w:pPr>
        <w:spacing w:before="60" w:after="100"/>
      </w:pPr>
      <w:r>
        <w:rPr>
          <w:rFonts w:ascii="Arial" w:cs="Arial" w:eastAsia="Arial" w:hAnsi="Arial"/>
          <w:sz w:val="22"/>
          <w:szCs w:val="22"/>
        </w:rPr>
        <w:t xml:space="preserve">The data annotation and labeling industry in 2026 is a high-stakes, fast-moving market where the quality of training data directly determines the capabilities of frontier AI models. Several conclusions emerge from this landscape review:</w:t>
      </w:r>
    </w:p>
    <w:p>
      <w:pPr>
        <w:spacing w:before="60" w:after="100"/>
      </w:pPr>
      <w:r>
        <w:rPr>
          <w:rFonts w:ascii="Arial" w:cs="Arial" w:eastAsia="Arial" w:hAnsi="Arial"/>
          <w:b/>
          <w:bCs/>
          <w:sz w:val="22"/>
          <w:szCs w:val="22"/>
        </w:rPr>
        <w:t xml:space="preserve">1. Agentic pipelines are the new standard. </w:t>
      </w:r>
      <w:r>
        <w:rPr>
          <w:rFonts w:ascii="Arial" w:cs="Arial" w:eastAsia="Arial" w:hAnsi="Arial"/>
          <w:sz w:val="22"/>
          <w:szCs w:val="22"/>
        </w:rPr>
        <w:t xml:space="preserve">Pure human annotation is giving way to hybrid pipelines where AI pre-labels, humans verify, and AI agents enforce quality — reducing costs by 4x while maintaining accuracy. Companies that cannot integrate LLM-based automation into their workflows are losing competitiveness.</w:t>
      </w:r>
    </w:p>
    <w:p>
      <w:pPr>
        <w:spacing w:before="60" w:after="100"/>
      </w:pPr>
      <w:r>
        <w:rPr>
          <w:rFonts w:ascii="Arial" w:cs="Arial" w:eastAsia="Arial" w:hAnsi="Arial"/>
          <w:b/>
          <w:bCs/>
          <w:sz w:val="22"/>
          <w:szCs w:val="22"/>
        </w:rPr>
        <w:t xml:space="preserve">2. Expert human knowledge remains irreplaceable. </w:t>
      </w:r>
      <w:r>
        <w:rPr>
          <w:rFonts w:ascii="Arial" w:cs="Arial" w:eastAsia="Arial" w:hAnsi="Arial"/>
          <w:sz w:val="22"/>
          <w:szCs w:val="22"/>
        </w:rPr>
        <w:t xml:space="preserve">Public internet data has been exhausted. The frontier of AI capability is now limited by access to specialized human expertise — mathematicians, attorneys, physicians, financial analysts — who can define 'correct' in domains where ground truth is complex. This creates a durable market for premium expert networks.</w:t>
      </w:r>
    </w:p>
    <w:p>
      <w:pPr>
        <w:spacing w:before="60" w:after="100"/>
      </w:pPr>
      <w:r>
        <w:rPr>
          <w:rFonts w:ascii="Arial" w:cs="Arial" w:eastAsia="Arial" w:hAnsi="Arial"/>
          <w:b/>
          <w:bCs/>
          <w:sz w:val="22"/>
          <w:szCs w:val="22"/>
        </w:rPr>
        <w:t xml:space="preserve">3. Financial documents are a high-growth specialization. </w:t>
      </w:r>
      <w:r>
        <w:rPr>
          <w:rFonts w:ascii="Arial" w:cs="Arial" w:eastAsia="Arial" w:hAnsi="Arial"/>
          <w:sz w:val="22"/>
          <w:szCs w:val="22"/>
        </w:rPr>
        <w:t xml:space="preserve">The combination of regulatory pressure (AML, KYC, ESG), document complexity (charts, tables, cross-references), and high economic stakes makes financial document annotation one of the most valuable and technically demanding sub-markets. Companies with credentialed financial annotators and chart/table extraction expertise command premium pricing.</w:t>
      </w:r>
    </w:p>
    <w:p>
      <w:pPr>
        <w:spacing w:before="60" w:after="100"/>
      </w:pPr>
      <w:r>
        <w:rPr>
          <w:rFonts w:ascii="Arial" w:cs="Arial" w:eastAsia="Arial" w:hAnsi="Arial"/>
          <w:b/>
          <w:bCs/>
          <w:sz w:val="22"/>
          <w:szCs w:val="22"/>
        </w:rPr>
        <w:t xml:space="preserve">4. Synthetic data is complementary, not a replacement. </w:t>
      </w:r>
      <w:r>
        <w:rPr>
          <w:rFonts w:ascii="Arial" w:cs="Arial" w:eastAsia="Arial" w:hAnsi="Arial"/>
          <w:sz w:val="22"/>
          <w:szCs w:val="22"/>
        </w:rPr>
        <w:t xml:space="preserve">High-quality synthetic data (particularly NVIDIA/Gretel's financial document synthesis and Microsoft's reasoning trace generation) accelerates model training but does not eliminate the need for expert human evaluation. The winning formula combines synthetic data at scale with human expert verification at the frontier.</w:t>
      </w:r>
    </w:p>
    <w:p>
      <w:pPr>
        <w:spacing w:before="60" w:after="100"/>
      </w:pPr>
      <w:r>
        <w:rPr>
          <w:rFonts w:ascii="Arial" w:cs="Arial" w:eastAsia="Arial" w:hAnsi="Arial"/>
          <w:b/>
          <w:bCs/>
          <w:sz w:val="22"/>
          <w:szCs w:val="22"/>
        </w:rPr>
        <w:t xml:space="preserve">5. Vendor neutrality is a competitive moat. </w:t>
      </w:r>
      <w:r>
        <w:rPr>
          <w:rFonts w:ascii="Arial" w:cs="Arial" w:eastAsia="Arial" w:hAnsi="Arial"/>
          <w:sz w:val="22"/>
          <w:szCs w:val="22"/>
        </w:rPr>
        <w:t xml:space="preserve">The Meta–Scale deal demonstrated that AI labs will not tolerate annotation providers controlled by competitors. Independent providers with strong data governance, verified annotation pipelines, and no conflicting interests will command premium relationships with frontier labs for years to come.</w:t>
      </w:r>
    </w:p>
    <w:p>
      <w:pPr>
        <w:spacing w:before="200" w:after="100"/>
      </w:pPr>
    </w:p>
    <w:p>
      <w:pPr>
        <w:pBdr>
          <w:bottom w:val="single" w:color="2E75B6" w:sz="6" w:space="1"/>
        </w:pBdr>
        <w:spacing w:before="200" w:after="200"/>
      </w:pPr>
    </w:p>
    <w:p>
      <w:pPr>
        <w:spacing w:before="200" w:after="100"/>
        <w:jc w:val="center"/>
      </w:pPr>
      <w:r>
        <w:rPr>
          <w:rFonts w:ascii="Arial" w:cs="Arial" w:eastAsia="Arial" w:hAnsi="Arial"/>
          <w:i/>
          <w:iCs/>
          <w:color w:val="888888"/>
          <w:sz w:val="18"/>
          <w:szCs w:val="18"/>
        </w:rPr>
        <w:t xml:space="preserve">Report prepared March 2026 | Based on publicly available industry data through Q1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2026-03-04T05:45:19.782Z</dcterms:created>
  <dcterms:modified xsi:type="dcterms:W3CDTF">2026-03-04T05:45:19.783Z</dcterms:modified>
</cp:coreProperties>
</file>

<file path=docProps/custom.xml><?xml version="1.0" encoding="utf-8"?>
<Properties xmlns="http://schemas.openxmlformats.org/officeDocument/2006/custom-properties" xmlns:vt="http://schemas.openxmlformats.org/officeDocument/2006/docPropsVTypes"/>
</file>