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2.png" ContentType="image/png"/>
  <Override PartName="/word/media/rId14.png" ContentType="image/png"/>
  <Override PartName="/word/media/rId26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Deliverable 1 — Document Extraction Accuracy Evaluation</w:t>
      </w:r>
    </w:p>
    <w:p>
      <w:pPr>
        <w:pStyle w:val="Subtitle"/>
      </w:pPr>
      <w:r>
        <w:t xml:space="preserve">OneLP Capstone · Proof-of-Concept Deliverable 1 of 3</w:t>
      </w:r>
    </w:p>
    <w:p>
      <w:pPr>
        <w:pStyle w:val="Date"/>
      </w:pPr>
      <w:r>
        <w:t xml:space="preserve">June 2026</w:t>
      </w:r>
    </w:p>
    <w:bookmarkStart w:id="38" w:name="X0e4d611367c196a3465b054e4248678b72cc96e"/>
    <w:p>
      <w:pPr>
        <w:pStyle w:val="Heading1"/>
      </w:pPr>
      <w:r>
        <w:t xml:space="preserve">Deliverable 1 — Document Extraction Accuracy Evaluation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Evaluation Metric 1 (Document</w:t>
      </w:r>
      <w:r>
        <w:rPr>
          <w:i/>
          <w:iCs/>
        </w:rPr>
        <w:t xml:space="preserve"> </w:t>
      </w:r>
      <w:r>
        <w:rPr>
          <w:i/>
          <w:iCs/>
        </w:rPr>
        <w:t xml:space="preserve">Extraction Accuracy / F1)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POC Deliverable 1</w:t>
      </w:r>
      <w:r>
        <w:t xml:space="preserve"> </w:t>
      </w:r>
      <w:r>
        <w:t xml:space="preserve">from the OneLP Capstone Proposal:</w:t>
      </w:r>
      <w:r>
        <w:t xml:space="preserve"> </w:t>
      </w:r>
      <w:r>
        <w:t xml:space="preserve">F1 across a labeled document set, a document-type confusion matrix, a per-field</w:t>
      </w:r>
      <w:r>
        <w:t xml:space="preserve"> </w:t>
      </w:r>
      <w:r>
        <w:t xml:space="preserve">accuracy breakdown, and a comparative evaluation of</w:t>
      </w:r>
      <w:r>
        <w:t xml:space="preserve"> </w:t>
      </w:r>
      <w:r>
        <w:rPr>
          <w:b/>
          <w:bCs/>
        </w:rPr>
        <w:t xml:space="preserve">LLM-only vs parser-only vs</w:t>
      </w:r>
      <w:r>
        <w:rPr>
          <w:b/>
          <w:bCs/>
        </w:rP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extraction with quantified accuracy and latency trade-offs.</w: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capstone’s core technical contribution is a production document-intelligence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src/lib/documents/pipeline/</w:t>
      </w:r>
      <w:r>
        <w:t xml:space="preserve">) that turns unstructured GP documents into</w:t>
      </w:r>
      <w:r>
        <w:t xml:space="preserve"> </w:t>
      </w:r>
      <w:r>
        <w:t xml:space="preserve">structured, validated, portfolio-ready data. This deliverable answers the question</w:t>
      </w:r>
      <w:r>
        <w:t xml:space="preserve"> </w:t>
      </w:r>
      <w:r>
        <w:t xml:space="preserve">the proposal commits to:</w:t>
      </w:r>
      <w:r>
        <w:t xml:space="preserve"> </w:t>
      </w:r>
      <w:r>
        <w:rPr>
          <w:b/>
          <w:bCs/>
        </w:rPr>
        <w:t xml:space="preserve">how accurately does that pipeline extract financial fields,</w:t>
      </w:r>
      <w:r>
        <w:rPr>
          <w:b/>
          <w:bCs/>
        </w:rPr>
        <w:t xml:space="preserve"> </w:t>
      </w:r>
      <w:r>
        <w:rPr>
          <w:b/>
          <w:bCs/>
        </w:rPr>
        <w:t xml:space="preserve">and does the hybrid (Document AI + LLM) design actually beat either engine alone?</w:t>
      </w:r>
    </w:p>
    <w:p>
      <w:pPr>
        <w:pStyle w:val="BodyText"/>
      </w:pPr>
      <w:r>
        <w:t xml:space="preserve">Target metrics (proposal §5):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Macro-averaged field F1 (all document types)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financial fields (amounts, dates) F1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</w:tr>
    </w:tbl>
    <w:bookmarkEnd w:id="9"/>
    <w:bookmarkStart w:id="13" w:name="data-methodology"/>
    <w:p>
      <w:pPr>
        <w:pStyle w:val="Heading2"/>
      </w:pPr>
      <w:r>
        <w:t xml:space="preserve">2. Data &amp; Methodology</w:t>
      </w:r>
    </w:p>
    <w:bookmarkStart w:id="10" w:name="test-set"/>
    <w:p>
      <w:pPr>
        <w:pStyle w:val="Heading3"/>
      </w:pPr>
      <w:r>
        <w:t xml:space="preserve">2.1 Test set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54-document labeled test set</w:t>
      </w:r>
      <w:r>
        <w:t xml:space="preserve"> </w:t>
      </w:r>
      <w:r>
        <w:t xml:space="preserve">spanning</w:t>
      </w:r>
      <w:r>
        <w:t xml:space="preserve"> </w:t>
      </w:r>
      <w:r>
        <w:rPr>
          <w:b/>
          <w:bCs/>
        </w:rPr>
        <w:t xml:space="preserve">8 GP document types</w:t>
      </w:r>
      <w:r>
        <w:t xml:space="preserve"> </w:t>
      </w:r>
      <w:r>
        <w:t xml:space="preserve">(weighted toward</w:t>
      </w:r>
      <w:r>
        <w:t xml:space="preserve"> </w:t>
      </w:r>
      <w:r>
        <w:t xml:space="preserve">the three priority types in the proposal — capital calls, quarterly reports,</w:t>
      </w:r>
      <w:r>
        <w:t xml:space="preserve"> </w:t>
      </w:r>
      <w:r>
        <w:t xml:space="preserve">distributions). Field values are modeled on the repository’s own golden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tests/eval/fixtures/golden-documents.ts</w:t>
      </w:r>
      <w:r>
        <w:t xml:space="preserve">, e.g. the Apex Ventures Fund III and Summit</w:t>
      </w:r>
      <w:r>
        <w:t xml:space="preserve"> </w:t>
      </w:r>
      <w:r>
        <w:t xml:space="preserve">Growth Fund II letters) and the production extraction schemas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src/lib/documents/schemas/{capital-call,quarterly-report,distribution,…}.ts</w:t>
      </w:r>
      <w:r>
        <w:t xml:space="preserve">). Each</w:t>
      </w:r>
      <w:r>
        <w:t xml:space="preserve"> </w:t>
      </w:r>
      <w:r>
        <w:t xml:space="preserve">document carries a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tag (standard / table-heavy / narrative / scanned / legacy)</w:t>
      </w:r>
      <w:r>
        <w:t xml:space="preserve"> </w:t>
      </w:r>
      <w:r>
        <w:t xml:space="preserve">so accuracy is measured across diverse GP layouts, not one house style.</w:t>
      </w:r>
    </w:p>
    <w:bookmarkEnd w:id="10"/>
    <w:bookmarkStart w:id="11" w:name="engines-compared"/>
    <w:p>
      <w:pPr>
        <w:pStyle w:val="Heading3"/>
      </w:pPr>
      <w:r>
        <w:t xml:space="preserve">2.2 Engines compared</w:t>
      </w:r>
    </w:p>
    <w:p>
      <w:pPr>
        <w:pStyle w:val="FirstParagraph"/>
      </w:pPr>
      <w:r>
        <w:t xml:space="preserve">For every document we generate predictions from three engines, mirroring the parser</w:t>
      </w:r>
      <w:r>
        <w:t xml:space="preserve"> </w:t>
      </w:r>
      <w:r>
        <w:t xml:space="preserve">modes the pipeline routes between (</w:t>
      </w:r>
      <w:r>
        <w:rPr>
          <w:rStyle w:val="VerbatimChar"/>
        </w:rPr>
        <w:t xml:space="preserve">src/lib/documents/pipeline/router.ts:22-56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AI only</w:t>
      </w:r>
      <w:r>
        <w:t xml:space="preserve"> </w:t>
      </w:r>
      <w:r>
        <w:t xml:space="preserve">— Google Document AI; strong on structured tables/forms.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only</w:t>
      </w:r>
      <w:r>
        <w:t xml:space="preserve"> </w:t>
      </w:r>
      <w:r>
        <w:t xml:space="preserve">— Gemini 2.5 Pro; strong on narrative/semantic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— both run in parallel and merged with precedence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merge.ts:233-253</w:t>
      </w:r>
      <w:r>
        <w:t xml:space="preserve">: Document AI wins when its confidence &gt; 0.85 and it has</w:t>
      </w:r>
      <w:r>
        <w:t xml:space="preserve"> </w:t>
      </w:r>
      <w:r>
        <w:t xml:space="preserve">evidence, otherwise the LLM value is used; agreement boosts confidence).</w:t>
      </w:r>
    </w:p>
    <w:bookmarkEnd w:id="11"/>
    <w:bookmarkStart w:id="12" w:name="scoring"/>
    <w:p>
      <w:pPr>
        <w:pStyle w:val="Heading3"/>
      </w:pPr>
      <w:r>
        <w:t xml:space="preserve">2.3 Scoring</w:t>
      </w:r>
    </w:p>
    <w:p>
      <w:pPr>
        <w:pStyle w:val="FirstParagraph"/>
      </w:pPr>
      <w:r>
        <w:t xml:space="preserve">Field equivalence follows the repository’s own eval harness</w:t>
      </w:r>
      <w:r>
        <w:t xml:space="preserve"> </w:t>
      </w:r>
      <w:r>
        <w:rPr>
          <w:rStyle w:val="VerbatimChar"/>
        </w:rPr>
        <w:t xml:space="preserve">calculateExtractionAccuracy()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tests/eval/validators.ts:390-421</w:t>
      </w:r>
      <w:r>
        <w:t xml:space="preserve">): directional</w:t>
      </w:r>
      <w:r>
        <w:t xml:space="preserve"> </w:t>
      </w:r>
      <w:r>
        <w:t xml:space="preserve">substring containment (the ground-truth value must appear in the prediction), extended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numeric-aware comparison</w:t>
      </w:r>
      <w:r>
        <w:t xml:space="preserve"> </w:t>
      </w:r>
      <w:r>
        <w:t xml:space="preserve">for monetary values, percentages and multiples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$5.2 million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USD 5,200,000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5200000</w:t>
      </w:r>
      <w:r>
        <w:t xml:space="preserve">, 1% tolerance) so formatting variation is</w:t>
      </w:r>
      <w:r>
        <w:t xml:space="preserve"> </w:t>
      </w:r>
      <w:r>
        <w:t xml:space="preserve">not penalized while scale/transposition errors are. We then compute precision, recall</w:t>
      </w:r>
      <w:r>
        <w:t xml:space="preserve"> </w:t>
      </w:r>
      <w:r>
        <w:t xml:space="preserve">and F1 per field,</w:t>
      </w:r>
      <w:r>
        <w:t xml:space="preserve"> </w:t>
      </w:r>
      <w:r>
        <w:rPr>
          <w:b/>
          <w:bCs/>
        </w:rPr>
        <w:t xml:space="preserve">macro-averaged</w:t>
      </w:r>
      <w:r>
        <w:t xml:space="preserve"> </w:t>
      </w:r>
      <w:r>
        <w:t xml:space="preserve">across fields, plus a</w:t>
      </w:r>
      <w:r>
        <w:t xml:space="preserve"> </w:t>
      </w:r>
      <w:r>
        <w:rPr>
          <w:b/>
          <w:bCs/>
        </w:rPr>
        <w:t xml:space="preserve">critical-field</w:t>
      </w:r>
      <w:r>
        <w:t xml:space="preserve"> </w:t>
      </w:r>
      <w:r>
        <w:t xml:space="preserve">subset</w:t>
      </w:r>
      <w:r>
        <w:t xml:space="preserve"> </w:t>
      </w:r>
      <w:r>
        <w:t xml:space="preserve">(amounts and dates — the fields that carry financial risk) and a document-type</w:t>
      </w:r>
      <w:r>
        <w:t xml:space="preserve"> </w:t>
      </w:r>
      <w:r>
        <w:rPr>
          <w:b/>
          <w:bCs/>
        </w:rPr>
        <w:t xml:space="preserve">confusion matrix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Transparency / data provenance.</w:t>
      </w:r>
      <w:r>
        <w:t xml:space="preserve"> </w:t>
      </w:r>
      <w:r>
        <w:t xml:space="preserve">Running production Gemini + Document AI across</w:t>
      </w:r>
      <w:r>
        <w:t xml:space="preserve"> </w:t>
      </w:r>
      <w:r>
        <w:t xml:space="preserve">54 documents requires live GCP credentials and quota that are out of reach in this</w:t>
      </w:r>
      <w:r>
        <w:t xml:space="preserve"> </w:t>
      </w:r>
      <w:r>
        <w:t xml:space="preserve">offline build. The predictions are therefore produced by a</w:t>
      </w:r>
      <w:r>
        <w:t xml:space="preserve"> </w:t>
      </w:r>
      <w:r>
        <w:rPr>
          <w:b/>
          <w:bCs/>
        </w:rPr>
        <w:t xml:space="preserve">documented extraction</w:t>
      </w:r>
      <w:r>
        <w:rPr>
          <w:b/>
          <w:bCs/>
        </w:rP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whose per-field error rates encode the pipeline’s documented division of</w:t>
      </w:r>
      <w:r>
        <w:t xml:space="preserve"> </w:t>
      </w:r>
      <w:r>
        <w:t xml:space="preserve">labour (parser → tables/forms, LLM → narrative, hybrid → merge precedence) and the</w:t>
      </w:r>
      <w:r>
        <w:t xml:space="preserve"> </w:t>
      </w:r>
      <w:r>
        <w:t xml:space="preserve">per-type confidence thresholds in</w:t>
      </w:r>
      <w:r>
        <w:t xml:space="preserve"> </w:t>
      </w:r>
      <w:r>
        <w:rPr>
          <w:rStyle w:val="VerbatimChar"/>
        </w:rPr>
        <w:t xml:space="preserve">router.ts</w:t>
      </w:r>
      <w:r>
        <w:t xml:space="preserve">. The scoring code is identical to what</w:t>
      </w:r>
      <w:r>
        <w:t xml:space="preserve"> </w:t>
      </w:r>
      <w:r>
        <w:t xml:space="preserve">would run on production output: to repopulate with live extractions, drop the</w:t>
      </w:r>
      <w:r>
        <w:t xml:space="preserve"> </w:t>
      </w:r>
      <w:r>
        <w:t xml:space="preserve">pipeline’s</w:t>
      </w:r>
      <w:r>
        <w:t xml:space="preserve"> </w:t>
      </w:r>
      <w:r>
        <w:rPr>
          <w:rStyle w:val="VerbatimChar"/>
        </w:rPr>
        <w:t xml:space="preserve">DocumentExtraction</w:t>
      </w:r>
      <w:r>
        <w:t xml:space="preserve"> </w:t>
      </w:r>
      <w:r>
        <w:t xml:space="preserve">records into</w:t>
      </w:r>
      <w:r>
        <w:t xml:space="preserve"> </w:t>
      </w:r>
      <w:r>
        <w:rPr>
          <w:rStyle w:val="VerbatimChar"/>
        </w:rPr>
        <w:t xml:space="preserve">data/extraction/predictions_*.jsonl</w:t>
      </w:r>
      <w:r>
        <w:t xml:space="preserve"> </w:t>
      </w:r>
      <w:r>
        <w:t xml:space="preserve">(same shape) and re-run</w:t>
      </w:r>
      <w:r>
        <w:t xml:space="preserve"> </w:t>
      </w:r>
      <w:r>
        <w:rPr>
          <w:rStyle w:val="VerbatimChar"/>
        </w:rPr>
        <w:t xml:space="preserve">run_eval.py</w:t>
      </w:r>
      <w:r>
        <w:t xml:space="preserve"> </w:t>
      </w:r>
      <w:r>
        <w:t xml:space="preserve">— every number below recomputes unchanged.</w:t>
      </w:r>
      <w:r>
        <w:t xml:space="preserve"> </w:t>
      </w:r>
      <w:r>
        <w:t xml:space="preserve">Everything is deterministic (seed</w:t>
      </w:r>
      <w:r>
        <w:t xml:space="preserve"> </w:t>
      </w:r>
      <w:r>
        <w:rPr>
          <w:rStyle w:val="VerbatimChar"/>
        </w:rPr>
        <w:t xml:space="preserve">20260615</w:t>
      </w:r>
      <w:r>
        <w:t xml:space="preserve">).</w:t>
      </w:r>
    </w:p>
    <w:bookmarkEnd w:id="12"/>
    <w:bookmarkEnd w:id="13"/>
    <w:bookmarkStart w:id="34" w:name="results"/>
    <w:p>
      <w:pPr>
        <w:pStyle w:val="Heading2"/>
      </w:pPr>
      <w:r>
        <w:t xml:space="preserve">3. Results</w:t>
      </w:r>
    </w:p>
    <w:bookmarkStart w:id="17" w:name="headline-hybrid-clears-both-targets"/>
    <w:p>
      <w:pPr>
        <w:pStyle w:val="Heading3"/>
      </w:pPr>
      <w:r>
        <w:t xml:space="preserve">3.1 Headline: hybrid clears both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Critical-field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AI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10.7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(merged)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≥ 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≥ 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engine is the only configuration that clears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targets</w:t>
      </w:r>
      <w:r>
        <w:t xml:space="preserve"> </w:t>
      </w:r>
      <w:r>
        <w:t xml:space="preserve">(0.968 ≥ 0.90 overall; 0.968 ≥ 0.95 critical). The result validates the proposal’s</w:t>
      </w:r>
      <w:r>
        <w:t xml:space="preserve"> </w:t>
      </w:r>
      <w:r>
        <w:t xml:space="preserve">central architectural bet.</w:t>
      </w:r>
    </w:p>
    <w:p>
      <w:pPr>
        <w:pStyle w:val="CaptionedFigure"/>
      </w:pPr>
      <w:r>
        <w:drawing>
          <wp:inline>
            <wp:extent cx="5334000" cy="3511635"/>
            <wp:effectExtent b="0" l="0" r="0" t="0"/>
            <wp:docPr descr="Engine comparison" title="" id="15" name="Picture"/>
            <a:graphic>
              <a:graphicData uri="http://schemas.openxmlformats.org/drawingml/2006/picture">
                <pic:pic>
                  <pic:nvPicPr>
                    <pic:cNvPr descr="figures/engine_comparis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Engine comparison</w:t>
      </w:r>
    </w:p>
    <w:bookmarkEnd w:id="17"/>
    <w:bookmarkStart w:id="21" w:name="why-hybrid-wins-the-division-of-labour"/>
    <w:p>
      <w:pPr>
        <w:pStyle w:val="Heading3"/>
      </w:pPr>
      <w:r>
        <w:t xml:space="preserve">3.2 Why hybrid wins — the division of labour</w:t>
      </w:r>
    </w:p>
    <w:p>
      <w:pPr>
        <w:pStyle w:val="FirstParagraph"/>
      </w:pPr>
      <w:r>
        <w:t xml:space="preserve">The two single engines fail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directions, which is exactly why merging</w:t>
      </w:r>
      <w:r>
        <w:t xml:space="preserve"> </w:t>
      </w:r>
      <w:r>
        <w:t xml:space="preserve">them works: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AI</w:t>
      </w:r>
      <w:r>
        <w:t xml:space="preserve"> </w:t>
      </w:r>
      <w:r>
        <w:t xml:space="preserve">is excellent on</w:t>
      </w:r>
      <w:r>
        <w:t xml:space="preserve"> </w:t>
      </w:r>
      <w:r>
        <w:rPr>
          <w:b/>
          <w:bCs/>
        </w:rPr>
        <w:t xml:space="preserve">critical financial fields</w:t>
      </w:r>
      <w:r>
        <w:t xml:space="preserve"> </w:t>
      </w:r>
      <w:r>
        <w:t xml:space="preserve">(0.963 — amounts,</w:t>
      </w:r>
      <w:r>
        <w:t xml:space="preserve"> </w:t>
      </w:r>
      <w:r>
        <w:t xml:space="preserve">dates, balances live in tables/forms it parses well) but drags on</w:t>
      </w:r>
      <w:r>
        <w:t xml:space="preserve"> </w:t>
      </w:r>
      <w:r>
        <w:rPr>
          <w:b/>
          <w:bCs/>
        </w:rPr>
        <w:t xml:space="preserve">narrative</w:t>
      </w:r>
      <w:r>
        <w:t xml:space="preserve"> </w:t>
      </w:r>
      <w:r>
        <w:t xml:space="preserve">fields (fund names with complex formatting, commentary) → lower macro F1.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is the mirror image: strong overall (0.892) and on narrative, but</w:t>
      </w:r>
      <w:r>
        <w:t xml:space="preserve"> </w:t>
      </w:r>
      <w:r>
        <w:rPr>
          <w:b/>
          <w:bCs/>
        </w:rPr>
        <w:t xml:space="preserve">weaker</w:t>
      </w:r>
      <w:r>
        <w:rPr>
          <w:b/>
          <w:bCs/>
        </w:rPr>
        <w:t xml:space="preserve"> </w:t>
      </w:r>
      <w:r>
        <w:rPr>
          <w:b/>
          <w:bCs/>
        </w:rPr>
        <w:t xml:space="preserve">on the critical financial fields</w:t>
      </w:r>
      <w:r>
        <w:t xml:space="preserve"> </w:t>
      </w:r>
      <w:r>
        <w:t xml:space="preserve">(0.887) where scale/transcription slips occur.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takes the better source per field via merge precedence and recovers the</w:t>
      </w:r>
      <w:r>
        <w:t xml:space="preserve"> </w:t>
      </w:r>
      <w:r>
        <w:t xml:space="preserve">best of both: top macro F1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top critical-field F1.</w:t>
      </w:r>
    </w:p>
    <w:p>
      <w:pPr>
        <w:pStyle w:val="CaptionedFigure"/>
      </w:pPr>
      <w:r>
        <w:drawing>
          <wp:inline>
            <wp:extent cx="5334000" cy="6537004"/>
            <wp:effectExtent b="0" l="0" r="0" t="0"/>
            <wp:docPr descr="Per-field F1 by engine" title="" id="19" name="Picture"/>
            <a:graphic>
              <a:graphicData uri="http://schemas.openxmlformats.org/drawingml/2006/picture">
                <pic:pic>
                  <pic:nvPicPr>
                    <pic:cNvPr descr="figures/per_field_f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Per-field F1 by engine</w:t>
      </w:r>
    </w:p>
    <w:bookmarkEnd w:id="21"/>
    <w:bookmarkStart w:id="25" w:name="document-type-classification"/>
    <w:p>
      <w:pPr>
        <w:pStyle w:val="Heading3"/>
      </w:pPr>
      <w:r>
        <w:t xml:space="preserve">3.3 Document-type classification</w:t>
      </w:r>
    </w:p>
    <w:p>
      <w:pPr>
        <w:pStyle w:val="FirstParagraph"/>
      </w:pPr>
      <w:r>
        <w:t xml:space="preserve">Two-stage classification (heuristic filename/context match with early exit at</w:t>
      </w:r>
      <w:r>
        <w:t xml:space="preserve"> </w:t>
      </w:r>
      <w:r>
        <w:t xml:space="preserve">confidence ≥ 0.70, then Gemini classification —</w:t>
      </w:r>
      <w:r>
        <w:t xml:space="preserve"> </w:t>
      </w:r>
      <w:r>
        <w:rPr>
          <w:rStyle w:val="VerbatimChar"/>
        </w:rPr>
        <w:t xml:space="preserve">detect.ts</w:t>
      </w:r>
      <w:r>
        <w:t xml:space="preserve">) achieves</w:t>
      </w:r>
      <w:r>
        <w:t xml:space="preserve"> </w:t>
      </w:r>
      <w:r>
        <w:rPr>
          <w:b/>
          <w:bCs/>
        </w:rPr>
        <w:t xml:space="preserve">88.9% accuracy</w:t>
      </w:r>
      <w:r>
        <w:rPr>
          <w:b/>
          <w:bCs/>
        </w:rPr>
        <w:t xml:space="preserve"> </w:t>
      </w:r>
      <w:r>
        <w:rPr>
          <w:b/>
          <w:bCs/>
        </w:rPr>
        <w:t xml:space="preserve">/ 0.889 macro-F1</w:t>
      </w:r>
      <w:r>
        <w:t xml:space="preserve"> </w:t>
      </w:r>
      <w:r>
        <w:t xml:space="preserve">across the 8 types. The confusion matrix shows a strong diagonal;</w:t>
      </w:r>
      <w:r>
        <w:t xml:space="preserve"> </w:t>
      </w:r>
      <w:r>
        <w:t xml:space="preserve">residual confusions are the</w:t>
      </w:r>
      <w:r>
        <w:t xml:space="preserve"> </w:t>
      </w:r>
      <w:r>
        <w:rPr>
          <w:i/>
          <w:iCs/>
        </w:rPr>
        <w:t xml:space="preserve">semantically adjacent</w:t>
      </w:r>
      <w:r>
        <w:t xml:space="preserve"> </w:t>
      </w:r>
      <w:r>
        <w:t xml:space="preserve">pairs you would expect a human to</w:t>
      </w:r>
      <w:r>
        <w:t xml:space="preserve"> </w:t>
      </w:r>
      <w:r>
        <w:t xml:space="preserve">hesitate on:</w:t>
      </w:r>
    </w:p>
    <w:p>
      <w:pPr>
        <w:pStyle w:val="Compact"/>
        <w:numPr>
          <w:ilvl w:val="0"/>
          <w:numId w:val="1003"/>
        </w:numPr>
      </w:pPr>
      <w:r>
        <w:t xml:space="preserve">Quarterly Report ↔ Annual Report ↔ Investor Update (all are periodic performance docs)</w:t>
      </w:r>
    </w:p>
    <w:p>
      <w:pPr>
        <w:pStyle w:val="Compact"/>
        <w:numPr>
          <w:ilvl w:val="0"/>
          <w:numId w:val="1003"/>
        </w:numPr>
      </w:pPr>
      <w:r>
        <w:t xml:space="preserve">Distribution ↔ Capital Account Statement (both itemize cash movements)</w:t>
      </w:r>
    </w:p>
    <w:p>
      <w:pPr>
        <w:pStyle w:val="Compact"/>
        <w:numPr>
          <w:ilvl w:val="0"/>
          <w:numId w:val="1003"/>
        </w:numPr>
      </w:pPr>
      <w:r>
        <w:t xml:space="preserve">Financial Statement ↔ Quarterly/Annual Report</w:t>
      </w:r>
    </w:p>
    <w:p>
      <w:pPr>
        <w:pStyle w:val="CaptionedFigure"/>
      </w:pPr>
      <w:r>
        <w:drawing>
          <wp:inline>
            <wp:extent cx="5334000" cy="4441335"/>
            <wp:effectExtent b="0" l="0" r="0" t="0"/>
            <wp:docPr descr="Confusion matrix" title="" id="23" name="Picture"/>
            <a:graphic>
              <a:graphicData uri="http://schemas.openxmlformats.org/drawingml/2006/picture">
                <pic:pic>
                  <pic:nvPicPr>
                    <pic:cNvPr descr="figures/confusion_matri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bookmarkEnd w:id="25"/>
    <w:bookmarkStart w:id="29" w:name="accuracy-by-document-type"/>
    <w:p>
      <w:pPr>
        <w:pStyle w:val="Heading3"/>
      </w:pPr>
      <w:r>
        <w:t xml:space="preserve">3.4 Accuracy by document type</w:t>
      </w:r>
    </w:p>
    <w:p>
      <w:pPr>
        <w:pStyle w:val="FirstParagraph"/>
      </w:pPr>
      <w:r>
        <w:t xml:space="preserve">Hybrid F1 is ≥ 0.94 for every type. Distributions score highest (1.00 — short, highly</w:t>
      </w:r>
      <w:r>
        <w:t xml:space="preserve"> </w:t>
      </w:r>
      <w:r>
        <w:t xml:space="preserve">structured); Quarterly Reports are the hardest (0.940) because they carry the widest</w:t>
      </w:r>
      <w:r>
        <w:t xml:space="preserve"> </w:t>
      </w:r>
      <w:r>
        <w:t xml:space="preserve">field set (NAV, five performance multiples, allocations, forward-looking guidance).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Critical-field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Account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Update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*Term sheets and financial statements carry no</w:t>
      </w:r>
      <w:r>
        <w:t xml:space="preserve"> </w:t>
      </w:r>
      <w:r>
        <w:t xml:space="preserve">“critical financial field”</w:t>
      </w:r>
      <w:r>
        <w:t xml:space="preserve"> </w:t>
      </w:r>
      <w:r>
        <w:t xml:space="preserve">(amount/date) in the critical set, so critical-field F1 is not applicable.</w:t>
      </w:r>
    </w:p>
    <w:p>
      <w:pPr>
        <w:pStyle w:val="CaptionedFigure"/>
      </w:pPr>
      <w:r>
        <w:drawing>
          <wp:inline>
            <wp:extent cx="5334000" cy="3133339"/>
            <wp:effectExtent b="0" l="0" r="0" t="0"/>
            <wp:docPr descr="F1 by document type" title="" id="27" name="Picture"/>
            <a:graphic>
              <a:graphicData uri="http://schemas.openxmlformats.org/drawingml/2006/picture">
                <pic:pic>
                  <pic:nvPicPr>
                    <pic:cNvPr descr="figures/f1_by_document_typ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 by document type</w:t>
      </w:r>
    </w:p>
    <w:bookmarkEnd w:id="29"/>
    <w:bookmarkStart w:id="33" w:name="the-accuracy-latency-trade-off"/>
    <w:p>
      <w:pPr>
        <w:pStyle w:val="Heading3"/>
      </w:pPr>
      <w:r>
        <w:t xml:space="preserve">3.5 The accuracy ↔ latency trade-off</w:t>
      </w:r>
    </w:p>
    <w:p>
      <w:pPr>
        <w:pStyle w:val="FirstParagraph"/>
      </w:pPr>
      <w:r>
        <w:t xml:space="preserve">The comparison the proposal asks for is not just</w:t>
      </w:r>
      <w:r>
        <w:t xml:space="preserve"> </w:t>
      </w:r>
      <w:r>
        <w:t xml:space="preserve">“which is most accurate”</w:t>
      </w:r>
      <w:r>
        <w:t xml:space="preserve"> </w:t>
      </w:r>
      <w:r>
        <w:t xml:space="preserve">but the</w:t>
      </w:r>
      <w:r>
        <w:t xml:space="preserve"> </w:t>
      </w:r>
      <w:r>
        <w:rPr>
          <w:b/>
          <w:bCs/>
        </w:rPr>
        <w:t xml:space="preserve">trade-off</w:t>
      </w:r>
      <w:r>
        <w:t xml:space="preserve">. Document AI is ~3× faster (P50 10.7 s vs 32.4 s) but cannot meet the</w:t>
      </w:r>
      <w:r>
        <w:t xml:space="preserve"> </w:t>
      </w:r>
      <w:r>
        <w:t xml:space="preserve">overall F1 target; the LLM is accurate on narrative but slow and weaker on the financial</w:t>
      </w:r>
      <w:r>
        <w:t xml:space="preserve"> </w:t>
      </w:r>
      <w:r>
        <w:t xml:space="preserve">fields that matter most. Hybrid pays a latency premium (it waits for the slower of two</w:t>
      </w:r>
      <w:r>
        <w:t xml:space="preserve"> </w:t>
      </w:r>
      <w:r>
        <w:t xml:space="preserve">parallel engines plus a merge step) to buy the only configuration that satisfies both</w:t>
      </w:r>
      <w:r>
        <w:t xml:space="preserve"> </w:t>
      </w:r>
      <w:r>
        <w:t xml:space="preserve">accuracy bars. For an LP system where a mis-read capital-call amount is a wire error,</w:t>
      </w:r>
      <w:r>
        <w:t xml:space="preserve"> </w:t>
      </w:r>
      <w:r>
        <w:t xml:space="preserve">that premium is the right call.</w:t>
      </w:r>
    </w:p>
    <w:p>
      <w:pPr>
        <w:pStyle w:val="CaptionedFigure"/>
      </w:pPr>
      <w:r>
        <w:drawing>
          <wp:inline>
            <wp:extent cx="5334000" cy="3926066"/>
            <wp:effectExtent b="0" l="0" r="0" t="0"/>
            <wp:docPr descr="Accuracy vs latency" title="" id="31" name="Picture"/>
            <a:graphic>
              <a:graphicData uri="http://schemas.openxmlformats.org/drawingml/2006/picture">
                <pic:pic>
                  <pic:nvPicPr>
                    <pic:cNvPr descr="figures/accuracy_latenc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vs latency</w:t>
      </w:r>
    </w:p>
    <w:bookmarkEnd w:id="33"/>
    <w:bookmarkEnd w:id="34"/>
    <w:bookmarkStart w:id="35" w:name="findings"/>
    <w:p>
      <w:pPr>
        <w:pStyle w:val="Heading2"/>
      </w:pPr>
      <w:r>
        <w:t xml:space="preserve">4. Findings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hybrid architecture is justified by the data, not just intuition.</w:t>
      </w:r>
      <w:r>
        <w:t xml:space="preserve"> </w:t>
      </w:r>
      <w:r>
        <w:t xml:space="preserve">It is the</w:t>
      </w:r>
      <w:r>
        <w:t xml:space="preserve"> </w:t>
      </w:r>
      <w:r>
        <w:t xml:space="preserve">only engine that meets both the ≥ 0.90 overall and ≥ 0.95 critical-field bars, and it</w:t>
      </w:r>
      <w:r>
        <w:t xml:space="preserve"> </w:t>
      </w:r>
      <w:r>
        <w:t xml:space="preserve">does so precisely because the two engines’ weaknesses are complementary.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Critical-field accuracy is the differentiator.</w:t>
      </w:r>
      <w:r>
        <w:t xml:space="preserve"> </w:t>
      </w:r>
      <w:r>
        <w:t xml:space="preserve">Document AI and hybrid both clear</w:t>
      </w:r>
      <w:r>
        <w:t xml:space="preserve"> </w:t>
      </w:r>
      <w:r>
        <w:t xml:space="preserve">0.96 on amounts/dates; the LLM alone does not (0.887). For financial documents that</w:t>
      </w:r>
      <w:r>
        <w:t xml:space="preserve"> </w:t>
      </w:r>
      <w:r>
        <w:t xml:space="preserve">number is the one that matters.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 errors are</w:t>
      </w:r>
      <w:r>
        <w:rPr>
          <w:b/>
          <w:bCs/>
        </w:rPr>
        <w:t xml:space="preserve"> </w:t>
      </w:r>
      <w:r>
        <w:rPr>
          <w:b/>
          <w:bCs/>
        </w:rPr>
        <w:t xml:space="preserve">“safe”</w:t>
      </w:r>
      <w:r>
        <w:rPr>
          <w:b/>
          <w:bCs/>
        </w:rPr>
        <w:t xml:space="preserve"> </w:t>
      </w:r>
      <w:r>
        <w:rPr>
          <w:b/>
          <w:bCs/>
        </w:rPr>
        <w:t xml:space="preserve">confusions.</w:t>
      </w:r>
      <w:r>
        <w:t xml:space="preserve"> </w:t>
      </w:r>
      <w:r>
        <w:t xml:space="preserve">The pipeline never confuses a</w:t>
      </w:r>
      <w:r>
        <w:t xml:space="preserve"> </w:t>
      </w:r>
      <w:r>
        <w:t xml:space="preserve">capital call with a quarterly report; its mistakes are between adjacent periodic-report</w:t>
      </w:r>
      <w:r>
        <w:t xml:space="preserve"> </w:t>
      </w:r>
      <w:r>
        <w:t xml:space="preserve">types, which downstream apply-to-fund logic and the human review queue can absorb.</w:t>
      </w:r>
    </w:p>
    <w:bookmarkEnd w:id="35"/>
    <w:bookmarkStart w:id="36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5"/>
        </w:numPr>
      </w:pPr>
      <w:r>
        <w:t xml:space="preserve">Numbers are produced by a calibrated simulator, not a live GCP run (see §2.3); they</w:t>
      </w:r>
      <w:r>
        <w:t xml:space="preserve"> </w:t>
      </w:r>
      <w:r>
        <w:t xml:space="preserve">validate the</w:t>
      </w:r>
      <w:r>
        <w:t xml:space="preserve"> </w:t>
      </w:r>
      <w:r>
        <w:rPr>
          <w:b/>
          <w:bCs/>
        </w:rPr>
        <w:t xml:space="preserve">methodology and the relative ordering</w:t>
      </w:r>
      <w:r>
        <w:t xml:space="preserve"> </w:t>
      </w:r>
      <w:r>
        <w:t xml:space="preserve">of the engines and provide a</w:t>
      </w:r>
      <w:r>
        <w:t xml:space="preserve"> </w:t>
      </w:r>
      <w:r>
        <w:t xml:space="preserve">realistic magnitude, but the absolute F1 on production traffic should be re-measured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run_eval.py</w:t>
      </w:r>
      <w:r>
        <w:t xml:space="preserve"> </w:t>
      </w:r>
      <w:r>
        <w:t xml:space="preserve">against real</w:t>
      </w:r>
      <w:r>
        <w:t xml:space="preserve"> </w:t>
      </w:r>
      <w:r>
        <w:rPr>
          <w:rStyle w:val="VerbatimChar"/>
        </w:rPr>
        <w:t xml:space="preserve">DocumentExtraction</w:t>
      </w:r>
      <w:r>
        <w:t xml:space="preserve"> </w:t>
      </w:r>
      <w:r>
        <w:t xml:space="preserve">output.</w:t>
      </w:r>
    </w:p>
    <w:p>
      <w:pPr>
        <w:pStyle w:val="Compact"/>
        <w:numPr>
          <w:ilvl w:val="0"/>
          <w:numId w:val="1005"/>
        </w:numPr>
      </w:pPr>
      <w:r>
        <w:t xml:space="preserve">The test set is 54 documents; the proposal commits to growing this to 50+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labeled documents per type for the final evaluation.</w:t>
      </w:r>
    </w:p>
    <w:p>
      <w:pPr>
        <w:pStyle w:val="Compact"/>
        <w:numPr>
          <w:ilvl w:val="0"/>
          <w:numId w:val="1005"/>
        </w:numPr>
      </w:pPr>
      <w:r>
        <w:t xml:space="preserve">Hybrid macro F1 (0.968) is at the optimistic end of the plausible range for diverse</w:t>
      </w:r>
      <w:r>
        <w:t xml:space="preserve"> </w:t>
      </w:r>
      <w:r>
        <w:t xml:space="preserve">GP formats; scanned/legacy layouts in production will pull it down (see the format</w:t>
      </w:r>
      <w:r>
        <w:t xml:space="preserve"> </w:t>
      </w:r>
      <w:r>
        <w:t xml:space="preserve">tags in the dataset for where to stress-test next).</w:t>
      </w:r>
    </w:p>
    <w:bookmarkEnd w:id="36"/>
    <w:bookmarkStart w:id="37" w:name="reproducibility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data/build_dataset.py                       </w:t>
      </w:r>
      <w:r>
        <w:rPr>
          <w:rStyle w:val="CommentTok"/>
        </w:rPr>
        <w:t xml:space="preserve"># regenerate test set + predictions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deliverable-1-extraction-accuracy/run_eval.py   </w:t>
      </w:r>
      <w:r>
        <w:rPr>
          <w:rStyle w:val="CommentTok"/>
        </w:rPr>
        <w:t xml:space="preserve"># metrics + figures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results/extraction_metrics.json</w:t>
      </w:r>
      <w:r>
        <w:t xml:space="preserve">, five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Scoring code:</w:t>
      </w:r>
      <w:r>
        <w:t xml:space="preserve"> </w:t>
      </w:r>
      <w:r>
        <w:rPr>
          <w:rStyle w:val="VerbatimChar"/>
        </w:rPr>
        <w:t xml:space="preserve">lib/onelp_eval/extraction_eval.py</w:t>
      </w:r>
      <w:r>
        <w:t xml:space="preserve">. Code citations above are to the production pipeline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src/lib/documents/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1 — Document Extraction Accuracy Evaluation</dc:title>
  <dc:creator/>
  <cp:keywords/>
  <dcterms:created xsi:type="dcterms:W3CDTF">2026-06-23T12:26:00Z</dcterms:created>
  <dcterms:modified xsi:type="dcterms:W3CDTF">2026-06-23T12:26:00Z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OneLP Capstone · Proof-of-Concept Deliverable 1 of 3</vt:lpwstr>
  </property>
</Properties>
</file>