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31.png" ContentType="image/png"/>
  <Override PartName="/word/media/rId11.png" ContentType="image/png"/>
  <Override PartName="/word/media/rId23.png" ContentType="image/png"/>
  <Override PartName="/word/media/rId27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Deliverable 2 — Cash-Flow Forecasting with Backtesting</w:t>
      </w:r>
    </w:p>
    <w:p>
      <w:pPr>
        <w:pStyle w:val="Subtitle"/>
      </w:pPr>
      <w:r>
        <w:t xml:space="preserve">OneLP Capstone · Proof-of-Concept Deliverable 2 of 3</w:t>
      </w:r>
    </w:p>
    <w:p>
      <w:pPr>
        <w:pStyle w:val="Date"/>
      </w:pPr>
      <w:r>
        <w:t xml:space="preserve">June 2026</w:t>
      </w:r>
    </w:p>
    <w:bookmarkStart w:id="39" w:name="X590d63e0a941b0531894059a7564513fba9a66f"/>
    <w:p>
      <w:pPr>
        <w:pStyle w:val="Heading1"/>
      </w:pPr>
      <w:r>
        <w:t xml:space="preserve">Deliverable 2 — Cash-Flow Forecasting with Backtesting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Evaluation Metric 2 (Cash-Flow</w:t>
      </w:r>
      <w:r>
        <w:rPr>
          <w:i/>
          <w:iCs/>
        </w:rPr>
        <w:t xml:space="preserve"> </w:t>
      </w:r>
      <w:r>
        <w:rPr>
          <w:i/>
          <w:iCs/>
        </w:rPr>
        <w:t xml:space="preserve">Forecast Error / MAE)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POC Deliverable 2</w:t>
      </w:r>
      <w:r>
        <w:t xml:space="preserve">: Monte Carlo simulation outputs with</w:t>
      </w:r>
      <w:r>
        <w:t xml:space="preserve"> </w:t>
      </w:r>
      <w:r>
        <w:t xml:space="preserve">P10/P50/P90 confidence bands,</w:t>
      </w:r>
      <w:r>
        <w:t xml:space="preserve"> </w:t>
      </w:r>
      <w:r>
        <w:rPr>
          <w:b/>
          <w:bCs/>
        </w:rPr>
        <w:t xml:space="preserve">backtesting</w:t>
      </w:r>
      <w:r>
        <w:t xml:space="preserve"> </w:t>
      </w:r>
      <w:r>
        <w:t xml:space="preserve">of predicted vs actual cash flows on</w:t>
      </w:r>
      <w:r>
        <w:t xml:space="preserve"> </w:t>
      </w:r>
      <w:r>
        <w:t xml:space="preserve">held-out quarters, a</w:t>
      </w:r>
      <w:r>
        <w:t xml:space="preserve"> </w:t>
      </w:r>
      <w:r>
        <w:rPr>
          <w:b/>
          <w:bCs/>
        </w:rPr>
        <w:t xml:space="preserve">stress-test comparison</w:t>
      </w:r>
      <w:r>
        <w:t xml:space="preserve"> </w:t>
      </w:r>
      <w:r>
        <w:t xml:space="preserve">across scenarios (base case →</w:t>
      </w:r>
      <w:r>
        <w:t xml:space="preserve"> </w:t>
      </w:r>
      <w:r>
        <w:t xml:space="preserve">liquidity crisis), and a</w:t>
      </w:r>
      <w:r>
        <w:t xml:space="preserve"> </w:t>
      </w:r>
      <w:r>
        <w:rPr>
          <w:b/>
          <w:bCs/>
        </w:rPr>
        <w:t xml:space="preserve">sensitivity analysis</w:t>
      </w:r>
      <w:r>
        <w:t xml:space="preserve"> </w:t>
      </w:r>
      <w:r>
        <w:t xml:space="preserve">identifying key forecast drivers.</w:t>
      </w:r>
    </w:p>
    <w:bookmarkStart w:id="9" w:name="objective-engine"/>
    <w:p>
      <w:pPr>
        <w:pStyle w:val="Heading2"/>
      </w:pPr>
      <w:r>
        <w:t xml:space="preserve">1. Objective &amp; engine</w:t>
      </w:r>
    </w:p>
    <w:p>
      <w:pPr>
        <w:pStyle w:val="FirstParagraph"/>
      </w:pPr>
      <w:r>
        <w:t xml:space="preserve">The analytics layer’s job is to tell an LP, with calibrated uncertainty,</w:t>
      </w:r>
      <w:r>
        <w:t xml:space="preserve"> </w:t>
      </w:r>
      <w:r>
        <w:rPr>
          <w:i/>
          <w:iCs/>
        </w:rPr>
        <w:t xml:space="preserve">how much cash</w:t>
      </w:r>
      <w:r>
        <w:rPr>
          <w:i/>
          <w:iCs/>
        </w:rPr>
        <w:t xml:space="preserve"> </w:t>
      </w:r>
      <w:r>
        <w:rPr>
          <w:i/>
          <w:iCs/>
        </w:rPr>
        <w:t xml:space="preserve">will move in and out of the portfolio over the next 1–2 years</w:t>
      </w:r>
      <w:r>
        <w:t xml:space="preserve"> </w:t>
      </w:r>
      <w:r>
        <w:t xml:space="preserve">— so they can size a</w:t>
      </w:r>
      <w:r>
        <w:t xml:space="preserve"> </w:t>
      </w:r>
      <w:r>
        <w:t xml:space="preserve">liquidity reserve and never miss a capital call. The engine under test is OneLP’s</w:t>
      </w:r>
      <w:r>
        <w:t xml:space="preserve"> </w:t>
      </w:r>
      <w:r>
        <w:t xml:space="preserve">production Monte Carlo simulator (</w:t>
      </w:r>
      <w:r>
        <w:rPr>
          <w:rStyle w:val="VerbatimChar"/>
        </w:rPr>
        <w:t xml:space="preserve">src/lib/forecasting/monte-carlo.ts</w:t>
      </w:r>
      <w:r>
        <w:t xml:space="preserve">): 1,000 seeded</w:t>
      </w:r>
      <w:r>
        <w:t xml:space="preserve"> </w:t>
      </w:r>
      <w:r>
        <w:t xml:space="preserve">paths, per-fund NAV dynamics derived from IRR/TVPI, asset-class volatility, and</w:t>
      </w:r>
      <w:r>
        <w:t xml:space="preserve"> </w:t>
      </w:r>
      <w:r>
        <w:rPr>
          <w:b/>
          <w:bCs/>
        </w:rPr>
        <w:t xml:space="preserve">Cholesky-decomposed cross-asset correlation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correlation.ts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Faithful port, not a re-model.</w:t>
      </w:r>
      <w:r>
        <w:t xml:space="preserve"> </w:t>
      </w:r>
      <w:r>
        <w:t xml:space="preserve">The Python engine driving this deliverable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lib/onelp_eval/mc_engine.py</w:t>
      </w:r>
      <w:r>
        <w:t xml:space="preserve">) is a</w:t>
      </w:r>
      <w:r>
        <w:t xml:space="preserve"> </w:t>
      </w:r>
      <w:r>
        <w:rPr>
          <w:b/>
          <w:bCs/>
        </w:rPr>
        <w:t xml:space="preserve">line-for-line port</w:t>
      </w:r>
      <w:r>
        <w:t xml:space="preserve"> </w:t>
      </w:r>
      <w:r>
        <w:t xml:space="preserve">of the TypeScript</w:t>
      </w:r>
      <w:r>
        <w:t xml:space="preserve"> </w:t>
      </w:r>
      <w:r>
        <w:t xml:space="preserve">production code — the same LCG seed, Box-Muller transform, deployment/distribution</w:t>
      </w:r>
      <w:r>
        <w:t xml:space="preserve"> </w:t>
      </w:r>
      <w:r>
        <w:t xml:space="preserve">rate bands (</w:t>
      </w:r>
      <w:r>
        <w:rPr>
          <w:rStyle w:val="VerbatimChar"/>
        </w:rPr>
        <w:t xml:space="preserve">historical.ts:276-345</w:t>
      </w:r>
      <w:r>
        <w:t xml:space="preserve">), 5×5 correlation matrix (</w:t>
      </w:r>
      <w:r>
        <w:rPr>
          <w:rStyle w:val="VerbatimChar"/>
        </w:rPr>
        <w:t xml:space="preserve">correlation.ts:48-54</w:t>
      </w:r>
      <w:r>
        <w:t xml:space="preserve">),</w:t>
      </w:r>
      <w:r>
        <w:t xml:space="preserve"> </w:t>
      </w:r>
      <w:r>
        <w:t xml:space="preserve">and stress scenarios (</w:t>
      </w:r>
      <w:r>
        <w:rPr>
          <w:rStyle w:val="VerbatimChar"/>
        </w:rPr>
        <w:t xml:space="preserve">scenarios.ts</w:t>
      </w:r>
      <w:r>
        <w:t xml:space="preserve">). Each function cites its source line. The</w:t>
      </w:r>
      <w:r>
        <w:t xml:space="preserve"> </w:t>
      </w:r>
      <w:r>
        <w:t xml:space="preserve">“realness”</w:t>
      </w:r>
      <w:r>
        <w:t xml:space="preserve"> </w:t>
      </w:r>
      <w:r>
        <w:t xml:space="preserve">of this deliverable is that it runs the</w:t>
      </w:r>
      <w:r>
        <w:t xml:space="preserve"> </w:t>
      </w:r>
      <w:r>
        <w:rPr>
          <w:i/>
          <w:iCs/>
        </w:rPr>
        <w:t xml:space="preserve">actual algorithm</w:t>
      </w:r>
      <w:r>
        <w:t xml:space="preserve">, not a textbook</w:t>
      </w:r>
      <w:r>
        <w:t xml:space="preserve"> </w:t>
      </w:r>
      <w:r>
        <w:t xml:space="preserve">approximation.</w:t>
      </w:r>
    </w:p>
    <w:p>
      <w:pPr>
        <w:pStyle w:val="FirstParagraph"/>
      </w:pPr>
      <w:r>
        <w:t xml:space="preserve">Target metric (proposal §5):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Absolute Error of P50 vs actual quarterly cash flow</w:t>
            </w:r>
          </w:p>
        </w:tc>
        <w:tc>
          <w:tcPr/>
          <w:p>
            <w:pPr>
              <w:pStyle w:val="Compact"/>
            </w:pPr>
            <w:r>
              <w:t xml:space="preserve">&lt; 15%</w:t>
            </w:r>
          </w:p>
        </w:tc>
      </w:tr>
    </w:tbl>
    <w:bookmarkEnd w:id="9"/>
    <w:bookmarkStart w:id="10" w:name="portfolio-data"/>
    <w:p>
      <w:pPr>
        <w:pStyle w:val="Heading2"/>
      </w:pPr>
      <w:r>
        <w:t xml:space="preserve">2. Portfolio &amp; data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calibrated reference portfolio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16 funds / $143M committed / $39M unfunded</w:t>
      </w:r>
      <w:r>
        <w:t xml:space="preserve"> </w:t>
      </w:r>
      <w:r>
        <w:t xml:space="preserve">across all five correlation asset classes: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 funds</w:t>
      </w:r>
      <w:r>
        <w:t xml:space="preserve"> </w:t>
      </w:r>
      <w:r>
        <w:t xml:space="preserve">are the real seeded Huergo Family Office demo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prisma/seed-huergo.ts</w:t>
      </w:r>
      <w:r>
        <w:t xml:space="preserve">) — exact commitment / paid-in / NAV / IRR / TVPI / DPI.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funds</w:t>
      </w:r>
      <w:r>
        <w:t xml:space="preserve"> </w:t>
      </w:r>
      <w:r>
        <w:t xml:space="preserve">extend coverage to PE buyout, real estate, private credit, growth and</w:t>
      </w:r>
      <w:r>
        <w:t xml:space="preserve"> </w:t>
      </w:r>
      <w:r>
        <w:t xml:space="preserve">infrastructure at institutional scale, so the cross-asset correlation model is</w:t>
      </w:r>
      <w:r>
        <w:t xml:space="preserve"> </w:t>
      </w:r>
      <w:r>
        <w:t xml:space="preserve">actually exercised.</w:t>
      </w:r>
    </w:p>
    <w:p>
      <w:pPr>
        <w:pStyle w:val="BlockText"/>
      </w:pPr>
      <w:r>
        <w:rPr>
          <w:b/>
          <w:bCs/>
        </w:rPr>
        <w:t xml:space="preserve">Why synthetic history.</w:t>
      </w:r>
      <w:r>
        <w:t xml:space="preserve"> </w:t>
      </w:r>
      <w:r>
        <w:t xml:space="preserve">Live pilot-client cash flows are confidential and cannot</w:t>
      </w:r>
      <w:r>
        <w:t xml:space="preserve"> </w:t>
      </w:r>
      <w:r>
        <w:t xml:space="preserve">ship inside a deliverable. We therefore generate each fund’s quarterly history with a</w:t>
      </w:r>
      <w:r>
        <w:t xml:space="preserve"> </w:t>
      </w:r>
      <w:r>
        <w:t xml:space="preserve">documented data-generating process driven by the</w:t>
      </w:r>
      <w:r>
        <w:t xml:space="preserve"> </w:t>
      </w:r>
      <w:r>
        <w:rPr>
          <w:b/>
          <w:bCs/>
        </w:rPr>
        <w:t xml:space="preserve">same rate bands the engine uses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historical.ts</w:t>
      </w:r>
      <w:r>
        <w:t xml:space="preserve">), plus mild realistic drift (deployment fades, distributions build)</w:t>
      </w:r>
      <w:r>
        <w:t xml:space="preserve"> </w:t>
      </w:r>
      <w:r>
        <w:t xml:space="preserve">and lognormal lumpiness. The engine never sees the DGP — only the truncated history —</w:t>
      </w:r>
      <w:r>
        <w:t xml:space="preserve"> </w:t>
      </w:r>
      <w:r>
        <w:t xml:space="preserve">so the held-out backtest is a fair test of the production calibration.</w:t>
      </w:r>
    </w:p>
    <w:bookmarkEnd w:id="10"/>
    <w:bookmarkStart w:id="35" w:name="results"/>
    <w:p>
      <w:pPr>
        <w:pStyle w:val="Heading2"/>
      </w:pPr>
      <w:r>
        <w:t xml:space="preserve">3. Results</w:t>
      </w:r>
    </w:p>
    <w:bookmarkStart w:id="14" w:name="probabilistic-forecast-p10p50p90"/>
    <w:p>
      <w:pPr>
        <w:pStyle w:val="Heading3"/>
      </w:pPr>
      <w:r>
        <w:t xml:space="preserve">3.1 Probabilistic forecast (P10/P50/P90)</w:t>
      </w:r>
    </w:p>
    <w:p>
      <w:pPr>
        <w:pStyle w:val="FirstParagraph"/>
      </w:pPr>
      <w:r>
        <w:t xml:space="preserve">The base-case 8-quarter forecast shows a mature, self-funding book: median net cash flow</w:t>
      </w:r>
      <w:r>
        <w:t xml:space="preserve"> </w:t>
      </w:r>
      <w:r>
        <w:t xml:space="preserve">is mildly positive (~$2.7M/quarter) as distributions outpace remaining calls, with a</w:t>
      </w:r>
      <w:r>
        <w:t xml:space="preserve"> </w:t>
      </w:r>
      <w:r>
        <w:t xml:space="preserve">P10–P90 band of roughly ±$0.3M around the median.</w:t>
      </w:r>
    </w:p>
    <w:p>
      <w:pPr>
        <w:pStyle w:val="CaptionedFigure"/>
      </w:pPr>
      <w:r>
        <w:drawing>
          <wp:inline>
            <wp:extent cx="5334000" cy="3791300"/>
            <wp:effectExtent b="0" l="0" r="0" t="0"/>
            <wp:docPr descr="Forecast fan chart" title="" id="12" name="Picture"/>
            <a:graphic>
              <a:graphicData uri="http://schemas.openxmlformats.org/drawingml/2006/picture">
                <pic:pic>
                  <pic:nvPicPr>
                    <pic:cNvPr descr="figures/forecast_fan_char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Forecast fan chart</w:t>
      </w:r>
    </w:p>
    <w:bookmarkEnd w:id="14"/>
    <w:bookmarkStart w:id="18" w:name="backtest-forecast-vs-actual-metric-2"/>
    <w:p>
      <w:pPr>
        <w:pStyle w:val="Heading3"/>
      </w:pPr>
      <w:r>
        <w:t xml:space="preserve">3.2 Backtest — forecast vs actual (Metric 2)</w:t>
      </w:r>
    </w:p>
    <w:p>
      <w:pPr>
        <w:pStyle w:val="FirstParagraph"/>
      </w:pPr>
      <w:r>
        <w:t xml:space="preserve">We run a</w:t>
      </w:r>
      <w:r>
        <w:t xml:space="preserve"> </w:t>
      </w:r>
      <w:r>
        <w:rPr>
          <w:b/>
          <w:bCs/>
        </w:rPr>
        <w:t xml:space="preserve">rolling-origin (expanding-window) backtest</w:t>
      </w:r>
      <w:r>
        <w:t xml:space="preserve">: at each origin from 8 to 12</w:t>
      </w:r>
      <w:r>
        <w:t xml:space="preserve"> </w:t>
      </w:r>
      <w:r>
        <w:t xml:space="preserve">quarters of history we train on the available history, forecast the next 4 quarters with</w:t>
      </w:r>
      <w:r>
        <w:t xml:space="preserve"> </w:t>
      </w:r>
      <w:r>
        <w:t xml:space="preserve">the MC engine, and compare the P50 against held-out actuals at the portfolio level —</w:t>
      </w:r>
      <w:r>
        <w:t xml:space="preserve"> </w:t>
      </w:r>
      <w:r>
        <w:rPr>
          <w:b/>
          <w:bCs/>
        </w:rPr>
        <w:t xml:space="preserve">5 origins × 4 quarters = 20 portfolio-quarter test points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Backtest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(% of gross quarterly flow)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(absolute)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$0.30M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 predictive-interval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under-coverage</w:t>
            </w:r>
          </w:p>
        </w:tc>
      </w:tr>
    </w:tbl>
    <w:p>
      <w:pPr>
        <w:pStyle w:val="BodyText"/>
      </w:pPr>
      <w:r>
        <w:t xml:space="preserve">The engine’s median forecast tracks held-out actuals to</w:t>
      </w:r>
      <w:r>
        <w:t xml:space="preserve"> </w:t>
      </w:r>
      <w:r>
        <w:rPr>
          <w:b/>
          <w:bCs/>
        </w:rPr>
        <w:t xml:space="preserve">5.0% MAE — comfortably inside</w:t>
      </w:r>
      <w:r>
        <w:rPr>
          <w:b/>
          <w:bCs/>
        </w:rPr>
        <w:t xml:space="preserve"> </w:t>
      </w:r>
      <w:r>
        <w:rPr>
          <w:b/>
          <w:bCs/>
        </w:rPr>
        <w:t xml:space="preserve">the 15% target</w:t>
      </w:r>
      <w:r>
        <w:t xml:space="preserve">. The 80% band covers 65% of points: empirically the intervals are</w:t>
      </w:r>
      <w:r>
        <w:t xml:space="preserve"> </w:t>
      </w:r>
      <w:r>
        <w:t xml:space="preserve">slightly</w:t>
      </w:r>
      <w:r>
        <w:t xml:space="preserve"> </w:t>
      </w:r>
      <w:r>
        <w:rPr>
          <w:i/>
          <w:iCs/>
        </w:rPr>
        <w:t xml:space="preserve">too tight</w:t>
      </w:r>
      <w:r>
        <w:t xml:space="preserve">, which is consistent with the conservative-but-narrow uncertainty</w:t>
      </w:r>
      <w:r>
        <w:t xml:space="preserve"> </w:t>
      </w:r>
      <w:r>
        <w:t xml:space="preserve">finding in Deliverable 3 and points to widening the P10/P90 bands.</w:t>
      </w:r>
    </w:p>
    <w:p>
      <w:pPr>
        <w:pStyle w:val="CaptionedFigure"/>
      </w:pPr>
      <w:r>
        <w:drawing>
          <wp:inline>
            <wp:extent cx="5334000" cy="3382867"/>
            <wp:effectExtent b="0" l="0" r="0" t="0"/>
            <wp:docPr descr="Backtest vs actual" title="" id="16" name="Picture"/>
            <a:graphic>
              <a:graphicData uri="http://schemas.openxmlformats.org/drawingml/2006/picture">
                <pic:pic>
                  <pic:nvPicPr>
                    <pic:cNvPr descr="figures/backtest_vs_actua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Backtest vs actual</w:t>
      </w:r>
    </w:p>
    <w:bookmarkEnd w:id="18"/>
    <w:bookmarkStart w:id="22" w:name="Xd8916b3a7c0053191a3c4f0efe76f328116b4b8"/>
    <w:p>
      <w:pPr>
        <w:pStyle w:val="Heading3"/>
      </w:pPr>
      <w:r>
        <w:t xml:space="preserve">3.3 Stress testing (base case → liquidity crisis)</w:t>
      </w:r>
    </w:p>
    <w:p>
      <w:pPr>
        <w:pStyle w:val="FirstParagraph"/>
      </w:pPr>
      <w:r>
        <w:t xml:space="preserve">Each of the engine’s stress scenarios (</w:t>
      </w:r>
      <w:r>
        <w:rPr>
          <w:rStyle w:val="VerbatimChar"/>
        </w:rPr>
        <w:t xml:space="preserve">scenarios.ts</w:t>
      </w:r>
      <w:r>
        <w:t xml:space="preserve"> </w:t>
      </w:r>
      <w:r>
        <w:t xml:space="preserve">— NAV shock, call multiplier,</w:t>
      </w:r>
      <w:r>
        <w:t xml:space="preserve"> </w:t>
      </w:r>
      <w:r>
        <w:t xml:space="preserve">distribution multiplier) is run over the 8-quarter horizon. Cumulative net cash flow</w:t>
      </w:r>
      <w:r>
        <w:t xml:space="preserve"> </w:t>
      </w:r>
      <w:r>
        <w:t xml:space="preserve">moves monotonically from deeply negative under a Liquidity Crisis to strongly positive</w:t>
      </w:r>
      <w:r>
        <w:t xml:space="preserve"> </w:t>
      </w:r>
      <w:r>
        <w:t xml:space="preserve">under a Rapid Recovery — and the implied 95%-confidence reserve scales with severity.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 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 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8q cumulative net 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 (95%)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Crisis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−$6.8M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−$0.7M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Crunch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+$5.2M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Correction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+$7.6M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 Downturn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+$15.1M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+$22.3M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+$37.3M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$0.0M</w:t>
            </w:r>
          </w:p>
        </w:tc>
      </w:tr>
    </w:tbl>
    <w:p>
      <w:pPr>
        <w:pStyle w:val="CaptionedFigure"/>
      </w:pPr>
      <w:r>
        <w:drawing>
          <wp:inline>
            <wp:extent cx="5334000" cy="3215774"/>
            <wp:effectExtent b="0" l="0" r="0" t="0"/>
            <wp:docPr descr="Stress scenarios" title="" id="20" name="Picture"/>
            <a:graphic>
              <a:graphicData uri="http://schemas.openxmlformats.org/drawingml/2006/picture">
                <pic:pic>
                  <pic:nvPicPr>
                    <pic:cNvPr descr="figures/stress_scenario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Stress scenarios</w:t>
      </w:r>
    </w:p>
    <w:p>
      <w:pPr>
        <w:pStyle w:val="BlockText"/>
      </w:pPr>
      <w:r>
        <w:rPr>
          <w:b/>
          <w:bCs/>
        </w:rPr>
        <w:t xml:space="preserve">Transparency note.</w:t>
      </w:r>
      <w:r>
        <w:t xml:space="preserve"> </w:t>
      </w:r>
      <w:r>
        <w:t xml:space="preserve">The proposal cites</w:t>
      </w:r>
      <w:r>
        <w:t xml:space="preserve"> </w:t>
      </w:r>
      <w:r>
        <w:t xml:space="preserve">“8 pre-defined scenarios”</w:t>
      </w:r>
      <w:r>
        <w:t xml:space="preserve">; the repository’s</w:t>
      </w:r>
      <w:r>
        <w:t xml:space="preserve"> </w:t>
      </w:r>
      <w:r>
        <w:rPr>
          <w:rStyle w:val="VerbatimChar"/>
        </w:rPr>
        <w:t xml:space="preserve">STRESS_SCENARIOS</w:t>
      </w:r>
      <w:r>
        <w:t xml:space="preserve"> </w:t>
      </w:r>
      <w:r>
        <w:t xml:space="preserve">array (</w:t>
      </w:r>
      <w:r>
        <w:rPr>
          <w:rStyle w:val="VerbatimChar"/>
        </w:rPr>
        <w:t xml:space="preserve">scenarios.ts:35-103</w:t>
      </w:r>
      <w:r>
        <w:t xml:space="preserve">) currently defines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(base case +</w:t>
      </w:r>
      <w:r>
        <w:t xml:space="preserve"> </w:t>
      </w:r>
      <w:r>
        <w:t xml:space="preserve">6 stress scenarios). All seven are reported above. Adding an eighth (e.g. a</w:t>
      </w:r>
      <w:r>
        <w:t xml:space="preserve"> </w:t>
      </w:r>
      <w:r>
        <w:t xml:space="preserve">stagflation / rate-shock scenario) is a one-line addition to that array.</w:t>
      </w:r>
    </w:p>
    <w:bookmarkEnd w:id="22"/>
    <w:bookmarkStart w:id="26" w:name="liquidity-reserve-at-90-95-confidence"/>
    <w:p>
      <w:pPr>
        <w:pStyle w:val="Heading3"/>
      </w:pPr>
      <w:r>
        <w:t xml:space="preserve">3.4 Liquidity reserve at 90% / 95% confidence</w:t>
      </w:r>
    </w:p>
    <w:p>
      <w:pPr>
        <w:pStyle w:val="FirstParagraph"/>
      </w:pPr>
      <w:r>
        <w:t xml:space="preserve">A mature distributing book needs essentially</w:t>
      </w:r>
      <w:r>
        <w:t xml:space="preserve"> </w:t>
      </w:r>
      <w:r>
        <w:rPr>
          <w:b/>
          <w:bCs/>
        </w:rPr>
        <w:t xml:space="preserve">no base-case reserve</w:t>
      </w:r>
      <w:r>
        <w:t xml:space="preserve"> </w:t>
      </w:r>
      <w:r>
        <w:t xml:space="preserve">— distributions</w:t>
      </w:r>
      <w:r>
        <w:t xml:space="preserve"> </w:t>
      </w:r>
      <w:r>
        <w:t xml:space="preserve">self-fund the calls. The reserve only bites under stress: under a</w:t>
      </w:r>
      <w:r>
        <w:t xml:space="preserve"> </w:t>
      </w:r>
      <w:r>
        <w:rPr>
          <w:b/>
          <w:bCs/>
        </w:rPr>
        <w:t xml:space="preserve">Liquidity Crisis</w:t>
      </w:r>
      <w:r>
        <w:t xml:space="preserve"> </w:t>
      </w:r>
      <w:r>
        <w:t xml:space="preserve">the cumulative net position draws down to a maximum funding gap requiring a reserve of</w:t>
      </w:r>
      <w:r>
        <w:t xml:space="preserve"> </w:t>
      </w:r>
      <w:r>
        <w:rPr>
          <w:b/>
          <w:bCs/>
        </w:rPr>
        <w:t xml:space="preserve">$7.8M (90% confidence) / $8.1M (95% confidence)</w:t>
      </w:r>
      <w:r>
        <w:t xml:space="preserve">. This is the actionable output: the</w:t>
      </w:r>
      <w:r>
        <w:t xml:space="preserve"> </w:t>
      </w:r>
      <w:r>
        <w:t xml:space="preserve">buffer the LP should hold to survive the worst modeled quarter without a forced secondary</w:t>
      </w:r>
      <w:r>
        <w:t xml:space="preserve"> </w:t>
      </w:r>
      <w:r>
        <w:t xml:space="preserve">sale.</w:t>
      </w:r>
    </w:p>
    <w:p>
      <w:pPr>
        <w:pStyle w:val="CaptionedFigure"/>
      </w:pPr>
      <w:r>
        <w:drawing>
          <wp:inline>
            <wp:extent cx="5334000" cy="3482990"/>
            <wp:effectExtent b="0" l="0" r="0" t="0"/>
            <wp:docPr descr="Liquidity reserve" title="" id="24" name="Picture"/>
            <a:graphic>
              <a:graphicData uri="http://schemas.openxmlformats.org/drawingml/2006/picture">
                <pic:pic>
                  <pic:nvPicPr>
                    <pic:cNvPr descr="figures/liquidity_reserv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Liquidity reserve</w:t>
      </w:r>
    </w:p>
    <w:bookmarkEnd w:id="26"/>
    <w:bookmarkStart w:id="30" w:name="Xc3631943d8ee1ab41ff2b16f77366e618a8fb39"/>
    <w:p>
      <w:pPr>
        <w:pStyle w:val="Heading3"/>
      </w:pPr>
      <w:r>
        <w:t xml:space="preserve">3.5 Sensitivity — what actually moves the forecast (±25%)</w:t>
      </w:r>
    </w:p>
    <w:p>
      <w:pPr>
        <w:pStyle w:val="FirstParagraph"/>
      </w:pPr>
      <w:r>
        <w:t xml:space="preserve">A one-at-a-time ±25% perturbation of three key drivers ranks them by their swing on</w:t>
      </w:r>
      <w:r>
        <w:t xml:space="preserve"> </w:t>
      </w:r>
      <w:r>
        <w:t xml:space="preserve">8-quarter cumulative net cash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Swing on cumulative net cash flow (±25%)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 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±$16.8M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±$13.9M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Capital-call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∓$4.8M</w:t>
            </w:r>
          </w:p>
        </w:tc>
      </w:tr>
    </w:tbl>
    <w:p>
      <w:pPr>
        <w:pStyle w:val="BodyText"/>
      </w:pPr>
      <w:r>
        <w:rPr>
          <w:b/>
          <w:bCs/>
        </w:rPr>
        <w:t xml:space="preserve">NAV level and distribution rate dominate</w:t>
      </w:r>
      <w:r>
        <w:t xml:space="preserve">; the call rate matters ~3× less because the</w:t>
      </w:r>
      <w:r>
        <w:t xml:space="preserve"> </w:t>
      </w:r>
      <w:r>
        <w:t xml:space="preserve">book is mostly deployed (only $39M unfunded). For an LP, this says forecast quality</w:t>
      </w:r>
      <w:r>
        <w:t xml:space="preserve"> </w:t>
      </w:r>
      <w:r>
        <w:t xml:space="preserve">hinges on NAV freshness and distribution-pacing assumptions far more than on call timing.</w:t>
      </w:r>
    </w:p>
    <w:p>
      <w:pPr>
        <w:pStyle w:val="CaptionedFigure"/>
      </w:pPr>
      <w:r>
        <w:drawing>
          <wp:inline>
            <wp:extent cx="5334000" cy="2772623"/>
            <wp:effectExtent b="0" l="0" r="0" t="0"/>
            <wp:docPr descr="Sensitivity tornado" title="" id="28" name="Picture"/>
            <a:graphic>
              <a:graphicData uri="http://schemas.openxmlformats.org/drawingml/2006/picture">
                <pic:pic>
                  <pic:nvPicPr>
                    <pic:cNvPr descr="figures/sensitivity_tornad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Sensitivity tornado</w:t>
      </w:r>
    </w:p>
    <w:bookmarkEnd w:id="30"/>
    <w:bookmarkStart w:id="34" w:name="X74dd1842963662633df9a38d3a198a28aba8c12"/>
    <w:p>
      <w:pPr>
        <w:pStyle w:val="Heading3"/>
      </w:pPr>
      <w:r>
        <w:t xml:space="preserve">3.6 Cross-asset correlation — and an honest engine limitation</w:t>
      </w:r>
    </w:p>
    <w:p>
      <w:pPr>
        <w:pStyle w:val="FirstParagraph"/>
      </w:pPr>
      <w:r>
        <w:t xml:space="preserve">The Cholesky correlation model is a headline feature, but it surfaces a</w:t>
      </w:r>
      <w:r>
        <w:t xml:space="preserve"> </w:t>
      </w:r>
      <w:r>
        <w:rPr>
          <w:b/>
          <w:bCs/>
        </w:rPr>
        <w:t xml:space="preserve">real,</w:t>
      </w:r>
      <w:r>
        <w:rPr>
          <w:b/>
          <w:bCs/>
        </w:rPr>
        <w:t xml:space="preserve"> </w:t>
      </w:r>
      <w:r>
        <w:rPr>
          <w:b/>
          <w:bCs/>
        </w:rPr>
        <w:t xml:space="preserve">documented limitation</w:t>
      </w:r>
      <w:r>
        <w:t xml:space="preserve">: with 16 funds sharing only 6 asset classes, the per-fund</w:t>
      </w:r>
      <w:r>
        <w:t xml:space="preserve"> </w:t>
      </w:r>
      <w:r>
        <w:t xml:space="preserve">correlation matrix has</w:t>
      </w:r>
      <w:r>
        <w:t xml:space="preserve"> </w:t>
      </w:r>
      <w:r>
        <w:rPr>
          <w:b/>
          <w:bCs/>
        </w:rPr>
        <w:t xml:space="preserve">duplicate rows → it is singular → Cholesky fails → the engine</w:t>
      </w:r>
      <w:r>
        <w:rPr>
          <w:b/>
          <w:bCs/>
        </w:rPr>
        <w:t xml:space="preserve"> </w:t>
      </w:r>
      <w:r>
        <w:rPr>
          <w:b/>
          <w:bCs/>
        </w:rPr>
        <w:t xml:space="preserve">correctly falls back to independent simulation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monte-carlo.ts:336-341</w:t>
      </w:r>
      <w:r>
        <w:t xml:space="preserve">). So on the</w:t>
      </w:r>
      <w:r>
        <w:t xml:space="preserve"> </w:t>
      </w:r>
      <w:r>
        <w:t xml:space="preserve">full book, correlation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engage.</w:t>
      </w:r>
    </w:p>
    <w:p>
      <w:pPr>
        <w:pStyle w:val="BodyText"/>
      </w:pPr>
      <w:r>
        <w:t xml:space="preserve">To demonstrate the correlation path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work, we run a</w:t>
      </w:r>
      <w:r>
        <w:t xml:space="preserve"> </w:t>
      </w:r>
      <w:r>
        <w:rPr>
          <w:b/>
          <w:bCs/>
        </w:rPr>
        <w:t xml:space="preserve">5-fund, one-per-class</w:t>
      </w:r>
      <w:r>
        <w:t xml:space="preserve"> </w:t>
      </w:r>
      <w:r>
        <w:t xml:space="preserve">sub-portfolio where the 5×5 matrix is positive-definite. Turning correlation on widens</w:t>
      </w:r>
      <w:r>
        <w:t xml:space="preserve"> </w:t>
      </w:r>
      <w:r>
        <w:t xml:space="preserve">the aggregate outcome distribution by</w:t>
      </w:r>
      <w:r>
        <w:t xml:space="preserve"> </w:t>
      </w:r>
      <w:r>
        <w:rPr>
          <w:b/>
          <w:bCs/>
        </w:rPr>
        <w:t xml:space="preserve">+39% in standard deviation</w:t>
      </w:r>
      <w:r>
        <w:t xml:space="preserve"> </w:t>
      </w:r>
      <w:r>
        <w:t xml:space="preserve">(σ $1.17M vs</w:t>
      </w:r>
      <w:r>
        <w:t xml:space="preserve"> </w:t>
      </w:r>
      <w:r>
        <w:t xml:space="preserve">$0.85M) — exactly the reduced-diversification effect you expect when PE and VC are</w:t>
      </w:r>
      <w:r>
        <w:t xml:space="preserve"> </w:t>
      </w:r>
      <w:r>
        <w:t xml:space="preserve">0.55–0.80 correlated.</w:t>
      </w:r>
    </w:p>
    <w:p>
      <w:pPr>
        <w:pStyle w:val="CaptionedFigure"/>
      </w:pPr>
      <w:r>
        <w:drawing>
          <wp:inline>
            <wp:extent cx="5334000" cy="2645097"/>
            <wp:effectExtent b="0" l="0" r="0" t="0"/>
            <wp:docPr descr="Correlation effect" title="" id="32" name="Picture"/>
            <a:graphic>
              <a:graphicData uri="http://schemas.openxmlformats.org/drawingml/2006/picture">
                <pic:pic>
                  <pic:nvPicPr>
                    <pic:cNvPr descr="figures/correlation_effec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effect</w:t>
      </w:r>
    </w:p>
    <w:bookmarkEnd w:id="34"/>
    <w:bookmarkEnd w:id="35"/>
    <w:bookmarkStart w:id="36" w:name="findings"/>
    <w:p>
      <w:pPr>
        <w:pStyle w:val="Heading2"/>
      </w:pPr>
      <w:r>
        <w:t xml:space="preserve">4.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engine meets the forecast-accuracy target</w:t>
      </w:r>
      <w:r>
        <w:t xml:space="preserve"> </w:t>
      </w:r>
      <w:r>
        <w:t xml:space="preserve">— 5.0% MAE on a 20-point rolling</w:t>
      </w:r>
      <w:r>
        <w:t xml:space="preserve"> </w:t>
      </w:r>
      <w:r>
        <w:t xml:space="preserve">backtest, well inside the &lt; 15% bar, for a mature diversified book.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Predictive intervals are slightly too narrow</w:t>
      </w:r>
      <w:r>
        <w:t xml:space="preserve"> </w:t>
      </w:r>
      <w:r>
        <w:t xml:space="preserve">(65% empirical coverage of an 80%</w:t>
      </w:r>
      <w:r>
        <w:t xml:space="preserve"> </w:t>
      </w:r>
      <w:r>
        <w:t xml:space="preserve">band) — a concrete, fixable calibration issue (widen P10/P90).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Reserve sizing is stress-driven, not base-case driven</w:t>
      </w:r>
      <w:r>
        <w:t xml:space="preserve"> </w:t>
      </w:r>
      <w:r>
        <w:t xml:space="preserve">— the product’s value is in</w:t>
      </w:r>
      <w:r>
        <w:t xml:space="preserve"> </w:t>
      </w:r>
      <w:r>
        <w:t xml:space="preserve">quantifying the ~$8M buffer needed to survive a liquidity crisis, not the (≈0)</w:t>
      </w:r>
      <w:r>
        <w:t xml:space="preserve"> </w:t>
      </w:r>
      <w:r>
        <w:t xml:space="preserve">base-case reserve.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 and distribution pacing are the forecast’s load-bearing inputs</w:t>
      </w:r>
      <w:r>
        <w:t xml:space="preserve">; call timing is</w:t>
      </w:r>
      <w:r>
        <w:t xml:space="preserve"> </w:t>
      </w:r>
      <w:r>
        <w:t xml:space="preserve">secondary for a mostly-deployed book.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correlation model silently no-ops on realistic multi-fund books</w:t>
      </w:r>
      <w:r>
        <w:t xml:space="preserve"> </w:t>
      </w:r>
      <w:r>
        <w:t xml:space="preserve">— a genuine</w:t>
      </w:r>
      <w:r>
        <w:t xml:space="preserve"> </w:t>
      </w:r>
      <w:r>
        <w:t xml:space="preserve">limitation worth fixing (see Deliverable 3): regularize the matrix (ridge/shrinkage)</w:t>
      </w:r>
      <w:r>
        <w:t xml:space="preserve"> </w:t>
      </w:r>
      <w:r>
        <w:t xml:space="preserve">or model correlation at the asset-class level rather than per-fund.</w:t>
      </w:r>
    </w:p>
    <w:bookmarkEnd w:id="36"/>
    <w:bookmarkStart w:id="37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03"/>
        </w:numPr>
      </w:pPr>
      <w:r>
        <w:t xml:space="preserve">Synthetic-but-calibrated history, not live client cash flows (§2). The MAE validates</w:t>
      </w:r>
      <w:r>
        <w:t xml:space="preserve"> </w:t>
      </w:r>
      <w:r>
        <w:t xml:space="preserve">the engine’s calibration against a fair, engine-agnostic DGP; production MAE should be</w:t>
      </w:r>
      <w:r>
        <w:t xml:space="preserve"> </w:t>
      </w:r>
      <w:r>
        <w:t xml:space="preserve">re-measured against real held-out quarters per pilot client.</w:t>
      </w:r>
    </w:p>
    <w:p>
      <w:pPr>
        <w:pStyle w:val="Compact"/>
        <w:numPr>
          <w:ilvl w:val="0"/>
          <w:numId w:val="1003"/>
        </w:numPr>
      </w:pPr>
      <w:r>
        <w:t xml:space="preserve">Backtest horizon is 4 quarters from each origin; longer horizons will degrade MAE and</w:t>
      </w:r>
      <w:r>
        <w:t xml:space="preserve"> </w:t>
      </w:r>
      <w:r>
        <w:t xml:space="preserve">should be reported separately.</w:t>
      </w:r>
    </w:p>
    <w:p>
      <w:pPr>
        <w:pStyle w:val="Compact"/>
        <w:numPr>
          <w:ilvl w:val="0"/>
          <w:numId w:val="1003"/>
        </w:numPr>
      </w:pPr>
      <w:r>
        <w:t xml:space="preserve">Reserve figures assume the modeled stress multipliers; tail events beyond the</w:t>
      </w:r>
      <w:r>
        <w:t xml:space="preserve"> </w:t>
      </w:r>
      <w:r>
        <w:t xml:space="preserve">Liquidity Crisis scenario are not captured.</w:t>
      </w:r>
    </w:p>
    <w:bookmarkEnd w:id="37"/>
    <w:bookmarkStart w:id="38" w:name="reproducibility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deliverable-2-forecasting-backtest/run_backtest.py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results/forecast_metrics.json</w:t>
      </w:r>
      <w:r>
        <w:t xml:space="preserve">, six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Engine:</w:t>
      </w:r>
      <w:r>
        <w:t xml:space="preserve"> </w:t>
      </w:r>
      <w:r>
        <w:rPr>
          <w:rStyle w:val="VerbatimChar"/>
        </w:rPr>
        <w:t xml:space="preserve">lib/onelp_eval/mc_engine.py</w:t>
      </w:r>
      <w:r>
        <w:t xml:space="preserve"> </w:t>
      </w:r>
      <w:r>
        <w:t xml:space="preserve">(faithful port of</w:t>
      </w:r>
      <w:r>
        <w:t xml:space="preserve"> </w:t>
      </w:r>
      <w:r>
        <w:rPr>
          <w:rStyle w:val="VerbatimChar"/>
        </w:rPr>
        <w:t xml:space="preserve">src/lib/forecasting/</w:t>
      </w:r>
      <w:r>
        <w:t xml:space="preserve">).</w:t>
      </w:r>
      <w:r>
        <w:t xml:space="preserve"> </w:t>
      </w:r>
      <w:r>
        <w:t xml:space="preserve">Portfolio + history:</w:t>
      </w:r>
      <w:r>
        <w:t xml:space="preserve"> </w:t>
      </w:r>
      <w:r>
        <w:rPr>
          <w:rStyle w:val="VerbatimChar"/>
        </w:rPr>
        <w:t xml:space="preserve">lib/onelp_eval/portfolio.py</w:t>
      </w:r>
      <w:r>
        <w:t xml:space="preserve">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11" Target="media/rId11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2 — Cash-Flow Forecasting with Backtesting</dc:title>
  <dc:creator/>
  <cp:keywords/>
  <dcterms:created xsi:type="dcterms:W3CDTF">2026-06-23T12:26:04Z</dcterms:created>
  <dcterms:modified xsi:type="dcterms:W3CDTF">2026-06-23T12:26:04Z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OneLP Capstone · Proof-of-Concept Deliverable 2 of 3</vt:lpwstr>
  </property>
</Properties>
</file>