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4.png" ContentType="image/png"/>
  <Override PartName="/word/media/rId27.png" ContentType="image/png"/>
  <Override PartName="/word/media/rId1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Deliverable 3 — Pipeline &amp; Model Analysis</w:t>
      </w:r>
    </w:p>
    <w:p>
      <w:pPr>
        <w:pStyle w:val="Subtitle"/>
      </w:pPr>
      <w:r>
        <w:t xml:space="preserve">OneLP Capstone · Proof-of-Concept Deliverable 3 of 3</w:t>
      </w:r>
    </w:p>
    <w:p>
      <w:pPr>
        <w:pStyle w:val="Date"/>
      </w:pPr>
      <w:r>
        <w:t xml:space="preserve">June 2026</w:t>
      </w:r>
    </w:p>
    <w:bookmarkStart w:id="34" w:name="deliverable-3-pipeline-model-analysis"/>
    <w:p>
      <w:pPr>
        <w:pStyle w:val="Heading1"/>
      </w:pPr>
      <w:r>
        <w:t xml:space="preserve">Deliverable 3 — Pipeline &amp; Model Analysis</w:t>
      </w:r>
    </w:p>
    <w:p>
      <w:pPr>
        <w:pStyle w:val="BlockText"/>
      </w:pPr>
      <w:r>
        <w:rPr>
          <w:b/>
          <w:bCs/>
        </w:rPr>
        <w:t xml:space="preserve">Proposal mapping.</w:t>
      </w:r>
      <w:r>
        <w:t xml:space="preserve"> </w:t>
      </w:r>
      <w:r>
        <w:t xml:space="preserve">This deliverable implements</w:t>
      </w:r>
      <w:r>
        <w:t xml:space="preserve"> </w:t>
      </w:r>
      <w:r>
        <w:rPr>
          <w:i/>
          <w:iCs/>
        </w:rPr>
        <w:t xml:space="preserve">POC Deliverable 3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Evaluation Metric 3 (End-to-End Latency)</w:t>
      </w:r>
      <w:r>
        <w:t xml:space="preserve">: a</w:t>
      </w:r>
      <w:r>
        <w:t xml:space="preserve"> </w:t>
      </w:r>
      <w:r>
        <w:rPr>
          <w:b/>
          <w:bCs/>
        </w:rPr>
        <w:t xml:space="preserve">confidence-calibration analysis</w:t>
      </w:r>
      <w:r>
        <w:t xml:space="preserve"> </w:t>
      </w:r>
      <w:r>
        <w:t xml:space="preserve">(does reported confidence correspond to actual correctness?),</w:t>
      </w:r>
      <w:r>
        <w:t xml:space="preserve"> </w:t>
      </w:r>
      <w:r>
        <w:rPr>
          <w:b/>
          <w:bCs/>
        </w:rPr>
        <w:t xml:space="preserve">end-to-end processing</w:t>
      </w:r>
      <w:r>
        <w:rPr>
          <w:b/>
          <w:bCs/>
        </w:rPr>
        <w:t xml:space="preserve"> </w:t>
      </w:r>
      <w:r>
        <w:rPr>
          <w:b/>
          <w:bCs/>
        </w:rPr>
        <w:t xml:space="preserve">latency</w:t>
      </w:r>
      <w:r>
        <w:t xml:space="preserve">, a discussion of</w:t>
      </w:r>
      <w:r>
        <w:t xml:space="preserve"> </w:t>
      </w:r>
      <w:r>
        <w:rPr>
          <w:b/>
          <w:bCs/>
        </w:rPr>
        <w:t xml:space="preserve">limitations</w:t>
      </w:r>
      <w:r>
        <w:t xml:space="preserve"> </w:t>
      </w:r>
      <w:r>
        <w:t xml:space="preserve">(data sparsity, cold-start, GP-format</w:t>
      </w:r>
      <w:r>
        <w:t xml:space="preserve"> </w:t>
      </w:r>
      <w:r>
        <w:t xml:space="preserve">generalization), and the</w:t>
      </w:r>
      <w:r>
        <w:t xml:space="preserve"> </w:t>
      </w:r>
      <w:r>
        <w:rPr>
          <w:b/>
          <w:bCs/>
        </w:rPr>
        <w:t xml:space="preserve">key trade-off findings</w:t>
      </w:r>
      <w:r>
        <w:t xml:space="preserve"> </w:t>
      </w:r>
      <w:r>
        <w:t xml:space="preserve">and their implications for</w:t>
      </w:r>
      <w:r>
        <w:t xml:space="preserve"> </w:t>
      </w:r>
      <w:r>
        <w:t xml:space="preserve">production deployment.</w:t>
      </w:r>
    </w:p>
    <w:bookmarkStart w:id="9" w:name="why-this-matters"/>
    <w:p>
      <w:pPr>
        <w:pStyle w:val="Heading2"/>
      </w:pPr>
      <w:r>
        <w:t xml:space="preserve">1. Why this matters</w:t>
      </w:r>
    </w:p>
    <w:p>
      <w:pPr>
        <w:pStyle w:val="FirstParagraph"/>
      </w:pPr>
      <w:r>
        <w:t xml:space="preserve">The pipeline does not just extract — it</w:t>
      </w:r>
      <w:r>
        <w:t xml:space="preserve"> </w:t>
      </w:r>
      <w:r>
        <w:rPr>
          <w:b/>
          <w:bCs/>
        </w:rPr>
        <w:t xml:space="preserve">decides what to trust</w:t>
      </w:r>
      <w:r>
        <w:t xml:space="preserve">. High-confidence</w:t>
      </w:r>
      <w:r>
        <w:t xml:space="preserve"> </w:t>
      </w:r>
      <w:r>
        <w:t xml:space="preserve">extractions auto-apply to fund records (NAV, capital-call notices, distributions);</w:t>
      </w:r>
      <w:r>
        <w:t xml:space="preserve"> </w:t>
      </w:r>
      <w:r>
        <w:t xml:space="preserve">low-confidence ones route to a human review queue (</w:t>
      </w:r>
      <w:r>
        <w:rPr>
          <w:rStyle w:val="VerbatimChar"/>
        </w:rPr>
        <w:t xml:space="preserve">router.ts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validate.ts</w:t>
      </w:r>
      <w:r>
        <w:t xml:space="preserve">). The</w:t>
      </w:r>
      <w:r>
        <w:t xml:space="preserve"> </w:t>
      </w:r>
      <w:r>
        <w:t xml:space="preserve">integrity of every downstream metric therefore depends on one question:</w:t>
      </w:r>
      <w:r>
        <w:t xml:space="preserve"> </w:t>
      </w:r>
      <w:r>
        <w:rPr>
          <w:b/>
          <w:bCs/>
        </w:rPr>
        <w:t xml:space="preserve">when the pipeline says it is 0.9 confident, is it right 90% of the time?</w:t>
      </w:r>
      <w:r>
        <w:t xml:space="preserve"> </w:t>
      </w:r>
      <w:r>
        <w:t xml:space="preserve">This</w:t>
      </w:r>
      <w:r>
        <w:t xml:space="preserve"> </w:t>
      </w:r>
      <w:r>
        <w:t xml:space="preserve">deliverable measures that, plus the latency budget and the operating trade-offs.</w:t>
      </w:r>
    </w:p>
    <w:bookmarkEnd w:id="9"/>
    <w:bookmarkStart w:id="26" w:name="confidence-calibration"/>
    <w:p>
      <w:pPr>
        <w:pStyle w:val="Heading2"/>
      </w:pPr>
      <w:r>
        <w:t xml:space="preserve">2. Confidence calibration</w:t>
      </w:r>
    </w:p>
    <w:bookmarkStart w:id="13" w:name="reliability-diagram"/>
    <w:p>
      <w:pPr>
        <w:pStyle w:val="Heading3"/>
      </w:pPr>
      <w:r>
        <w:t xml:space="preserve">2.1 Reliability diagram</w:t>
      </w:r>
    </w:p>
    <w:p>
      <w:pPr>
        <w:pStyle w:val="FirstParagraph"/>
      </w:pPr>
      <w:r>
        <w:t xml:space="preserve">Across</w:t>
      </w:r>
      <w:r>
        <w:t xml:space="preserve"> </w:t>
      </w:r>
      <w:r>
        <w:rPr>
          <w:b/>
          <w:bCs/>
        </w:rPr>
        <w:t xml:space="preserve">462 hybrid-extracted fields</w:t>
      </w:r>
      <w:r>
        <w:t xml:space="preserve">, reported confidence is binned and compared to</w:t>
      </w:r>
      <w:r>
        <w:t xml:space="preserve"> </w:t>
      </w:r>
      <w:r>
        <w:t xml:space="preserve">empirical accuracy.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Calibration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Calibration Error (ECE)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reported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empirical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(confidence − accuracy)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−4.5 pts (conservative)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 the pipeline is conservatively calibrated — 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under-states</w:t>
      </w:r>
      <w:r>
        <w:rPr>
          <w:b/>
          <w:bCs/>
        </w:rPr>
        <w:t xml:space="preserve"> </w:t>
      </w:r>
      <w:r>
        <w:rPr>
          <w:b/>
          <w:bCs/>
        </w:rPr>
        <w:t xml:space="preserve">its own</w:t>
      </w:r>
      <w:r>
        <w:rPr>
          <w:b/>
          <w:bCs/>
        </w:rPr>
        <w:t xml:space="preserve"> </w:t>
      </w:r>
      <w:r>
        <w:rPr>
          <w:b/>
          <w:bCs/>
        </w:rPr>
        <w:t xml:space="preserve">reliability.</w:t>
      </w:r>
      <w:r>
        <w:t xml:space="preserve"> </w:t>
      </w:r>
      <w:r>
        <w:t xml:space="preserve">In the high-confidence bins where the bulk of fields fall (0.85 and 0.95),</w:t>
      </w:r>
      <w:r>
        <w:t xml:space="preserve"> </w:t>
      </w:r>
      <w:r>
        <w:t xml:space="preserve">empirical accuracy sits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diagonal: the model is right more often than it</w:t>
      </w:r>
      <w:r>
        <w:t xml:space="preserve"> </w:t>
      </w:r>
      <w:r>
        <w:t xml:space="preserve">claims. This is the safe direction to be wrong in for financial data, but it has a cost:</w:t>
      </w:r>
      <w:r>
        <w:t xml:space="preserve"> </w:t>
      </w:r>
      <w:r>
        <w:t xml:space="preserve">it routes more documents to human review than necessary.</w:t>
      </w:r>
    </w:p>
    <w:p>
      <w:pPr>
        <w:pStyle w:val="CaptionedFigure"/>
      </w:pPr>
      <w:r>
        <w:drawing>
          <wp:inline>
            <wp:extent cx="5334000" cy="3729431"/>
            <wp:effectExtent b="0" l="0" r="0" t="0"/>
            <wp:docPr descr="Reliability diagram" title="" id="11" name="Picture"/>
            <a:graphic>
              <a:graphicData uri="http://schemas.openxmlformats.org/drawingml/2006/picture">
                <pic:pic>
                  <pic:nvPicPr>
                    <pic:cNvPr descr="figures/reliability_diagra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9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Reliability diagram</w:t>
      </w:r>
    </w:p>
    <w:bookmarkEnd w:id="13"/>
    <w:bookmarkStart w:id="17" w:name="the-confidently-wrong-tail"/>
    <w:p>
      <w:pPr>
        <w:pStyle w:val="Heading3"/>
      </w:pPr>
      <w:r>
        <w:t xml:space="preserve">2.2 The confidently-wrong tail</w:t>
      </w:r>
    </w:p>
    <w:p>
      <w:pPr>
        <w:pStyle w:val="FirstParagraph"/>
      </w:pPr>
      <w:r>
        <w:t xml:space="preserve">Conservatism is not the whole story. A small cohort of fields are</w:t>
      </w:r>
      <w:r>
        <w:t xml:space="preserve"> </w:t>
      </w:r>
      <w:r>
        <w:rPr>
          <w:b/>
          <w:bCs/>
        </w:rPr>
        <w:t xml:space="preserve">wrong but reported</w:t>
      </w:r>
      <w:r>
        <w:rPr>
          <w:b/>
          <w:bCs/>
        </w:rPr>
        <w:t xml:space="preserve"> </w:t>
      </w:r>
      <w:r>
        <w:rPr>
          <w:b/>
          <w:bCs/>
        </w:rPr>
        <w:t xml:space="preserve">with high confidence</w:t>
      </w:r>
      <w:r>
        <w:t xml:space="preserve"> </w:t>
      </w:r>
      <w:r>
        <w:t xml:space="preserve">(the ~0.75 bin sits well below the diagonal at ~0.55 accuracy).</w:t>
      </w:r>
      <w:r>
        <w:t xml:space="preserve"> </w:t>
      </w:r>
      <w:r>
        <w:t xml:space="preserve">These are the dangerous cases — errors that look trustworthy — and they are precisely</w:t>
      </w:r>
      <w:r>
        <w:t xml:space="preserve"> </w:t>
      </w:r>
      <w:r>
        <w:t xml:space="preserve">what the per-type confidence thresholds and review queue exist to catch.</w:t>
      </w:r>
    </w:p>
    <w:p>
      <w:pPr>
        <w:pStyle w:val="CaptionedFigure"/>
      </w:pPr>
      <w:r>
        <w:drawing>
          <wp:inline>
            <wp:extent cx="5334000" cy="2681455"/>
            <wp:effectExtent b="0" l="0" r="0" t="0"/>
            <wp:docPr descr="Confidence by correctness" title="" id="15" name="Picture"/>
            <a:graphic>
              <a:graphicData uri="http://schemas.openxmlformats.org/drawingml/2006/picture">
                <pic:pic>
                  <pic:nvPicPr>
                    <pic:cNvPr descr="figures/confidence_by_correctnes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Confidence by correctness</w:t>
      </w:r>
    </w:p>
    <w:bookmarkEnd w:id="17"/>
    <w:bookmarkStart w:id="21" w:name="calibration-by-field-category"/>
    <w:p>
      <w:pPr>
        <w:pStyle w:val="Heading3"/>
      </w:pPr>
      <w:r>
        <w:t xml:space="preserve">2.3 Calibration by field category</w:t>
      </w:r>
    </w:p>
    <w:p>
      <w:pPr>
        <w:pStyle w:val="FirstParagraph"/>
      </w:pPr>
      <w:r>
        <w:t xml:space="preserve">Calibration is not uniform. Structured categories the model handles near-perfectly</w:t>
      </w:r>
      <w:r>
        <w:t xml:space="preserve"> </w:t>
      </w:r>
      <w:r>
        <w:t xml:space="preserve">(dates, table-derived fields, monetary values) are the</w:t>
      </w:r>
      <w:r>
        <w:t xml:space="preserve"> </w:t>
      </w:r>
      <w:r>
        <w:rPr>
          <w:b/>
          <w:bCs/>
        </w:rPr>
        <w:t xml:space="preserve">most under-confident</w:t>
      </w:r>
      <w:r>
        <w:t xml:space="preserve"> </w:t>
      </w:r>
      <w:r>
        <w:t xml:space="preserve">— the</w:t>
      </w:r>
      <w:r>
        <w:t xml:space="preserve"> </w:t>
      </w:r>
      <w:r>
        <w:t xml:space="preserve">model is ~6–9 points too humble exactly where it is most reliable: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Table-derived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−8.1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−5.8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−3.0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−2.3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+1.6 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fields (e.g. distribution-type classification) are mildly</w:t>
      </w:r>
      <w:r>
        <w:t xml:space="preserve"> </w:t>
      </w:r>
      <w:r>
        <w:rPr>
          <w:i/>
          <w:iCs/>
        </w:rPr>
        <w:t xml:space="preserve">over</w:t>
      </w:r>
      <w:r>
        <w:t xml:space="preserve">-confident.</w:t>
      </w:r>
    </w:p>
    <w:p>
      <w:pPr>
        <w:pStyle w:val="CaptionedFigure"/>
      </w:pPr>
      <w:r>
        <w:drawing>
          <wp:inline>
            <wp:extent cx="5334000" cy="3171567"/>
            <wp:effectExtent b="0" l="0" r="0" t="0"/>
            <wp:docPr descr="Calibration by category" title="" id="19" name="Picture"/>
            <a:graphic>
              <a:graphicData uri="http://schemas.openxmlformats.org/drawingml/2006/picture">
                <pic:pic>
                  <pic:nvPicPr>
                    <pic:cNvPr descr="figures/calibration_by_categor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Calibration by category</w:t>
      </w:r>
    </w:p>
    <w:bookmarkEnd w:id="21"/>
    <w:bookmarkStart w:id="25" w:name="X34ed96198f80c2be2f73c0b80e6248b365045e9"/>
    <w:p>
      <w:pPr>
        <w:pStyle w:val="Heading3"/>
      </w:pPr>
      <w:r>
        <w:t xml:space="preserve">2.4 Implication: thresholds can be safely relaxed</w:t>
      </w:r>
    </w:p>
    <w:p>
      <w:pPr>
        <w:pStyle w:val="FirstParagraph"/>
      </w:pPr>
      <w:r>
        <w:t xml:space="preserve">Because confidence under-states accuracy, the per-type auto-apply thresholds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router.ts:82-106</w:t>
      </w:r>
      <w:r>
        <w:t xml:space="preserve">, 0.70–0.95) are leaving auto-apply capacity on the table. The</w:t>
      </w:r>
      <w:r>
        <w:t xml:space="preserve"> </w:t>
      </w:r>
      <w:r>
        <w:t xml:space="preserve">operating curve quantifies the trade-off: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Auto-apply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leakage (wrong fields auto-applied)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1.3%</w:t>
            </w:r>
          </w:p>
        </w:tc>
      </w:tr>
    </w:tbl>
    <w:p>
      <w:pPr>
        <w:pStyle w:val="BodyText"/>
      </w:pPr>
      <w:r>
        <w:t xml:space="preserve">The current</w:t>
      </w:r>
      <w:r>
        <w:t xml:space="preserve"> </w:t>
      </w:r>
      <w:r>
        <w:rPr>
          <w:b/>
          <w:bCs/>
        </w:rPr>
        <w:t xml:space="preserve">0.85 threshold for capital calls / distributions</w:t>
      </w:r>
      <w:r>
        <w:t xml:space="preserve"> </w:t>
      </w:r>
      <w:r>
        <w:t xml:space="preserve">auto-applies 90% of</w:t>
      </w:r>
      <w:r>
        <w:t xml:space="preserve"> </w:t>
      </w:r>
      <w:r>
        <w:t xml:space="preserve">fields at 1.9% leakage; the</w:t>
      </w:r>
      <w:r>
        <w:t xml:space="preserve"> </w:t>
      </w:r>
      <w:r>
        <w:rPr>
          <w:b/>
          <w:bCs/>
        </w:rPr>
        <w:t xml:space="preserve">0.80 threshold for reports</w:t>
      </w:r>
      <w:r>
        <w:t xml:space="preserve"> </w:t>
      </w:r>
      <w:r>
        <w:t xml:space="preserve">auto-applies 98% at 2.4%.</w:t>
      </w:r>
      <w:r>
        <w:t xml:space="preserve"> </w:t>
      </w:r>
      <w:r>
        <w:t xml:space="preserve">Given the conservative calibration, these are defensible: raising thresholds cuts leakage</w:t>
      </w:r>
      <w:r>
        <w:t xml:space="preserve"> </w:t>
      </w:r>
      <w:r>
        <w:t xml:space="preserve">into fund records at a steep cost in review burden. The per-type differentiation (0.85</w:t>
      </w:r>
      <w:r>
        <w:t xml:space="preserve"> </w:t>
      </w:r>
      <w:r>
        <w:t xml:space="preserve">for financial-risk documents, 0.70–0.80 for reports) is the right shape.</w:t>
      </w:r>
    </w:p>
    <w:p>
      <w:pPr>
        <w:pStyle w:val="CaptionedFigure"/>
      </w:pPr>
      <w:r>
        <w:drawing>
          <wp:inline>
            <wp:extent cx="5334000" cy="3529920"/>
            <wp:effectExtent b="0" l="0" r="0" t="0"/>
            <wp:docPr descr="Threshold operating curve" title="" id="23" name="Picture"/>
            <a:graphic>
              <a:graphicData uri="http://schemas.openxmlformats.org/drawingml/2006/picture">
                <pic:pic>
                  <pic:nvPicPr>
                    <pic:cNvPr descr="figures/threshold_operating_curv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 operating curve</w:t>
      </w:r>
    </w:p>
    <w:bookmarkEnd w:id="25"/>
    <w:bookmarkEnd w:id="26"/>
    <w:bookmarkStart w:id="30" w:name="end-to-end-processing-latency-metric-3"/>
    <w:p>
      <w:pPr>
        <w:pStyle w:val="Heading2"/>
      </w:pPr>
      <w:r>
        <w:t xml:space="preserve">3. End-to-end processing latency (Metric 3)</w:t>
      </w:r>
    </w:p>
    <w:p>
      <w:pPr>
        <w:pStyle w:val="FirstParagraph"/>
      </w:pPr>
      <w:r>
        <w:t xml:space="preserve">Per-stage timings across the 54 documents (detection → parallel Document AI + LLM</w:t>
      </w:r>
      <w:r>
        <w:t xml:space="preserve"> </w:t>
      </w:r>
      <w:r>
        <w:t xml:space="preserve">extraction → merge → validation), excluding the optional summarization stage and queue</w:t>
      </w:r>
      <w:r>
        <w:t xml:space="preserve"> </w:t>
      </w:r>
      <w:r>
        <w:t xml:space="preserve">wait: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Latency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(median)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23.9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30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90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t xml:space="preserve">Stage breakdown (mean): detection</w:t>
      </w:r>
      <w:r>
        <w:t xml:space="preserve"> </w:t>
      </w:r>
      <w:r>
        <w:rPr>
          <w:b/>
          <w:bCs/>
        </w:rPr>
        <w:t xml:space="preserve">2.2 s</w:t>
      </w:r>
      <w:r>
        <w:t xml:space="preserve">, extraction (parallel)</w:t>
      </w:r>
      <w:r>
        <w:t xml:space="preserve"> </w:t>
      </w:r>
      <w:r>
        <w:rPr>
          <w:b/>
          <w:bCs/>
        </w:rPr>
        <w:t xml:space="preserve">18.9 s</w:t>
      </w:r>
      <w:r>
        <w:t xml:space="preserve">, merge</w:t>
      </w:r>
      <w:r>
        <w:t xml:space="preserve"> </w:t>
      </w:r>
      <w:r>
        <w:rPr>
          <w:b/>
          <w:bCs/>
        </w:rPr>
        <w:t xml:space="preserve">1.3 s</w:t>
      </w:r>
      <w:r>
        <w:t xml:space="preserve">, validation</w:t>
      </w:r>
      <w:r>
        <w:t xml:space="preserve"> </w:t>
      </w:r>
      <w:r>
        <w:rPr>
          <w:b/>
          <w:bCs/>
        </w:rPr>
        <w:t xml:space="preserve">0.8 s</w:t>
      </w:r>
      <w:r>
        <w:t xml:space="preserve">. Extraction dominates the budget — and because Document</w:t>
      </w:r>
      <w:r>
        <w:t xml:space="preserve"> </w:t>
      </w:r>
      <w:r>
        <w:t xml:space="preserve">AI and the LLM run</w:t>
      </w:r>
      <w:r>
        <w:t xml:space="preserve"> </w:t>
      </w:r>
      <w:r>
        <w:rPr>
          <w:b/>
          <w:bCs/>
        </w:rPr>
        <w:t xml:space="preserve">in parallel</w:t>
      </w:r>
      <w:r>
        <w:t xml:space="preserve">, the extraction cost is the</w:t>
      </w:r>
      <w:r>
        <w:t xml:space="preserve"> </w:t>
      </w:r>
      <w:r>
        <w:rPr>
          <w:i/>
          <w:iCs/>
        </w:rPr>
        <w:t xml:space="preserve">slower</w:t>
      </w:r>
      <w:r>
        <w:t xml:space="preserve"> </w:t>
      </w:r>
      <w:r>
        <w:t xml:space="preserve">of the two, not</w:t>
      </w:r>
      <w:r>
        <w:t xml:space="preserve"> </w:t>
      </w:r>
      <w:r>
        <w:t xml:space="preserve">their sum, which is the single most important latency design choice. Both targets are met</w:t>
      </w:r>
      <w:r>
        <w:t xml:space="preserve"> </w:t>
      </w:r>
      <w:r>
        <w:t xml:space="preserve">for standard (&lt;20-page) documents.</w:t>
      </w:r>
    </w:p>
    <w:p>
      <w:pPr>
        <w:pStyle w:val="CaptionedFigure"/>
      </w:pPr>
      <w:r>
        <w:drawing>
          <wp:inline>
            <wp:extent cx="5334000" cy="2648191"/>
            <wp:effectExtent b="0" l="0" r="0" t="0"/>
            <wp:docPr descr="Latency breakdown" title="" id="28" name="Picture"/>
            <a:graphic>
              <a:graphicData uri="http://schemas.openxmlformats.org/drawingml/2006/picture">
                <pic:pic>
                  <pic:nvPicPr>
                    <pic:cNvPr descr="figures/latency_breakdow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Latency breakdown</w:t>
      </w:r>
    </w:p>
    <w:p>
      <w:pPr>
        <w:pStyle w:val="BlockText"/>
      </w:pPr>
      <w:r>
        <w:t xml:space="preserve">The architecture doc cites a</w:t>
      </w:r>
      <w:r>
        <w:t xml:space="preserve"> </w:t>
      </w:r>
      <w:r>
        <w:t xml:space="preserve">“typical 2–5 minute”</w:t>
      </w:r>
      <w:r>
        <w:t xml:space="preserve"> </w:t>
      </w:r>
      <w:r>
        <w:t xml:space="preserve">end-to-end time; that figure includes</w:t>
      </w:r>
      <w:r>
        <w:t xml:space="preserve"> </w:t>
      </w:r>
      <w:r>
        <w:t xml:space="preserve">the async Cloud Tasks</w:t>
      </w:r>
      <w:r>
        <w:t xml:space="preserve"> </w:t>
      </w:r>
      <w:r>
        <w:rPr>
          <w:b/>
          <w:bCs/>
        </w:rPr>
        <w:t xml:space="preserve">queue wait</w:t>
      </w:r>
      <w:r>
        <w:t xml:space="preserve"> </w:t>
      </w:r>
      <w:r>
        <w:t xml:space="preserve">and the optional</w:t>
      </w:r>
      <w:r>
        <w:t xml:space="preserve"> </w:t>
      </w:r>
      <w:r>
        <w:rPr>
          <w:b/>
          <w:bCs/>
        </w:rPr>
        <w:t xml:space="preserve">summarization</w:t>
      </w:r>
      <w:r>
        <w:t xml:space="preserve"> </w:t>
      </w:r>
      <w:r>
        <w:t xml:space="preserve">stage (60 s</w:t>
      </w:r>
      <w:r>
        <w:t xml:space="preserve"> </w:t>
      </w:r>
      <w:r>
        <w:t xml:space="preserve">timeout). The Metric-3 target measures</w:t>
      </w:r>
      <w:r>
        <w:t xml:space="preserve"> </w:t>
      </w:r>
      <w:r>
        <w:rPr>
          <w:i/>
          <w:iCs/>
        </w:rPr>
        <w:t xml:space="preserve">upload → structured data available</w:t>
      </w:r>
      <w:r>
        <w:t xml:space="preserve">, i.e. the</w:t>
      </w:r>
      <w:r>
        <w:t xml:space="preserve"> </w:t>
      </w:r>
      <w:r>
        <w:t xml:space="preserve">compute path measured here.</w:t>
      </w:r>
    </w:p>
    <w:bookmarkEnd w:id="30"/>
    <w:bookmarkStart w:id="31" w:name="limitations-private-markets-reality"/>
    <w:p>
      <w:pPr>
        <w:pStyle w:val="Heading2"/>
      </w:pPr>
      <w:r>
        <w:t xml:space="preserve">4. Limitations (private-markets reality)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sparsity &amp; cold-start.</w:t>
      </w:r>
      <w:r>
        <w:t xml:space="preserve"> </w:t>
      </w:r>
      <w:r>
        <w:t xml:space="preserve">A new fund has no NAV/cash-flow history, so the Monte</w:t>
      </w:r>
      <w:r>
        <w:t xml:space="preserve"> </w:t>
      </w:r>
      <w:r>
        <w:t xml:space="preserve">Carlo engine falls back to age-band deployment/distribution rates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historical.ts:290-345</w:t>
      </w:r>
      <w:r>
        <w:t xml:space="preserve">) and the J-curve profile templates — forecasts are</w:t>
      </w:r>
      <w:r>
        <w:t xml:space="preserve"> </w:t>
      </w:r>
      <w:r>
        <w:t xml:space="preserve">profile-driven until ~8 quarters of history accrue. The proposal’s MAE target is</w:t>
      </w:r>
      <w:r>
        <w:t xml:space="preserve"> </w:t>
      </w:r>
      <w:r>
        <w:t xml:space="preserve">explicitly scoped to</w:t>
      </w:r>
      <w:r>
        <w:t xml:space="preserve"> </w:t>
      </w:r>
      <w:r>
        <w:t xml:space="preserve">“funds with 8+ quarters of history”</w:t>
      </w:r>
      <w:r>
        <w:t xml:space="preserve"> </w:t>
      </w:r>
      <w:r>
        <w:t xml:space="preserve">for this reason.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GP-format generalization.</w:t>
      </w:r>
      <w:r>
        <w:t xml:space="preserve"> </w:t>
      </w:r>
      <w:r>
        <w:t xml:space="preserve">Extraction accuracy is measured across five format tags,</w:t>
      </w:r>
      <w:r>
        <w:t xml:space="preserve"> </w:t>
      </w:r>
      <w:r>
        <w:t xml:space="preserve">but the long tail of bespoke GP layouts (scanned legacy PDFs, non-standard tables) is</w:t>
      </w:r>
      <w:r>
        <w:t xml:space="preserve"> </w:t>
      </w:r>
      <w:r>
        <w:t xml:space="preserve">where production accuracy will be lost; the labeled set should grow toward those.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Correlation model fragility (from Deliverable 2).</w:t>
      </w:r>
      <w:r>
        <w:t xml:space="preserve"> </w:t>
      </w:r>
      <w:r>
        <w:t xml:space="preserve">On realistic multi-fund books the</w:t>
      </w:r>
      <w:r>
        <w:t xml:space="preserve"> </w:t>
      </w:r>
      <w:r>
        <w:t xml:space="preserve">per-fund correlation matrix is singular and the engine silently falls back to</w:t>
      </w:r>
      <w:r>
        <w:t xml:space="preserve"> </w:t>
      </w:r>
      <w:r>
        <w:t xml:space="preserve">independent simulation (</w:t>
      </w:r>
      <w:r>
        <w:rPr>
          <w:rStyle w:val="VerbatimChar"/>
        </w:rPr>
        <w:t xml:space="preserve">monte-carlo.ts:336-341</w:t>
      </w:r>
      <w:r>
        <w:t xml:space="preserve">). Fix: shrink/regularize the matrix or</w:t>
      </w:r>
      <w:r>
        <w:t xml:space="preserve"> </w:t>
      </w:r>
      <w:r>
        <w:t xml:space="preserve">model correlation at the asset-class level. Until then, headline forecasts understate</w:t>
      </w:r>
      <w:r>
        <w:t xml:space="preserve"> </w:t>
      </w:r>
      <w:r>
        <w:t xml:space="preserve">tail co-movement.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Calibration is conservative, not perfect (ECE 0.056).</w:t>
      </w:r>
      <w:r>
        <w:t xml:space="preserve"> </w:t>
      </w:r>
      <w:r>
        <w:t xml:space="preserve">Under-confidence wastes</w:t>
      </w:r>
      <w:r>
        <w:t xml:space="preserve"> </w:t>
      </w:r>
      <w:r>
        <w:t xml:space="preserve">review capacity; a post-hoc calibration map (temperature/isotonic) on real labeled</w:t>
      </w:r>
      <w:r>
        <w:t xml:space="preserve"> </w:t>
      </w:r>
      <w:r>
        <w:t xml:space="preserve">output would let thresholds auto-apply more without raising leakage.</w:t>
      </w:r>
    </w:p>
    <w:bookmarkEnd w:id="31"/>
    <w:bookmarkStart w:id="32" w:name="Xec2b8c0397d122dd46a75e12bb6e760d137b633"/>
    <w:p>
      <w:pPr>
        <w:pStyle w:val="Heading2"/>
      </w:pPr>
      <w:r>
        <w:t xml:space="preserve">5. Key trade-off findings &amp; production implications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Trade-off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Production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 engine (D1)</w:t>
            </w:r>
          </w:p>
        </w:tc>
        <w:tc>
          <w:tcPr/>
          <w:p>
            <w:pPr>
              <w:pStyle w:val="Compact"/>
            </w:pPr>
            <w:r>
              <w:t xml:space="preserve">Hybrid is the only config meeting both F1 bars</w:t>
            </w:r>
          </w:p>
        </w:tc>
        <w:tc>
          <w:tcPr/>
          <w:p>
            <w:pPr>
              <w:pStyle w:val="Compact"/>
            </w:pPr>
            <w:r>
              <w:t xml:space="preserve">Keep hybrid for financial docs; LLM-only is acceptable for narrative-only types to save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Auto-apply threshold</w:t>
            </w:r>
          </w:p>
        </w:tc>
        <w:tc>
          <w:tcPr/>
          <w:p>
            <w:pPr>
              <w:pStyle w:val="Compact"/>
            </w:pPr>
            <w:r>
              <w:t xml:space="preserve">Conservative calibration → low leakage but high review burden</w:t>
            </w:r>
          </w:p>
        </w:tc>
        <w:tc>
          <w:tcPr/>
          <w:p>
            <w:pPr>
              <w:pStyle w:val="Compact"/>
            </w:pPr>
            <w:r>
              <w:t xml:space="preserve">Recalibrate confidence, then consider lowering report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engine (D2)</w:t>
            </w:r>
          </w:p>
        </w:tc>
        <w:tc>
          <w:tcPr/>
          <w:p>
            <w:pPr>
              <w:pStyle w:val="Compact"/>
            </w:pPr>
            <w:r>
              <w:t xml:space="preserve">Monte Carlo captures tail risk; MAE 6.3%</w:t>
            </w:r>
          </w:p>
        </w:tc>
        <w:tc>
          <w:tcPr/>
          <w:p>
            <w:pPr>
              <w:pStyle w:val="Compact"/>
            </w:pPr>
            <w:r>
              <w:t xml:space="preserve">Justified vs closed-form; widen P10/P90 (65% coverage of 80% band)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model (D2)</w:t>
            </w:r>
          </w:p>
        </w:tc>
        <w:tc>
          <w:tcPr/>
          <w:p>
            <w:pPr>
              <w:pStyle w:val="Compact"/>
            </w:pPr>
            <w:r>
              <w:t xml:space="preserve">Engages only when asset classes are distinct</w:t>
            </w:r>
          </w:p>
        </w:tc>
        <w:tc>
          <w:tcPr/>
          <w:p>
            <w:pPr>
              <w:pStyle w:val="Compact"/>
            </w:pPr>
            <w:r>
              <w:t xml:space="preserve">Regularize matrix before relying on correlated 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Parallel extraction meets P50&lt;30s / P95&lt;90s</w:t>
            </w:r>
          </w:p>
        </w:tc>
        <w:tc>
          <w:tcPr/>
          <w:p>
            <w:pPr>
              <w:pStyle w:val="Compact"/>
            </w:pPr>
            <w:r>
              <w:t xml:space="preserve">Preserve parallelism; summarization stays async/optional</w:t>
            </w:r>
          </w:p>
        </w:tc>
      </w:tr>
    </w:tbl>
    <w:bookmarkEnd w:id="32"/>
    <w:bookmarkStart w:id="33" w:name="reproducibility"/>
    <w:p>
      <w:pPr>
        <w:pStyle w:val="Heading2"/>
      </w:pPr>
      <w:r>
        <w:t xml:space="preserve">6. Reproducibility</w:t>
      </w:r>
    </w:p>
    <w:p>
      <w:pPr>
        <w:pStyle w:val="SourceCode"/>
      </w:pPr>
      <w:r>
        <w:rPr>
          <w:rStyle w:val="CommentTok"/>
        </w:rPr>
        <w:t xml:space="preserve"># from capstone/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deliverable-3-pipeline-analysis/run_analysis.py</w:t>
      </w:r>
    </w:p>
    <w:p>
      <w:pPr>
        <w:pStyle w:val="FirstParagraph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results/pipeline_analysis.json</w:t>
      </w:r>
      <w:r>
        <w:t xml:space="preserve">, five figures under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 Calibration +</w:t>
      </w:r>
      <w:r>
        <w:t xml:space="preserve"> </w:t>
      </w:r>
      <w:r>
        <w:t xml:space="preserve">latency code:</w:t>
      </w:r>
      <w:r>
        <w:t xml:space="preserve"> </w:t>
      </w:r>
      <w:r>
        <w:rPr>
          <w:rStyle w:val="VerbatimChar"/>
        </w:rPr>
        <w:t xml:space="preserve">run_analysis.py</w:t>
      </w:r>
      <w:r>
        <w:t xml:space="preserve">; confidence/latency records:</w:t>
      </w:r>
      <w:r>
        <w:t xml:space="preserve"> </w:t>
      </w:r>
      <w:r>
        <w:rPr>
          <w:rStyle w:val="VerbatimChar"/>
        </w:rPr>
        <w:t xml:space="preserve">data/extraction/</w:t>
      </w:r>
      <w:r>
        <w:t xml:space="preserve">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10" Target="media/rId10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3 — Pipeline &amp; Model Analysis</dc:title>
  <dc:creator/>
  <cp:keywords/>
  <dcterms:created xsi:type="dcterms:W3CDTF">2026-06-23T12:26:08Z</dcterms:created>
  <dcterms:modified xsi:type="dcterms:W3CDTF">2026-06-23T12:26:08Z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OneLP Capstone · Proof-of-Concept Deliverable 3 of 3</vt:lpwstr>
  </property>
</Properties>
</file>