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0.png" ContentType="image/png"/>
  <Override PartName="/word/media/rId22.png" ContentType="image/png"/>
  <Override PartName="/word/media/rId34.png" ContentType="image/png"/>
  <Override PartName="/word/media/rId26.png" ContentType="image/png"/>
  <Override PartName="/word/media/rId53.png" ContentType="image/png"/>
  <Override PartName="/word/media/rId69.png" ContentType="image/png"/>
  <Override PartName="/word/media/rId49.png" ContentType="image/png"/>
  <Override PartName="/word/media/rId61.png" ContentType="image/png"/>
  <Override PartName="/word/media/rId65.png" ContentType="image/png"/>
  <Override PartName="/word/media/rId57.png" ContentType="image/png"/>
  <Override PartName="/word/media/rId87.png" ContentType="image/png"/>
  <Override PartName="/word/media/rId83.png" ContentType="image/png"/>
  <Override PartName="/word/media/rId96.png" ContentType="image/png"/>
  <Override PartName="/word/media/rId79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OneLP Capstone — Proof-of-Concept Deliverables</w:t>
      </w:r>
    </w:p>
    <w:p>
      <w:pPr>
        <w:pStyle w:val="Subtitle"/>
      </w:pPr>
      <w:r>
        <w:t xml:space="preserve">Executive Summary &amp; Synthesis</w:t>
      </w:r>
    </w:p>
    <w:p>
      <w:pPr>
        <w:pStyle w:val="Author"/>
      </w:pPr>
      <w:r>
        <w:t xml:space="preserve">Kishan Dhulashia · Max Vanderlinden · Sofia Mollon · Agustin Gentil</w:t>
      </w:r>
    </w:p>
    <w:p>
      <w:pPr>
        <w:pStyle w:val="Date"/>
      </w:pPr>
      <w:r>
        <w:t xml:space="preserve">June 2026</w:t>
      </w:r>
    </w:p>
    <w:bookmarkStart w:id="16" w:name="Xa2dc7f8758f9c1346617194e44679f28e78b2bf"/>
    <w:p>
      <w:pPr>
        <w:pStyle w:val="Heading1"/>
      </w:pPr>
      <w:r>
        <w:t xml:space="preserve">OneLP Capstone — Proof-of-Concept Deliverables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OneLP capstone builds a production-grade</w:t>
      </w:r>
      <w:r>
        <w:t xml:space="preserve"> </w:t>
      </w:r>
      <w:r>
        <w:rPr>
          <w:b/>
          <w:bCs/>
        </w:rPr>
        <w:t xml:space="preserve">document-intelligence pipeline</w:t>
      </w:r>
      <w:r>
        <w:t xml:space="preserve"> </w:t>
      </w:r>
      <w:r>
        <w:t xml:space="preserve">that</w:t>
      </w:r>
      <w:r>
        <w:t xml:space="preserve"> </w:t>
      </w:r>
      <w:r>
        <w:t xml:space="preserve">turns unstructured private-market documents into structured, validated, portfolio-ready</w:t>
      </w:r>
      <w:r>
        <w:t xml:space="preserve"> </w:t>
      </w:r>
      <w:r>
        <w:t xml:space="preserve">data, and an</w:t>
      </w:r>
      <w:r>
        <w:t xml:space="preserve"> </w:t>
      </w:r>
      <w:r>
        <w:rPr>
          <w:b/>
          <w:bCs/>
        </w:rPr>
        <w:t xml:space="preserve">analytics layer</w:t>
      </w:r>
      <w:r>
        <w:t xml:space="preserve"> </w:t>
      </w:r>
      <w:r>
        <w:t xml:space="preserve">that forecasts portfolio cash flow with calibrated</w:t>
      </w:r>
      <w:r>
        <w:t xml:space="preserve"> </w:t>
      </w:r>
      <w:r>
        <w:t xml:space="preserve">uncertainty. This document synthesizes the three Proof-of-Concept deliverables committed</w:t>
      </w:r>
      <w:r>
        <w:t xml:space="preserve"> </w:t>
      </w:r>
      <w:r>
        <w:t xml:space="preserve">to in §7 of the proposal, each evaluated against the quantitative target it was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Proposal 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Extraction accuracy</w:t>
            </w:r>
          </w:p>
        </w:tc>
        <w:tc>
          <w:tcPr/>
          <w:p>
            <w:pPr>
              <w:pStyle w:val="Compact"/>
            </w:pPr>
            <w:r>
              <w:t xml:space="preserve">Macro F1 ≥ 0.90; critical fields ≥ 0.95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  <w:r>
              <w:t xml:space="preserve"> </w:t>
            </w:r>
            <w:r>
              <w:rPr>
                <w:b/>
                <w:bCs/>
              </w:rPr>
              <w:t xml:space="preserve">0.968 / 0.968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Forecast backtest</w:t>
            </w:r>
          </w:p>
        </w:tc>
        <w:tc>
          <w:tcPr/>
          <w:p>
            <w:pPr>
              <w:pStyle w:val="Compact"/>
            </w:pPr>
            <w:r>
              <w:t xml:space="preserve">MAE &lt; 15% of quarterly cash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5.0% MAE</w:t>
            </w:r>
            <w:r>
              <w:t xml:space="preserve"> </w:t>
            </w:r>
            <w:r>
              <w:t xml:space="preserve">(20-point rolling)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Latency (Metric 3)</w:t>
            </w:r>
          </w:p>
        </w:tc>
        <w:tc>
          <w:tcPr/>
          <w:p>
            <w:pPr>
              <w:pStyle w:val="Compact"/>
            </w:pPr>
            <w:r>
              <w:t xml:space="preserve">P50 &lt; 30s; P95 &lt; 90s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23.9s / 29.4s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met</w:t>
            </w:r>
          </w:p>
        </w:tc>
      </w:tr>
    </w:tbl>
    <w:p>
      <w:pPr>
        <w:pStyle w:val="BodyText"/>
      </w:pPr>
      <w:r>
        <w:t xml:space="preserve">All three quantitative targets are met. Beyond the headline numbers, the deliverables</w:t>
      </w:r>
      <w:r>
        <w:t xml:space="preserve"> </w:t>
      </w:r>
      <w:r>
        <w:t xml:space="preserve">surface three findings that matter for production: the</w:t>
      </w:r>
      <w:r>
        <w:t xml:space="preserve"> </w:t>
      </w:r>
      <w:r>
        <w:rPr>
          <w:b/>
          <w:bCs/>
        </w:rPr>
        <w:t xml:space="preserve">hybrid extraction 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is empirically justified</w:t>
      </w:r>
      <w:r>
        <w:t xml:space="preserve"> </w:t>
      </w:r>
      <w:r>
        <w:t xml:space="preserve">(not just intuitive), the</w:t>
      </w:r>
      <w:r>
        <w:t xml:space="preserve"> </w:t>
      </w:r>
      <w:r>
        <w:rPr>
          <w:b/>
          <w:bCs/>
        </w:rPr>
        <w:t xml:space="preserve">forecast intervals are slightly</w:t>
      </w:r>
      <w:r>
        <w:rPr>
          <w:b/>
          <w:bCs/>
        </w:rPr>
        <w:t xml:space="preserve"> </w:t>
      </w:r>
      <w:r>
        <w:rPr>
          <w:b/>
          <w:bCs/>
        </w:rPr>
        <w:t xml:space="preserve">too tight</w:t>
      </w:r>
      <w:r>
        <w:t xml:space="preserve">, and the</w:t>
      </w:r>
      <w:r>
        <w:t xml:space="preserve"> </w:t>
      </w:r>
      <w:r>
        <w:rPr>
          <w:b/>
          <w:bCs/>
        </w:rPr>
        <w:t xml:space="preserve">cross-asset correlation model silently no-ops on realistic</w:t>
      </w:r>
      <w:r>
        <w:rPr>
          <w:b/>
          <w:bCs/>
        </w:rPr>
        <w:t xml:space="preserve"> </w:t>
      </w:r>
      <w:r>
        <w:rPr>
          <w:b/>
          <w:bCs/>
        </w:rPr>
        <w:t xml:space="preserve">multi-fund books</w:t>
      </w:r>
      <w:r>
        <w:t xml:space="preserve"> </w:t>
      </w:r>
      <w:r>
        <w:t xml:space="preserve">— a concrete, fixable engineering gap.</w:t>
      </w:r>
    </w:p>
    <w:p>
      <w:r>
        <w:pict>
          <v:rect style="width:0;height:1.5pt" o:hralign="center" o:hrstd="t" o:hr="t"/>
        </w:pict>
      </w:r>
    </w:p>
    <w:bookmarkEnd w:id="9"/>
    <w:bookmarkStart w:id="10" w:name="X58b83d3f4b3b949d392be1841539d531acad234"/>
    <w:p>
      <w:pPr>
        <w:pStyle w:val="Heading2"/>
      </w:pPr>
      <w:r>
        <w:t xml:space="preserve">Deliverable 1 — Document Extraction Accuracy</w:t>
      </w:r>
    </w:p>
    <w:p>
      <w:pPr>
        <w:pStyle w:val="FirstParagraph"/>
      </w:pPr>
      <w:r>
        <w:t xml:space="preserve">A 54-document labeled test set across 8 GP document types is scored with the</w:t>
      </w:r>
      <w:r>
        <w:t xml:space="preserve"> </w:t>
      </w:r>
      <w:r>
        <w:t xml:space="preserve">repository’s own field-matching logic (extended to be numeric-aware for money/dates).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engine (Document AI + LLM, merged with precedence)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configuration meeting both accuracy bars:</w:t>
      </w:r>
    </w:p>
    <w:p>
      <w:pPr>
        <w:pStyle w:val="Compact"/>
        <w:numPr>
          <w:ilvl w:val="0"/>
          <w:numId w:val="1001"/>
        </w:numPr>
      </w:pPr>
      <w:r>
        <w:t xml:space="preserve">Macro F1</w:t>
      </w:r>
      <w:r>
        <w:t xml:space="preserve"> </w:t>
      </w:r>
      <w:r>
        <w:rPr>
          <w:b/>
          <w:bCs/>
        </w:rPr>
        <w:t xml:space="preserve">0.968</w:t>
      </w:r>
      <w:r>
        <w:t xml:space="preserve"> </w:t>
      </w:r>
      <w:r>
        <w:t xml:space="preserve">(≥ 0.90 target) · critical-field F1</w:t>
      </w:r>
      <w:r>
        <w:t xml:space="preserve"> </w:t>
      </w:r>
      <w:r>
        <w:rPr>
          <w:b/>
          <w:bCs/>
        </w:rPr>
        <w:t xml:space="preserve">0.968</w:t>
      </w:r>
      <w:r>
        <w:t xml:space="preserve"> </w:t>
      </w:r>
      <w:r>
        <w:t xml:space="preserve">(≥ 0.95 target)</w:t>
      </w:r>
    </w:p>
    <w:p>
      <w:pPr>
        <w:pStyle w:val="Compact"/>
        <w:numPr>
          <w:ilvl w:val="0"/>
          <w:numId w:val="1001"/>
        </w:numPr>
      </w:pPr>
      <w:r>
        <w:t xml:space="preserve">Document AI alone: strong on financial fields (0.963) but weak on narrative → 0.889 macro</w:t>
      </w:r>
    </w:p>
    <w:p>
      <w:pPr>
        <w:pStyle w:val="Compact"/>
        <w:numPr>
          <w:ilvl w:val="0"/>
          <w:numId w:val="1001"/>
        </w:numPr>
      </w:pPr>
      <w:r>
        <w:t xml:space="preserve">LLM alone: strong overall (0.892) but weakest on the critical financial fields (0.887)</w:t>
      </w:r>
    </w:p>
    <w:p>
      <w:pPr>
        <w:pStyle w:val="Compact"/>
        <w:numPr>
          <w:ilvl w:val="0"/>
          <w:numId w:val="1001"/>
        </w:numPr>
      </w:pPr>
      <w:r>
        <w:t xml:space="preserve">Document-type classification:</w:t>
      </w:r>
      <w:r>
        <w:t xml:space="preserve"> </w:t>
      </w:r>
      <w:r>
        <w:rPr>
          <w:b/>
          <w:bCs/>
        </w:rPr>
        <w:t xml:space="preserve">88.9% accuracy</w:t>
      </w:r>
      <w:r>
        <w:t xml:space="preserve">, confusions only between adjacent</w:t>
      </w:r>
      <w:r>
        <w:t xml:space="preserve"> </w:t>
      </w:r>
      <w:r>
        <w:t xml:space="preserve">periodic-report types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two single engines fail in opposite directions; merging them recovers</w:t>
      </w:r>
      <w:r>
        <w:t xml:space="preserve"> </w:t>
      </w:r>
      <w:r>
        <w:t xml:space="preserve">the best of both. The architecture bet pays off in the data.</w:t>
      </w:r>
    </w:p>
    <w:bookmarkEnd w:id="10"/>
    <w:bookmarkStart w:id="11" w:name="X590d63e0a941b0531894059a7564513fba9a66f"/>
    <w:p>
      <w:pPr>
        <w:pStyle w:val="Heading2"/>
      </w:pPr>
      <w:r>
        <w:t xml:space="preserve">Deliverable 2 — Cash-Flow Forecasting with Backtesting</w:t>
      </w:r>
    </w:p>
    <w:p>
      <w:pPr>
        <w:pStyle w:val="FirstParagraph"/>
      </w:pPr>
      <w:r>
        <w:t xml:space="preserve">The production Monte Carlo engine (a faithful Python port of</w:t>
      </w:r>
      <w:r>
        <w:t xml:space="preserve"> </w:t>
      </w:r>
      <w:r>
        <w:rPr>
          <w:rStyle w:val="VerbatimChar"/>
        </w:rPr>
        <w:t xml:space="preserve">monte-carlo.ts</w:t>
      </w:r>
      <w:r>
        <w:t xml:space="preserve">) is run</w:t>
      </w:r>
      <w:r>
        <w:t xml:space="preserve"> </w:t>
      </w:r>
      <w:r>
        <w:t xml:space="preserve">over a 16-fund / $143M calibrated reference portfolio: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Backtest MAE 5.0%</w:t>
      </w:r>
      <w:r>
        <w:t xml:space="preserve"> </w:t>
      </w:r>
      <w:r>
        <w:t xml:space="preserve">of gross quarterly flow on a 20-point rolling-origin test — well</w:t>
      </w:r>
      <w:r>
        <w:t xml:space="preserve"> </w:t>
      </w:r>
      <w:r>
        <w:t xml:space="preserve">inside the &lt; 15% target. (80% predictive-interval coverage is 65% → bands are slightly</w:t>
      </w:r>
      <w:r>
        <w:t xml:space="preserve"> </w:t>
      </w:r>
      <w:r>
        <w:t xml:space="preserve">too narrow.)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Stress testing</w:t>
      </w:r>
      <w:r>
        <w:t xml:space="preserve"> </w:t>
      </w:r>
      <w:r>
        <w:t xml:space="preserve">across 7 scenarios: cumulative net cash flow ranges from −$6.8M</w:t>
      </w:r>
      <w:r>
        <w:t xml:space="preserve"> </w:t>
      </w:r>
      <w:r>
        <w:t xml:space="preserve">(Liquidity Crisis) to +$37.3M (Rapid Recovery); the implied 95% reserve scales with</w:t>
      </w:r>
      <w:r>
        <w:t xml:space="preserve"> </w:t>
      </w:r>
      <w:r>
        <w:t xml:space="preserve">severity.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Liquidity reserve:</w:t>
      </w:r>
      <w:r>
        <w:t xml:space="preserve"> </w:t>
      </w:r>
      <w:r>
        <w:t xml:space="preserve">~$8M (95% confidence) needed to survive a Liquidity Crisis; the</w:t>
      </w:r>
      <w:r>
        <w:t xml:space="preserve"> </w:t>
      </w:r>
      <w:r>
        <w:t xml:space="preserve">mature book self-funds in the base case.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NAV level (±$16.8M) and distribution pacing (±$13.9M) dominate; call</w:t>
      </w:r>
      <w:r>
        <w:t xml:space="preserve"> </w:t>
      </w:r>
      <w:r>
        <w:t xml:space="preserve">timing matters ~3× less.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Cross-asset correlation</w:t>
      </w:r>
      <w:r>
        <w:t xml:space="preserve"> </w:t>
      </w:r>
      <w:r>
        <w:t xml:space="preserve">widens the aggregate outcome distribution by +39% (σ) on a</w:t>
      </w:r>
      <w:r>
        <w:t xml:space="preserve"> </w:t>
      </w:r>
      <w:r>
        <w:t xml:space="preserve">one-per-class demo — but</w:t>
      </w:r>
      <w:r>
        <w:t xml:space="preserve"> </w:t>
      </w:r>
      <w:r>
        <w:rPr>
          <w:b/>
          <w:bCs/>
        </w:rPr>
        <w:t xml:space="preserve">does not engage on the full 16-fund book</w:t>
      </w:r>
      <w:r>
        <w:t xml:space="preserve"> </w:t>
      </w:r>
      <w:r>
        <w:t xml:space="preserve">because the</w:t>
      </w:r>
      <w:r>
        <w:t xml:space="preserve"> </w:t>
      </w:r>
      <w:r>
        <w:t xml:space="preserve">per-fund correlation matrix is singular and the engine falls back to independent</w:t>
      </w:r>
      <w:r>
        <w:t xml:space="preserve"> </w:t>
      </w:r>
      <w:r>
        <w:t xml:space="preserve">simulation (a documented limitation,</w:t>
      </w:r>
      <w:r>
        <w:t xml:space="preserve"> </w:t>
      </w:r>
      <w:r>
        <w:rPr>
          <w:rStyle w:val="VerbatimChar"/>
        </w:rPr>
        <w:t xml:space="preserve">monte-carlo.ts:336-341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engine forecasts within target; the reserve sizing is the product’s</w:t>
      </w:r>
      <w:r>
        <w:t xml:space="preserve"> </w:t>
      </w:r>
      <w:r>
        <w:t xml:space="preserve">real value; two calibration/engineering fixes are identified (widen bands, regularize</w:t>
      </w:r>
      <w:r>
        <w:t xml:space="preserve"> </w:t>
      </w:r>
      <w:r>
        <w:t xml:space="preserve">the correlation matrix).</w:t>
      </w:r>
    </w:p>
    <w:bookmarkEnd w:id="11"/>
    <w:bookmarkStart w:id="12" w:name="deliverable-3-pipeline-model-analysis"/>
    <w:p>
      <w:pPr>
        <w:pStyle w:val="Heading2"/>
      </w:pPr>
      <w:r>
        <w:t xml:space="preserve">Deliverable 3 — Pipeline &amp; Model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calibration:</w:t>
      </w:r>
      <w:r>
        <w:t xml:space="preserve"> </w:t>
      </w:r>
      <w:r>
        <w:t xml:space="preserve">ECE 0.056. The pipeline is</w:t>
      </w:r>
      <w:r>
        <w:t xml:space="preserve"> </w:t>
      </w:r>
      <w:r>
        <w:rPr>
          <w:b/>
          <w:bCs/>
        </w:rPr>
        <w:t xml:space="preserve">conservatively calibrated</w:t>
      </w:r>
      <w:r>
        <w:t xml:space="preserve"> </w:t>
      </w:r>
      <w:r>
        <w:t xml:space="preserve">—</w:t>
      </w:r>
      <w:r>
        <w:t xml:space="preserve"> </w:t>
      </w:r>
      <w:r>
        <w:t xml:space="preserve">mean confidence 0.920 vs accuracy 0.965 (−4.5 pts) — it under-states its reliability,</w:t>
      </w:r>
      <w:r>
        <w:t xml:space="preserve"> </w:t>
      </w:r>
      <w:r>
        <w:t xml:space="preserve">most in the structured categories (dates/tables/money) it handles near-perfectly. A</w:t>
      </w:r>
      <w:r>
        <w:t xml:space="preserve"> </w:t>
      </w:r>
      <w:r>
        <w:t xml:space="preserve">small</w:t>
      </w:r>
      <w:r>
        <w:t xml:space="preserve"> </w:t>
      </w:r>
      <w:r>
        <w:t xml:space="preserve">“confidently-wrong”</w:t>
      </w:r>
      <w:r>
        <w:t xml:space="preserve"> </w:t>
      </w:r>
      <w:r>
        <w:t xml:space="preserve">tail is what the review queue must catch.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Threshold operating curve:</w:t>
      </w:r>
      <w:r>
        <w:t xml:space="preserve"> </w:t>
      </w:r>
      <w:r>
        <w:t xml:space="preserve">the per-type auto-apply thresholds (0.70–0.95) trade</w:t>
      </w:r>
      <w:r>
        <w:t xml:space="preserve"> </w:t>
      </w:r>
      <w:r>
        <w:t xml:space="preserve">auto-apply rate against error leakage; at the 0.85 capital-call threshold, 90% of</w:t>
      </w:r>
      <w:r>
        <w:t xml:space="preserve"> </w:t>
      </w:r>
      <w:r>
        <w:t xml:space="preserve">fields auto-apply at 1.9% leakage. Conservative calibration means thresholds could be</w:t>
      </w:r>
      <w:r>
        <w:t xml:space="preserve"> </w:t>
      </w:r>
      <w:r>
        <w:t xml:space="preserve">relaxed after a calibration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End-to-end latency (Metric 3):</w:t>
      </w:r>
      <w:r>
        <w:t xml:space="preserve"> </w:t>
      </w:r>
      <w:r>
        <w:t xml:space="preserve">P50 23.9s / P95 29.4s — both targets met; extraction</w:t>
      </w:r>
      <w:r>
        <w:t xml:space="preserve"> </w:t>
      </w:r>
      <w:r>
        <w:t xml:space="preserve">dominates and is parallelized (cost = slower engine, not the sum).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data sparsity &amp; cold-start (profile fallback until 8+ quarters of</w:t>
      </w:r>
      <w:r>
        <w:t xml:space="preserve"> </w:t>
      </w:r>
      <w:r>
        <w:t xml:space="preserve">history), GP-format generalization (long tail of bespoke layouts), correlation-model</w:t>
      </w:r>
      <w:r>
        <w:t xml:space="preserve"> </w:t>
      </w:r>
      <w:r>
        <w:t xml:space="preserve">fragility, and conservative calibration.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pipeline’s confidence is trustworthy and errs safe; the main</w:t>
      </w:r>
      <w:r>
        <w:t xml:space="preserve"> </w:t>
      </w:r>
      <w:r>
        <w:t xml:space="preserve">opportunities are a calibration map (to reclaim review capacity) and a correlation-matrix</w:t>
      </w:r>
      <w:r>
        <w:t xml:space="preserve"> </w:t>
      </w:r>
      <w:r>
        <w:t xml:space="preserve">fix.</w:t>
      </w:r>
    </w:p>
    <w:p>
      <w:r>
        <w:pict>
          <v:rect style="width:0;height:1.5pt" o:hralign="center" o:hrstd="t" o:hr="t"/>
        </w:pict>
      </w:r>
    </w:p>
    <w:bookmarkEnd w:id="12"/>
    <w:bookmarkStart w:id="13" w:name="cross-cutting-conclusions"/>
    <w:p>
      <w:pPr>
        <w:pStyle w:val="Heading2"/>
      </w:pPr>
      <w:r>
        <w:t xml:space="preserve">Cross-cutting conclusions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architecture choices are evidence-backed.</w:t>
      </w:r>
      <w:r>
        <w:t xml:space="preserve"> </w:t>
      </w:r>
      <w:r>
        <w:t xml:space="preserve">Hybrid extraction (D1) and Monte</w:t>
      </w:r>
      <w:r>
        <w:t xml:space="preserve"> </w:t>
      </w:r>
      <w:r>
        <w:t xml:space="preserve">Carlo simulation (D2) each beat their simpler alternative on the metric that matters,</w:t>
      </w:r>
      <w:r>
        <w:t xml:space="preserve"> </w:t>
      </w:r>
      <w:r>
        <w:t xml:space="preserve">and the parallel-extraction latency design (D3) meets target.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system is honest about uncertainty.</w:t>
      </w:r>
      <w:r>
        <w:t xml:space="preserve"> </w:t>
      </w:r>
      <w:r>
        <w:t xml:space="preserve">It is conservatively calibrated and its</w:t>
      </w:r>
      <w:r>
        <w:t xml:space="preserve"> </w:t>
      </w:r>
      <w:r>
        <w:t xml:space="preserve">classification errors are</w:t>
      </w:r>
      <w:r>
        <w:t xml:space="preserve"> </w:t>
      </w:r>
      <w:r>
        <w:t xml:space="preserve">“safe”</w:t>
      </w:r>
      <w:r>
        <w:t xml:space="preserve"> </w:t>
      </w:r>
      <w:r>
        <w:t xml:space="preserve">— desirable properties for a financial system of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concrete fixes carry forward:</w:t>
      </w:r>
      <w:r>
        <w:t xml:space="preserve"> </w:t>
      </w:r>
      <w:r>
        <w:t xml:space="preserve">widen forecast intervals (65% coverage of an 80%</w:t>
      </w:r>
      <w:r>
        <w:t xml:space="preserve"> </w:t>
      </w:r>
      <w:r>
        <w:t xml:space="preserve">band) and regularize the correlation matrix so cross-asset co-movement is captured on</w:t>
      </w:r>
      <w:r>
        <w:t xml:space="preserve"> </w:t>
      </w:r>
      <w:r>
        <w:t xml:space="preserve">real multi-fund books.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path to production numbers is wired.</w:t>
      </w:r>
      <w:r>
        <w:t xml:space="preserve"> </w:t>
      </w:r>
      <w:r>
        <w:t xml:space="preserve">Every metric recomputes unchanged against</w:t>
      </w:r>
      <w:r>
        <w:t xml:space="preserve"> </w:t>
      </w:r>
      <w:r>
        <w:t xml:space="preserve">live extractions / real cash flows — only the input files change.</w:t>
      </w:r>
    </w:p>
    <w:bookmarkEnd w:id="13"/>
    <w:bookmarkStart w:id="14" w:name="reproducibility"/>
    <w:p>
      <w:pPr>
        <w:pStyle w:val="Heading2"/>
      </w:pPr>
      <w:r>
        <w:t xml:space="preserve">Reproducibility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capstone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</w:p>
    <w:p>
      <w:pPr>
        <w:pStyle w:val="FirstParagraph"/>
      </w:pPr>
      <w:r>
        <w:t xml:space="preserve">Regenerates all datasets, metrics, figures, notebooks, reports and slides. Engine and</w:t>
      </w:r>
      <w:r>
        <w:t xml:space="preserve"> </w:t>
      </w:r>
      <w:r>
        <w:t xml:space="preserve">scoring code cite the production source (</w:t>
      </w:r>
      <w:r>
        <w:rPr>
          <w:rStyle w:val="VerbatimChar"/>
        </w:rPr>
        <w:t xml:space="preserve">src/lib/documents/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src/lib/forecasting/</w:t>
      </w:r>
      <w:r>
        <w:t xml:space="preserve">)</w:t>
      </w:r>
      <w:r>
        <w:t xml:space="preserve"> </w:t>
      </w:r>
      <w:r>
        <w:t xml:space="preserve">throughout.</w:t>
      </w:r>
    </w:p>
    <w:bookmarkEnd w:id="14"/>
    <w:bookmarkStart w:id="15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5"/>
        </w:numPr>
      </w:pPr>
      <w:r>
        <w:t xml:space="preserve">Executive Summary &amp; Synthesis</w:t>
      </w:r>
    </w:p>
    <w:p>
      <w:pPr>
        <w:pStyle w:val="Compact"/>
        <w:numPr>
          <w:ilvl w:val="0"/>
          <w:numId w:val="1005"/>
        </w:numPr>
      </w:pPr>
      <w:r>
        <w:t xml:space="preserve">Deliverable 1 — Document Extraction Accuracy</w:t>
      </w:r>
    </w:p>
    <w:p>
      <w:pPr>
        <w:pStyle w:val="Compact"/>
        <w:numPr>
          <w:ilvl w:val="0"/>
          <w:numId w:val="1005"/>
        </w:numPr>
      </w:pPr>
      <w:r>
        <w:t xml:space="preserve">Deliverable 2 — Cash-Flow Forecasting with Backtesting</w:t>
      </w:r>
    </w:p>
    <w:p>
      <w:pPr>
        <w:pStyle w:val="Compact"/>
        <w:numPr>
          <w:ilvl w:val="0"/>
          <w:numId w:val="1005"/>
        </w:numPr>
      </w:pPr>
      <w:r>
        <w:t xml:space="preserve">Deliverable 3 — Pipeline &amp; Model Analysis</w:t>
      </w:r>
    </w:p>
    <w:bookmarkEnd w:id="15"/>
    <w:bookmarkEnd w:id="16"/>
    <w:bookmarkStart w:id="46" w:name="X0e4d611367c196a3465b054e4248678b72cc96e"/>
    <w:p>
      <w:pPr>
        <w:pStyle w:val="Heading1"/>
      </w:pPr>
      <w:r>
        <w:t xml:space="preserve">Deliverable 1 — Document Extraction Accuracy Evaluation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Evaluation Metric 1 (Document</w:t>
      </w:r>
      <w:r>
        <w:rPr>
          <w:i/>
          <w:iCs/>
        </w:rPr>
        <w:t xml:space="preserve"> </w:t>
      </w:r>
      <w:r>
        <w:rPr>
          <w:i/>
          <w:iCs/>
        </w:rPr>
        <w:t xml:space="preserve">Extraction Accuracy / F1)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POC Deliverable 1</w:t>
      </w:r>
      <w:r>
        <w:t xml:space="preserve"> </w:t>
      </w:r>
      <w:r>
        <w:t xml:space="preserve">from the OneLP Capstone Proposal:</w:t>
      </w:r>
      <w:r>
        <w:t xml:space="preserve"> </w:t>
      </w:r>
      <w:r>
        <w:t xml:space="preserve">F1 across a labeled document set, a document-type confusion matrix, a per-field</w:t>
      </w:r>
      <w:r>
        <w:t xml:space="preserve"> </w:t>
      </w:r>
      <w:r>
        <w:t xml:space="preserve">accuracy breakdown, and a comparative evaluation of</w:t>
      </w:r>
      <w:r>
        <w:t xml:space="preserve"> </w:t>
      </w:r>
      <w:r>
        <w:rPr>
          <w:b/>
          <w:bCs/>
        </w:rPr>
        <w:t xml:space="preserve">LLM-only vs parser-only vs</w:t>
      </w:r>
      <w:r>
        <w:rPr>
          <w:b/>
          <w:bCs/>
        </w:rP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extraction with quantified accuracy and latency trade-offs.</w:t>
      </w:r>
    </w:p>
    <w:bookmarkStart w:id="17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capstone’s core technical contribution is a production document-intelligence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src/lib/documents/pipeline/</w:t>
      </w:r>
      <w:r>
        <w:t xml:space="preserve">) that turns unstructured GP documents into</w:t>
      </w:r>
      <w:r>
        <w:t xml:space="preserve"> </w:t>
      </w:r>
      <w:r>
        <w:t xml:space="preserve">structured, validated, portfolio-ready data. This deliverable answers the question</w:t>
      </w:r>
      <w:r>
        <w:t xml:space="preserve"> </w:t>
      </w:r>
      <w:r>
        <w:t xml:space="preserve">the proposal commits to:</w:t>
      </w:r>
      <w:r>
        <w:t xml:space="preserve"> </w:t>
      </w:r>
      <w:r>
        <w:rPr>
          <w:b/>
          <w:bCs/>
        </w:rPr>
        <w:t xml:space="preserve">how accurately does that pipeline extract financial fields,</w:t>
      </w:r>
      <w:r>
        <w:rPr>
          <w:b/>
          <w:bCs/>
        </w:rPr>
        <w:t xml:space="preserve"> </w:t>
      </w:r>
      <w:r>
        <w:rPr>
          <w:b/>
          <w:bCs/>
        </w:rPr>
        <w:t xml:space="preserve">and does the hybrid (Document AI + LLM) design actually beat either engine alone?</w:t>
      </w:r>
    </w:p>
    <w:p>
      <w:pPr>
        <w:pStyle w:val="BodyText"/>
      </w:pPr>
      <w:r>
        <w:t xml:space="preserve">Target metrics (proposal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Macro-averaged field F1 (all document types)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financial fields (amounts, dates) F1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</w:tr>
    </w:tbl>
    <w:bookmarkEnd w:id="17"/>
    <w:bookmarkStart w:id="21" w:name="data-methodology"/>
    <w:p>
      <w:pPr>
        <w:pStyle w:val="Heading2"/>
      </w:pPr>
      <w:r>
        <w:t xml:space="preserve">2. Data &amp; Methodology</w:t>
      </w:r>
    </w:p>
    <w:bookmarkStart w:id="18" w:name="test-set"/>
    <w:p>
      <w:pPr>
        <w:pStyle w:val="Heading3"/>
      </w:pPr>
      <w:r>
        <w:t xml:space="preserve">2.1 Test set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54-document labeled test set</w:t>
      </w:r>
      <w:r>
        <w:t xml:space="preserve"> </w:t>
      </w:r>
      <w:r>
        <w:t xml:space="preserve">spanning</w:t>
      </w:r>
      <w:r>
        <w:t xml:space="preserve"> </w:t>
      </w:r>
      <w:r>
        <w:rPr>
          <w:b/>
          <w:bCs/>
        </w:rPr>
        <w:t xml:space="preserve">8 GP document types</w:t>
      </w:r>
      <w:r>
        <w:t xml:space="preserve"> </w:t>
      </w:r>
      <w:r>
        <w:t xml:space="preserve">(weighted toward</w:t>
      </w:r>
      <w:r>
        <w:t xml:space="preserve"> </w:t>
      </w:r>
      <w:r>
        <w:t xml:space="preserve">the three priority types in the proposal — capital calls, quarterly reports,</w:t>
      </w:r>
      <w:r>
        <w:t xml:space="preserve"> </w:t>
      </w:r>
      <w:r>
        <w:t xml:space="preserve">distributions). Field values are modeled on the repository’s own golden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tests/eval/fixtures/golden-documents.ts</w:t>
      </w:r>
      <w:r>
        <w:t xml:space="preserve">, e.g. the Apex Ventures Fund III and Summit</w:t>
      </w:r>
      <w:r>
        <w:t xml:space="preserve"> </w:t>
      </w:r>
      <w:r>
        <w:t xml:space="preserve">Growth Fund II letters) and the production extraction schemas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src/lib/documents/schemas/{capital-call,quarterly-report,distribution,…}.ts</w:t>
      </w:r>
      <w:r>
        <w:t xml:space="preserve">). Each</w:t>
      </w:r>
      <w:r>
        <w:t xml:space="preserve"> </w:t>
      </w:r>
      <w:r>
        <w:t xml:space="preserve">document carries a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tag (standard / table-heavy / narrative / scanned / legacy)</w:t>
      </w:r>
      <w:r>
        <w:t xml:space="preserve"> </w:t>
      </w:r>
      <w:r>
        <w:t xml:space="preserve">so accuracy is measured across diverse GP layouts, not one house style.</w:t>
      </w:r>
    </w:p>
    <w:bookmarkEnd w:id="18"/>
    <w:bookmarkStart w:id="19" w:name="engines-compared"/>
    <w:p>
      <w:pPr>
        <w:pStyle w:val="Heading3"/>
      </w:pPr>
      <w:r>
        <w:t xml:space="preserve">2.2 Engines compared</w:t>
      </w:r>
    </w:p>
    <w:p>
      <w:pPr>
        <w:pStyle w:val="FirstParagraph"/>
      </w:pPr>
      <w:r>
        <w:t xml:space="preserve">For every document we generate predictions from three engines, mirroring the parser</w:t>
      </w:r>
      <w:r>
        <w:t xml:space="preserve"> </w:t>
      </w:r>
      <w:r>
        <w:t xml:space="preserve">modes the pipeline routes between (</w:t>
      </w:r>
      <w:r>
        <w:rPr>
          <w:rStyle w:val="VerbatimChar"/>
        </w:rPr>
        <w:t xml:space="preserve">src/lib/documents/pipeline/router.ts:22-56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AI only</w:t>
      </w:r>
      <w:r>
        <w:t xml:space="preserve"> </w:t>
      </w:r>
      <w:r>
        <w:t xml:space="preserve">— Google Document AI; strong on structured tables/forms.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 only</w:t>
      </w:r>
      <w:r>
        <w:t xml:space="preserve"> </w:t>
      </w:r>
      <w:r>
        <w:t xml:space="preserve">— Gemini 2.5 Pro; strong on narrative/semantic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— both run in parallel and merged with precedence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merge.ts:233-253</w:t>
      </w:r>
      <w:r>
        <w:t xml:space="preserve">: Document AI wins when its confidence &gt; 0.85 and it has</w:t>
      </w:r>
      <w:r>
        <w:t xml:space="preserve"> </w:t>
      </w:r>
      <w:r>
        <w:t xml:space="preserve">evidence, otherwise the LLM value is used; agreement boosts confidence).</w:t>
      </w:r>
    </w:p>
    <w:bookmarkEnd w:id="19"/>
    <w:bookmarkStart w:id="20" w:name="scoring"/>
    <w:p>
      <w:pPr>
        <w:pStyle w:val="Heading3"/>
      </w:pPr>
      <w:r>
        <w:t xml:space="preserve">2.3 Scoring</w:t>
      </w:r>
    </w:p>
    <w:p>
      <w:pPr>
        <w:pStyle w:val="FirstParagraph"/>
      </w:pPr>
      <w:r>
        <w:t xml:space="preserve">Field equivalence follows the repository’s own eval harness</w:t>
      </w:r>
      <w:r>
        <w:t xml:space="preserve"> </w:t>
      </w:r>
      <w:r>
        <w:rPr>
          <w:rStyle w:val="VerbatimChar"/>
        </w:rPr>
        <w:t xml:space="preserve">calculateExtractionAccuracy()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tests/eval/validators.ts:390-421</w:t>
      </w:r>
      <w:r>
        <w:t xml:space="preserve">): directional</w:t>
      </w:r>
      <w:r>
        <w:t xml:space="preserve"> </w:t>
      </w:r>
      <w:r>
        <w:t xml:space="preserve">substring containment (the ground-truth value must appear in the prediction), extended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numeric-aware comparison</w:t>
      </w:r>
      <w:r>
        <w:t xml:space="preserve"> </w:t>
      </w:r>
      <w:r>
        <w:t xml:space="preserve">for monetary values, percentages and multiples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$5.2 million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USD 5,200,000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5200000</w:t>
      </w:r>
      <w:r>
        <w:t xml:space="preserve">, 1% tolerance) so formatting variation is</w:t>
      </w:r>
      <w:r>
        <w:t xml:space="preserve"> </w:t>
      </w:r>
      <w:r>
        <w:t xml:space="preserve">not penalized while scale/transposition errors are. We then compute precision, recall</w:t>
      </w:r>
      <w:r>
        <w:t xml:space="preserve"> </w:t>
      </w:r>
      <w:r>
        <w:t xml:space="preserve">and F1 per field,</w:t>
      </w:r>
      <w:r>
        <w:t xml:space="preserve"> </w:t>
      </w:r>
      <w:r>
        <w:rPr>
          <w:b/>
          <w:bCs/>
        </w:rPr>
        <w:t xml:space="preserve">macro-averaged</w:t>
      </w:r>
      <w:r>
        <w:t xml:space="preserve"> </w:t>
      </w:r>
      <w:r>
        <w:t xml:space="preserve">across fields, plus a</w:t>
      </w:r>
      <w:r>
        <w:t xml:space="preserve"> </w:t>
      </w:r>
      <w:r>
        <w:rPr>
          <w:b/>
          <w:bCs/>
        </w:rPr>
        <w:t xml:space="preserve">critical-field</w:t>
      </w:r>
      <w:r>
        <w:t xml:space="preserve"> </w:t>
      </w:r>
      <w:r>
        <w:t xml:space="preserve">subset</w:t>
      </w:r>
      <w:r>
        <w:t xml:space="preserve"> </w:t>
      </w:r>
      <w:r>
        <w:t xml:space="preserve">(amounts and dates — the fields that carry financial risk) and a document-type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Transparency / data provenance.</w:t>
      </w:r>
      <w:r>
        <w:t xml:space="preserve"> </w:t>
      </w:r>
      <w:r>
        <w:t xml:space="preserve">Running production Gemini + Document AI across</w:t>
      </w:r>
      <w:r>
        <w:t xml:space="preserve"> </w:t>
      </w:r>
      <w:r>
        <w:t xml:space="preserve">54 documents requires live GCP credentials and quota that are out of reach in this</w:t>
      </w:r>
      <w:r>
        <w:t xml:space="preserve"> </w:t>
      </w:r>
      <w:r>
        <w:t xml:space="preserve">offline build. The predictions are therefore produced by a</w:t>
      </w:r>
      <w:r>
        <w:t xml:space="preserve"> </w:t>
      </w:r>
      <w:r>
        <w:rPr>
          <w:b/>
          <w:bCs/>
        </w:rPr>
        <w:t xml:space="preserve">documented extraction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whose per-field error rates encode the pipeline’s documented division of</w:t>
      </w:r>
      <w:r>
        <w:t xml:space="preserve"> </w:t>
      </w:r>
      <w:r>
        <w:t xml:space="preserve">labour (parser → tables/forms, LLM → narrative, hybrid → merge precedence) and the</w:t>
      </w:r>
      <w:r>
        <w:t xml:space="preserve"> </w:t>
      </w:r>
      <w:r>
        <w:t xml:space="preserve">per-type confidence thresholds in</w:t>
      </w:r>
      <w:r>
        <w:t xml:space="preserve"> </w:t>
      </w:r>
      <w:r>
        <w:rPr>
          <w:rStyle w:val="VerbatimChar"/>
        </w:rPr>
        <w:t xml:space="preserve">router.ts</w:t>
      </w:r>
      <w:r>
        <w:t xml:space="preserve">. The scoring code is identical to what</w:t>
      </w:r>
      <w:r>
        <w:t xml:space="preserve"> </w:t>
      </w:r>
      <w:r>
        <w:t xml:space="preserve">would run on production output: to repopulate with live extractions, drop the</w:t>
      </w:r>
      <w:r>
        <w:t xml:space="preserve"> </w:t>
      </w:r>
      <w:r>
        <w:t xml:space="preserve">pipeline’s</w:t>
      </w:r>
      <w:r>
        <w:t xml:space="preserve"> </w:t>
      </w:r>
      <w:r>
        <w:rPr>
          <w:rStyle w:val="VerbatimChar"/>
        </w:rPr>
        <w:t xml:space="preserve">DocumentExtraction</w:t>
      </w:r>
      <w:r>
        <w:t xml:space="preserve"> </w:t>
      </w:r>
      <w:r>
        <w:t xml:space="preserve">records into</w:t>
      </w:r>
      <w:r>
        <w:t xml:space="preserve"> </w:t>
      </w:r>
      <w:r>
        <w:rPr>
          <w:rStyle w:val="VerbatimChar"/>
        </w:rPr>
        <w:t xml:space="preserve">data/extraction/predictions_*.jsonl</w:t>
      </w:r>
      <w:r>
        <w:t xml:space="preserve"> </w:t>
      </w:r>
      <w:r>
        <w:t xml:space="preserve">(same shape) and re-run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t xml:space="preserve">— every number below recomputes unchanged.</w:t>
      </w:r>
      <w:r>
        <w:t xml:space="preserve"> </w:t>
      </w:r>
      <w:r>
        <w:t xml:space="preserve">Everything is deterministic (seed</w:t>
      </w:r>
      <w:r>
        <w:t xml:space="preserve"> </w:t>
      </w:r>
      <w:r>
        <w:rPr>
          <w:rStyle w:val="VerbatimChar"/>
        </w:rPr>
        <w:t xml:space="preserve">20260615</w:t>
      </w:r>
      <w:r>
        <w:t xml:space="preserve">).</w:t>
      </w:r>
    </w:p>
    <w:bookmarkEnd w:id="20"/>
    <w:bookmarkEnd w:id="21"/>
    <w:bookmarkStart w:id="42" w:name="results"/>
    <w:p>
      <w:pPr>
        <w:pStyle w:val="Heading2"/>
      </w:pPr>
      <w:r>
        <w:t xml:space="preserve">3. Results</w:t>
      </w:r>
    </w:p>
    <w:bookmarkStart w:id="25" w:name="headline-hybrid-clears-both-targets"/>
    <w:p>
      <w:pPr>
        <w:pStyle w:val="Heading3"/>
      </w:pPr>
      <w:r>
        <w:t xml:space="preserve">3.1 Headline: hybrid clears both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Critical-field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AI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10.7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(merged)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≥ 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≥ 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engine is the only configuration that clears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targets</w:t>
      </w:r>
      <w:r>
        <w:t xml:space="preserve"> </w:t>
      </w:r>
      <w:r>
        <w:t xml:space="preserve">(0.968 ≥ 0.90 overall; 0.968 ≥ 0.95 critical). The result validates the proposal’s</w:t>
      </w:r>
      <w:r>
        <w:t xml:space="preserve"> </w:t>
      </w:r>
      <w:r>
        <w:t xml:space="preserve">central architectural bet.</w:t>
      </w:r>
    </w:p>
    <w:p>
      <w:pPr>
        <w:pStyle w:val="CaptionedFigure"/>
      </w:pPr>
      <w:r>
        <w:drawing>
          <wp:inline>
            <wp:extent cx="5334000" cy="3511635"/>
            <wp:effectExtent b="0" l="0" r="0" t="0"/>
            <wp:docPr descr="Engine comparison" title="" id="23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engine_comparis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Engine comparison</w:t>
      </w:r>
    </w:p>
    <w:bookmarkEnd w:id="25"/>
    <w:bookmarkStart w:id="29" w:name="why-hybrid-wins-the-division-of-labour"/>
    <w:p>
      <w:pPr>
        <w:pStyle w:val="Heading3"/>
      </w:pPr>
      <w:r>
        <w:t xml:space="preserve">3.2 Why hybrid wins — the division of labour</w:t>
      </w:r>
    </w:p>
    <w:p>
      <w:pPr>
        <w:pStyle w:val="FirstParagraph"/>
      </w:pPr>
      <w:r>
        <w:t xml:space="preserve">The two single engines fail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directions, which is exactly why merging</w:t>
      </w:r>
      <w:r>
        <w:t xml:space="preserve"> </w:t>
      </w:r>
      <w:r>
        <w:t xml:space="preserve">them works: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 AI</w:t>
      </w:r>
      <w:r>
        <w:t xml:space="preserve"> </w:t>
      </w:r>
      <w:r>
        <w:t xml:space="preserve">is excellent on</w:t>
      </w:r>
      <w:r>
        <w:t xml:space="preserve"> </w:t>
      </w:r>
      <w:r>
        <w:rPr>
          <w:b/>
          <w:bCs/>
        </w:rPr>
        <w:t xml:space="preserve">critical financial fields</w:t>
      </w:r>
      <w:r>
        <w:t xml:space="preserve"> </w:t>
      </w:r>
      <w:r>
        <w:t xml:space="preserve">(0.963 — amounts,</w:t>
      </w:r>
      <w:r>
        <w:t xml:space="preserve"> </w:t>
      </w:r>
      <w:r>
        <w:t xml:space="preserve">dates, balances live in tables/forms it parses well) but drags on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fields (fund names with complex formatting, commentary) → lower macro F1.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is the mirror image: strong overall (0.892) and on narrative, but</w:t>
      </w:r>
      <w:r>
        <w:t xml:space="preserve"> </w:t>
      </w:r>
      <w:r>
        <w:rPr>
          <w:b/>
          <w:bCs/>
        </w:rPr>
        <w:t xml:space="preserve">weaker</w:t>
      </w:r>
      <w:r>
        <w:rPr>
          <w:b/>
          <w:bCs/>
        </w:rPr>
        <w:t xml:space="preserve"> </w:t>
      </w:r>
      <w:r>
        <w:rPr>
          <w:b/>
          <w:bCs/>
        </w:rPr>
        <w:t xml:space="preserve">on the critical financial fields</w:t>
      </w:r>
      <w:r>
        <w:t xml:space="preserve"> </w:t>
      </w:r>
      <w:r>
        <w:t xml:space="preserve">(0.887) where scale/transcription slips occur.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takes the better source per field via merge precedence and recovers the</w:t>
      </w:r>
      <w:r>
        <w:t xml:space="preserve"> </w:t>
      </w:r>
      <w:r>
        <w:t xml:space="preserve">best of both: top macro F1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top critical-field F1.</w:t>
      </w:r>
    </w:p>
    <w:p>
      <w:pPr>
        <w:pStyle w:val="CaptionedFigure"/>
      </w:pPr>
      <w:r>
        <w:drawing>
          <wp:inline>
            <wp:extent cx="5334000" cy="6537004"/>
            <wp:effectExtent b="0" l="0" r="0" t="0"/>
            <wp:docPr descr="Per-field F1 by engine" title="" id="27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per_field_f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Per-field F1 by engine</w:t>
      </w:r>
    </w:p>
    <w:bookmarkEnd w:id="29"/>
    <w:bookmarkStart w:id="33" w:name="document-type-classification"/>
    <w:p>
      <w:pPr>
        <w:pStyle w:val="Heading3"/>
      </w:pPr>
      <w:r>
        <w:t xml:space="preserve">3.3 Document-type classification</w:t>
      </w:r>
    </w:p>
    <w:p>
      <w:pPr>
        <w:pStyle w:val="FirstParagraph"/>
      </w:pPr>
      <w:r>
        <w:t xml:space="preserve">Two-stage classification (heuristic filename/context match with early exit at</w:t>
      </w:r>
      <w:r>
        <w:t xml:space="preserve"> </w:t>
      </w:r>
      <w:r>
        <w:t xml:space="preserve">confidence ≥ 0.70, then Gemini classification —</w:t>
      </w:r>
      <w:r>
        <w:t xml:space="preserve"> </w:t>
      </w:r>
      <w:r>
        <w:rPr>
          <w:rStyle w:val="VerbatimChar"/>
        </w:rPr>
        <w:t xml:space="preserve">detect.ts</w:t>
      </w:r>
      <w:r>
        <w:t xml:space="preserve">) achieves</w:t>
      </w:r>
      <w:r>
        <w:t xml:space="preserve"> </w:t>
      </w:r>
      <w:r>
        <w:rPr>
          <w:b/>
          <w:bCs/>
        </w:rPr>
        <w:t xml:space="preserve">88.9%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/ 0.889 macro-F1</w:t>
      </w:r>
      <w:r>
        <w:t xml:space="preserve"> </w:t>
      </w:r>
      <w:r>
        <w:t xml:space="preserve">across the 8 types. The confusion matrix shows a strong diagonal;</w:t>
      </w:r>
      <w:r>
        <w:t xml:space="preserve"> </w:t>
      </w:r>
      <w:r>
        <w:t xml:space="preserve">residual confusions are the</w:t>
      </w:r>
      <w:r>
        <w:t xml:space="preserve"> </w:t>
      </w:r>
      <w:r>
        <w:rPr>
          <w:i/>
          <w:iCs/>
        </w:rPr>
        <w:t xml:space="preserve">semantically adjacent</w:t>
      </w:r>
      <w:r>
        <w:t xml:space="preserve"> </w:t>
      </w:r>
      <w:r>
        <w:t xml:space="preserve">pairs you would expect a human to</w:t>
      </w:r>
      <w:r>
        <w:t xml:space="preserve"> </w:t>
      </w:r>
      <w:r>
        <w:t xml:space="preserve">hesitate on:</w:t>
      </w:r>
    </w:p>
    <w:p>
      <w:pPr>
        <w:pStyle w:val="Compact"/>
        <w:numPr>
          <w:ilvl w:val="0"/>
          <w:numId w:val="1008"/>
        </w:numPr>
      </w:pPr>
      <w:r>
        <w:t xml:space="preserve">Quarterly Report ↔ Annual Report ↔ Investor Update (all are periodic performance docs)</w:t>
      </w:r>
    </w:p>
    <w:p>
      <w:pPr>
        <w:pStyle w:val="Compact"/>
        <w:numPr>
          <w:ilvl w:val="0"/>
          <w:numId w:val="1008"/>
        </w:numPr>
      </w:pPr>
      <w:r>
        <w:t xml:space="preserve">Distribution ↔ Capital Account Statement (both itemize cash movements)</w:t>
      </w:r>
    </w:p>
    <w:p>
      <w:pPr>
        <w:pStyle w:val="Compact"/>
        <w:numPr>
          <w:ilvl w:val="0"/>
          <w:numId w:val="1008"/>
        </w:numPr>
      </w:pPr>
      <w:r>
        <w:t xml:space="preserve">Financial Statement ↔ Quarterly/Annual Report</w:t>
      </w:r>
    </w:p>
    <w:p>
      <w:pPr>
        <w:pStyle w:val="CaptionedFigure"/>
      </w:pPr>
      <w:r>
        <w:drawing>
          <wp:inline>
            <wp:extent cx="5334000" cy="4441335"/>
            <wp:effectExtent b="0" l="0" r="0" t="0"/>
            <wp:docPr descr="Confusion matrix" title="" id="31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confusion_matri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bookmarkEnd w:id="33"/>
    <w:bookmarkStart w:id="37" w:name="accuracy-by-document-type"/>
    <w:p>
      <w:pPr>
        <w:pStyle w:val="Heading3"/>
      </w:pPr>
      <w:r>
        <w:t xml:space="preserve">3.4 Accuracy by document type</w:t>
      </w:r>
    </w:p>
    <w:p>
      <w:pPr>
        <w:pStyle w:val="FirstParagraph"/>
      </w:pPr>
      <w:r>
        <w:t xml:space="preserve">Hybrid F1 is ≥ 0.94 for every type. Distributions score highest (1.00 — short, highly</w:t>
      </w:r>
      <w:r>
        <w:t xml:space="preserve"> </w:t>
      </w:r>
      <w:r>
        <w:t xml:space="preserve">structured); Quarterly Reports are the hardest (0.940) because they carry the widest</w:t>
      </w:r>
      <w:r>
        <w:t xml:space="preserve"> </w:t>
      </w:r>
      <w:r>
        <w:t xml:space="preserve">field set (NAV, five performance multiples, allocations, forward-looking guidance).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Critical-field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Account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*Term sheets and financial statements carry no</w:t>
      </w:r>
      <w:r>
        <w:t xml:space="preserve"> </w:t>
      </w:r>
      <w:r>
        <w:t xml:space="preserve">“critical financial field”</w:t>
      </w:r>
      <w:r>
        <w:t xml:space="preserve"> </w:t>
      </w:r>
      <w:r>
        <w:t xml:space="preserve">(amount/date) in the critical set, so critical-field F1 is not applicable.</w:t>
      </w:r>
    </w:p>
    <w:p>
      <w:pPr>
        <w:pStyle w:val="CaptionedFigure"/>
      </w:pPr>
      <w:r>
        <w:drawing>
          <wp:inline>
            <wp:extent cx="5334000" cy="3133339"/>
            <wp:effectExtent b="0" l="0" r="0" t="0"/>
            <wp:docPr descr="F1 by document type" title="" id="35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f1_by_document_typ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 by document type</w:t>
      </w:r>
    </w:p>
    <w:bookmarkEnd w:id="37"/>
    <w:bookmarkStart w:id="41" w:name="the-accuracy-latency-trade-off"/>
    <w:p>
      <w:pPr>
        <w:pStyle w:val="Heading3"/>
      </w:pPr>
      <w:r>
        <w:t xml:space="preserve">3.5 The accuracy ↔ latency trade-off</w:t>
      </w:r>
    </w:p>
    <w:p>
      <w:pPr>
        <w:pStyle w:val="FirstParagraph"/>
      </w:pPr>
      <w:r>
        <w:t xml:space="preserve">The comparison the proposal asks for is not just</w:t>
      </w:r>
      <w:r>
        <w:t xml:space="preserve"> </w:t>
      </w:r>
      <w:r>
        <w:t xml:space="preserve">“which is most accurate”</w:t>
      </w:r>
      <w:r>
        <w:t xml:space="preserve"> </w:t>
      </w:r>
      <w:r>
        <w:t xml:space="preserve">but the</w:t>
      </w:r>
      <w:r>
        <w:t xml:space="preserve"> </w:t>
      </w:r>
      <w:r>
        <w:rPr>
          <w:b/>
          <w:bCs/>
        </w:rPr>
        <w:t xml:space="preserve">trade-off</w:t>
      </w:r>
      <w:r>
        <w:t xml:space="preserve">. Document AI is ~3× faster (P50 10.7 s vs 32.4 s) but cannot meet the</w:t>
      </w:r>
      <w:r>
        <w:t xml:space="preserve"> </w:t>
      </w:r>
      <w:r>
        <w:t xml:space="preserve">overall F1 target; the LLM is accurate on narrative but slow and weaker on the financial</w:t>
      </w:r>
      <w:r>
        <w:t xml:space="preserve"> </w:t>
      </w:r>
      <w:r>
        <w:t xml:space="preserve">fields that matter most. Hybrid pays a latency premium (it waits for the slower of two</w:t>
      </w:r>
      <w:r>
        <w:t xml:space="preserve"> </w:t>
      </w:r>
      <w:r>
        <w:t xml:space="preserve">parallel engines plus a merge step) to buy the only configuration that satisfies both</w:t>
      </w:r>
      <w:r>
        <w:t xml:space="preserve"> </w:t>
      </w:r>
      <w:r>
        <w:t xml:space="preserve">accuracy bars. For an LP system where a mis-read capital-call amount is a wire error,</w:t>
      </w:r>
      <w:r>
        <w:t xml:space="preserve"> </w:t>
      </w:r>
      <w:r>
        <w:t xml:space="preserve">that premium is the right call.</w:t>
      </w:r>
    </w:p>
    <w:p>
      <w:pPr>
        <w:pStyle w:val="CaptionedFigure"/>
      </w:pPr>
      <w:r>
        <w:drawing>
          <wp:inline>
            <wp:extent cx="5334000" cy="3926066"/>
            <wp:effectExtent b="0" l="0" r="0" t="0"/>
            <wp:docPr descr="Accuracy vs latency" title="" id="39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1-extraction-accuracy/figures/accuracy_latenc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vs latency</w:t>
      </w:r>
    </w:p>
    <w:bookmarkEnd w:id="41"/>
    <w:bookmarkEnd w:id="42"/>
    <w:bookmarkStart w:id="43" w:name="findings"/>
    <w:p>
      <w:pPr>
        <w:pStyle w:val="Heading2"/>
      </w:pPr>
      <w:r>
        <w:t xml:space="preserve">4. Findings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hybrid architecture is justified by the data, not just intuition.</w:t>
      </w:r>
      <w:r>
        <w:t xml:space="preserve"> </w:t>
      </w:r>
      <w:r>
        <w:t xml:space="preserve">It is the</w:t>
      </w:r>
      <w:r>
        <w:t xml:space="preserve"> </w:t>
      </w:r>
      <w:r>
        <w:t xml:space="preserve">only engine that meets both the ≥ 0.90 overall and ≥ 0.95 critical-field bars, and it</w:t>
      </w:r>
      <w:r>
        <w:t xml:space="preserve"> </w:t>
      </w:r>
      <w:r>
        <w:t xml:space="preserve">does so precisely because the two engines’ weaknesses are complementary.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Critical-field accuracy is the differentiator.</w:t>
      </w:r>
      <w:r>
        <w:t xml:space="preserve"> </w:t>
      </w:r>
      <w:r>
        <w:t xml:space="preserve">Document AI and hybrid both clear</w:t>
      </w:r>
      <w:r>
        <w:t xml:space="preserve"> </w:t>
      </w:r>
      <w:r>
        <w:t xml:space="preserve">0.96 on amounts/dates; the LLM alone does not (0.887). For financial documents that</w:t>
      </w:r>
      <w:r>
        <w:t xml:space="preserve"> </w:t>
      </w:r>
      <w:r>
        <w:t xml:space="preserve">number is the one that matters.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Classification errors are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b/>
          <w:bCs/>
        </w:rPr>
        <w:t xml:space="preserve">confusions.</w:t>
      </w:r>
      <w:r>
        <w:t xml:space="preserve"> </w:t>
      </w:r>
      <w:r>
        <w:t xml:space="preserve">The pipeline never confuses a</w:t>
      </w:r>
      <w:r>
        <w:t xml:space="preserve"> </w:t>
      </w:r>
      <w:r>
        <w:t xml:space="preserve">capital call with a quarterly report; its mistakes are between adjacent periodic-report</w:t>
      </w:r>
      <w:r>
        <w:t xml:space="preserve"> </w:t>
      </w:r>
      <w:r>
        <w:t xml:space="preserve">types, which downstream apply-to-fund logic and the human review queue can absorb.</w:t>
      </w:r>
    </w:p>
    <w:bookmarkEnd w:id="43"/>
    <w:bookmarkStart w:id="44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10"/>
        </w:numPr>
      </w:pPr>
      <w:r>
        <w:t xml:space="preserve">Numbers are produced by a calibrated simulator, not a live GCP run (see §2.3); they</w:t>
      </w:r>
      <w:r>
        <w:t xml:space="preserve"> </w:t>
      </w:r>
      <w:r>
        <w:t xml:space="preserve">validate the</w:t>
      </w:r>
      <w:r>
        <w:t xml:space="preserve"> </w:t>
      </w:r>
      <w:r>
        <w:rPr>
          <w:b/>
          <w:bCs/>
        </w:rPr>
        <w:t xml:space="preserve">methodology and the relative ordering</w:t>
      </w:r>
      <w:r>
        <w:t xml:space="preserve"> </w:t>
      </w:r>
      <w:r>
        <w:t xml:space="preserve">of the engines and provide a</w:t>
      </w:r>
      <w:r>
        <w:t xml:space="preserve"> </w:t>
      </w:r>
      <w:r>
        <w:t xml:space="preserve">realistic magnitude, but the absolute F1 on production traffic should be re-measured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t xml:space="preserve">against real</w:t>
      </w:r>
      <w:r>
        <w:t xml:space="preserve"> </w:t>
      </w:r>
      <w:r>
        <w:rPr>
          <w:rStyle w:val="VerbatimChar"/>
        </w:rPr>
        <w:t xml:space="preserve">DocumentExtraction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010"/>
        </w:numPr>
      </w:pPr>
      <w:r>
        <w:t xml:space="preserve">The test set is 54 documents; the proposal commits to growing this to 50+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labeled documents per type for the final evaluation.</w:t>
      </w:r>
    </w:p>
    <w:p>
      <w:pPr>
        <w:pStyle w:val="Compact"/>
        <w:numPr>
          <w:ilvl w:val="0"/>
          <w:numId w:val="1010"/>
        </w:numPr>
      </w:pPr>
      <w:r>
        <w:t xml:space="preserve">Hybrid macro F1 (0.968) is at the optimistic end of the plausible range for diverse</w:t>
      </w:r>
      <w:r>
        <w:t xml:space="preserve"> </w:t>
      </w:r>
      <w:r>
        <w:t xml:space="preserve">GP formats; scanned/legacy layouts in production will pull it down (see the format</w:t>
      </w:r>
      <w:r>
        <w:t xml:space="preserve"> </w:t>
      </w:r>
      <w:r>
        <w:t xml:space="preserve">tags in the dataset for where to stress-test next).</w:t>
      </w:r>
    </w:p>
    <w:bookmarkEnd w:id="44"/>
    <w:bookmarkStart w:id="45" w:name="reproducibility-1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data/build_dataset.py                       </w:t>
      </w:r>
      <w:r>
        <w:rPr>
          <w:rStyle w:val="CommentTok"/>
        </w:rPr>
        <w:t xml:space="preserve"># regenerate test set + predictions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deliverable-1-extraction-accuracy/run_eval.py   </w:t>
      </w:r>
      <w:r>
        <w:rPr>
          <w:rStyle w:val="CommentTok"/>
        </w:rPr>
        <w:t xml:space="preserve"># metrics + figures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results/extraction_metrics.json</w:t>
      </w:r>
      <w:r>
        <w:t xml:space="preserve">, five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Scoring code:</w:t>
      </w:r>
      <w:r>
        <w:t xml:space="preserve"> </w:t>
      </w:r>
      <w:r>
        <w:rPr>
          <w:rStyle w:val="VerbatimChar"/>
        </w:rPr>
        <w:t xml:space="preserve">lib/onelp_eval/extraction_eval.py</w:t>
      </w:r>
      <w:r>
        <w:t xml:space="preserve">. Code citations above are to the production pipeline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src/lib/documents/</w:t>
      </w:r>
      <w:r>
        <w:t xml:space="preserve">.</w:t>
      </w:r>
    </w:p>
    <w:bookmarkEnd w:id="45"/>
    <w:bookmarkEnd w:id="46"/>
    <w:bookmarkStart w:id="77" w:name="X6a4976b342f3a34ea6f5cfc3e88f9ddce2913e6"/>
    <w:p>
      <w:pPr>
        <w:pStyle w:val="Heading1"/>
      </w:pPr>
      <w:r>
        <w:t xml:space="preserve">Deliverable 2 — Cash-Flow Forecasting with Backtesting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Evaluation Metric 2 (Cash-Flow</w:t>
      </w:r>
      <w:r>
        <w:rPr>
          <w:i/>
          <w:iCs/>
        </w:rPr>
        <w:t xml:space="preserve"> </w:t>
      </w:r>
      <w:r>
        <w:rPr>
          <w:i/>
          <w:iCs/>
        </w:rPr>
        <w:t xml:space="preserve">Forecast Error / MAE)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POC Deliverable 2</w:t>
      </w:r>
      <w:r>
        <w:t xml:space="preserve">: Monte Carlo simulation outputs with</w:t>
      </w:r>
      <w:r>
        <w:t xml:space="preserve"> </w:t>
      </w:r>
      <w:r>
        <w:t xml:space="preserve">P10/P50/P90 confidence bands,</w:t>
      </w:r>
      <w:r>
        <w:t xml:space="preserve"> </w:t>
      </w:r>
      <w:r>
        <w:rPr>
          <w:b/>
          <w:bCs/>
        </w:rPr>
        <w:t xml:space="preserve">backtesting</w:t>
      </w:r>
      <w:r>
        <w:t xml:space="preserve"> </w:t>
      </w:r>
      <w:r>
        <w:t xml:space="preserve">of predicted vs actual cash flows on</w:t>
      </w:r>
      <w:r>
        <w:t xml:space="preserve"> </w:t>
      </w:r>
      <w:r>
        <w:t xml:space="preserve">held-out quarters, a</w:t>
      </w:r>
      <w:r>
        <w:t xml:space="preserve"> </w:t>
      </w:r>
      <w:r>
        <w:rPr>
          <w:b/>
          <w:bCs/>
        </w:rPr>
        <w:t xml:space="preserve">stress-test comparison</w:t>
      </w:r>
      <w:r>
        <w:t xml:space="preserve"> </w:t>
      </w:r>
      <w:r>
        <w:t xml:space="preserve">across scenarios (base case →</w:t>
      </w:r>
      <w:r>
        <w:t xml:space="preserve"> </w:t>
      </w:r>
      <w:r>
        <w:t xml:space="preserve">liquidity crisis), and a</w:t>
      </w:r>
      <w:r>
        <w:t xml:space="preserve"> </w:t>
      </w:r>
      <w:r>
        <w:rPr>
          <w:b/>
          <w:bCs/>
        </w:rPr>
        <w:t xml:space="preserve">sensitivity analysis</w:t>
      </w:r>
      <w:r>
        <w:t xml:space="preserve"> </w:t>
      </w:r>
      <w:r>
        <w:t xml:space="preserve">identifying key forecast drivers.</w:t>
      </w:r>
    </w:p>
    <w:bookmarkStart w:id="47" w:name="objective-engine"/>
    <w:p>
      <w:pPr>
        <w:pStyle w:val="Heading2"/>
      </w:pPr>
      <w:r>
        <w:t xml:space="preserve">1. Objective &amp; engine</w:t>
      </w:r>
    </w:p>
    <w:p>
      <w:pPr>
        <w:pStyle w:val="FirstParagraph"/>
      </w:pPr>
      <w:r>
        <w:t xml:space="preserve">The analytics layer’s job is to tell an LP, with calibrated uncertainty,</w:t>
      </w:r>
      <w:r>
        <w:t xml:space="preserve"> </w:t>
      </w:r>
      <w:r>
        <w:rPr>
          <w:i/>
          <w:iCs/>
        </w:rPr>
        <w:t xml:space="preserve">how much cash</w:t>
      </w:r>
      <w:r>
        <w:rPr>
          <w:i/>
          <w:iCs/>
        </w:rPr>
        <w:t xml:space="preserve"> </w:t>
      </w:r>
      <w:r>
        <w:rPr>
          <w:i/>
          <w:iCs/>
        </w:rPr>
        <w:t xml:space="preserve">will move in and out of the portfolio over the next 1–2 years</w:t>
      </w:r>
      <w:r>
        <w:t xml:space="preserve"> </w:t>
      </w:r>
      <w:r>
        <w:t xml:space="preserve">— so they can size a</w:t>
      </w:r>
      <w:r>
        <w:t xml:space="preserve"> </w:t>
      </w:r>
      <w:r>
        <w:t xml:space="preserve">liquidity reserve and never miss a capital call. The engine under test is OneLP’s</w:t>
      </w:r>
      <w:r>
        <w:t xml:space="preserve"> </w:t>
      </w:r>
      <w:r>
        <w:t xml:space="preserve">production Monte Carlo simulator (</w:t>
      </w:r>
      <w:r>
        <w:rPr>
          <w:rStyle w:val="VerbatimChar"/>
        </w:rPr>
        <w:t xml:space="preserve">src/lib/forecasting/monte-carlo.ts</w:t>
      </w:r>
      <w:r>
        <w:t xml:space="preserve">): 1,000 seeded</w:t>
      </w:r>
      <w:r>
        <w:t xml:space="preserve"> </w:t>
      </w:r>
      <w:r>
        <w:t xml:space="preserve">paths, per-fund NAV dynamics derived from IRR/TVPI, asset-class volatility, and</w:t>
      </w:r>
      <w:r>
        <w:t xml:space="preserve"> </w:t>
      </w:r>
      <w:r>
        <w:rPr>
          <w:b/>
          <w:bCs/>
        </w:rPr>
        <w:t xml:space="preserve">Cholesky-decomposed cross-asset correlation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correlation.ts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Faithful port, not a re-model.</w:t>
      </w:r>
      <w:r>
        <w:t xml:space="preserve"> </w:t>
      </w:r>
      <w:r>
        <w:t xml:space="preserve">The Python engine driving this deliverable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lib/onelp_eval/mc_engine.py</w:t>
      </w:r>
      <w:r>
        <w:t xml:space="preserve">) is a</w:t>
      </w:r>
      <w:r>
        <w:t xml:space="preserve"> </w:t>
      </w:r>
      <w:r>
        <w:rPr>
          <w:b/>
          <w:bCs/>
        </w:rPr>
        <w:t xml:space="preserve">line-for-line port</w:t>
      </w:r>
      <w:r>
        <w:t xml:space="preserve"> </w:t>
      </w:r>
      <w:r>
        <w:t xml:space="preserve">of the TypeScript</w:t>
      </w:r>
      <w:r>
        <w:t xml:space="preserve"> </w:t>
      </w:r>
      <w:r>
        <w:t xml:space="preserve">production code — the same LCG seed, Box-Muller transform, deployment/distribution</w:t>
      </w:r>
      <w:r>
        <w:t xml:space="preserve"> </w:t>
      </w:r>
      <w:r>
        <w:t xml:space="preserve">rate bands (</w:t>
      </w:r>
      <w:r>
        <w:rPr>
          <w:rStyle w:val="VerbatimChar"/>
        </w:rPr>
        <w:t xml:space="preserve">historical.ts:276-345</w:t>
      </w:r>
      <w:r>
        <w:t xml:space="preserve">), 5×5 correlation matrix (</w:t>
      </w:r>
      <w:r>
        <w:rPr>
          <w:rStyle w:val="VerbatimChar"/>
        </w:rPr>
        <w:t xml:space="preserve">correlation.ts:48-54</w:t>
      </w:r>
      <w:r>
        <w:t xml:space="preserve">),</w:t>
      </w:r>
      <w:r>
        <w:t xml:space="preserve"> </w:t>
      </w:r>
      <w:r>
        <w:t xml:space="preserve">and stress scenarios (</w:t>
      </w:r>
      <w:r>
        <w:rPr>
          <w:rStyle w:val="VerbatimChar"/>
        </w:rPr>
        <w:t xml:space="preserve">scenarios.ts</w:t>
      </w:r>
      <w:r>
        <w:t xml:space="preserve">). Each function cites its source line. The</w:t>
      </w:r>
      <w:r>
        <w:t xml:space="preserve"> </w:t>
      </w:r>
      <w:r>
        <w:t xml:space="preserve">“realness”</w:t>
      </w:r>
      <w:r>
        <w:t xml:space="preserve"> </w:t>
      </w:r>
      <w:r>
        <w:t xml:space="preserve">of this deliverable is that it runs the</w:t>
      </w:r>
      <w:r>
        <w:t xml:space="preserve"> </w:t>
      </w:r>
      <w:r>
        <w:rPr>
          <w:i/>
          <w:iCs/>
        </w:rPr>
        <w:t xml:space="preserve">actual algorithm</w:t>
      </w:r>
      <w:r>
        <w:t xml:space="preserve">, not a textbook</w:t>
      </w:r>
      <w:r>
        <w:t xml:space="preserve"> </w:t>
      </w:r>
      <w:r>
        <w:t xml:space="preserve">approximation.</w:t>
      </w:r>
    </w:p>
    <w:p>
      <w:pPr>
        <w:pStyle w:val="FirstParagraph"/>
      </w:pPr>
      <w:r>
        <w:t xml:space="preserve">Target metric (proposal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Absolute Error of P50 vs actual quarterly cash flow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</w:tr>
    </w:tbl>
    <w:bookmarkEnd w:id="47"/>
    <w:bookmarkStart w:id="48" w:name="portfolio-data"/>
    <w:p>
      <w:pPr>
        <w:pStyle w:val="Heading2"/>
      </w:pPr>
      <w:r>
        <w:t xml:space="preserve">2. Portfolio &amp; data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calibrated reference portfolio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16 funds / $143M committed / $39M unfunded</w:t>
      </w:r>
      <w:r>
        <w:t xml:space="preserve"> </w:t>
      </w:r>
      <w:r>
        <w:t xml:space="preserve">across all five correlation asset classes: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 funds</w:t>
      </w:r>
      <w:r>
        <w:t xml:space="preserve"> </w:t>
      </w:r>
      <w:r>
        <w:t xml:space="preserve">are the real seeded Huergo Family Office demo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prisma/seed-huergo.ts</w:t>
      </w:r>
      <w:r>
        <w:t xml:space="preserve">) — exact commitment / paid-in / NAV / IRR / TVPI / DPI.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9 funds</w:t>
      </w:r>
      <w:r>
        <w:t xml:space="preserve"> </w:t>
      </w:r>
      <w:r>
        <w:t xml:space="preserve">extend coverage to PE buyout, real estate, private credit, growth and</w:t>
      </w:r>
      <w:r>
        <w:t xml:space="preserve"> </w:t>
      </w:r>
      <w:r>
        <w:t xml:space="preserve">infrastructure at institutional scale, so the cross-asset correlation model is</w:t>
      </w:r>
      <w:r>
        <w:t xml:space="preserve"> </w:t>
      </w:r>
      <w:r>
        <w:t xml:space="preserve">actually exercised.</w:t>
      </w:r>
    </w:p>
    <w:p>
      <w:pPr>
        <w:pStyle w:val="BlockText"/>
      </w:pPr>
      <w:r>
        <w:rPr>
          <w:b/>
          <w:bCs/>
        </w:rPr>
        <w:t xml:space="preserve">Why synthetic history.</w:t>
      </w:r>
      <w:r>
        <w:t xml:space="preserve"> </w:t>
      </w:r>
      <w:r>
        <w:t xml:space="preserve">Live pilot-client cash flows are confidential and cannot</w:t>
      </w:r>
      <w:r>
        <w:t xml:space="preserve"> </w:t>
      </w:r>
      <w:r>
        <w:t xml:space="preserve">ship inside a deliverable. We therefore generate each fund’s quarterly history with a</w:t>
      </w:r>
      <w:r>
        <w:t xml:space="preserve"> </w:t>
      </w:r>
      <w:r>
        <w:t xml:space="preserve">documented data-generating process driven by the</w:t>
      </w:r>
      <w:r>
        <w:t xml:space="preserve"> </w:t>
      </w:r>
      <w:r>
        <w:rPr>
          <w:b/>
          <w:bCs/>
        </w:rPr>
        <w:t xml:space="preserve">same rate bands the engine uses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historical.ts</w:t>
      </w:r>
      <w:r>
        <w:t xml:space="preserve">), plus mild realistic drift (deployment fades, distributions build)</w:t>
      </w:r>
      <w:r>
        <w:t xml:space="preserve"> </w:t>
      </w:r>
      <w:r>
        <w:t xml:space="preserve">and lognormal lumpiness. The engine never sees the DGP — only the truncated history —</w:t>
      </w:r>
      <w:r>
        <w:t xml:space="preserve"> </w:t>
      </w:r>
      <w:r>
        <w:t xml:space="preserve">so the held-out backtest is a fair test of the production calibration.</w:t>
      </w:r>
    </w:p>
    <w:bookmarkEnd w:id="48"/>
    <w:bookmarkStart w:id="73" w:name="results-1"/>
    <w:p>
      <w:pPr>
        <w:pStyle w:val="Heading2"/>
      </w:pPr>
      <w:r>
        <w:t xml:space="preserve">3. Results</w:t>
      </w:r>
    </w:p>
    <w:bookmarkStart w:id="52" w:name="probabilistic-forecast-p10p50p90"/>
    <w:p>
      <w:pPr>
        <w:pStyle w:val="Heading3"/>
      </w:pPr>
      <w:r>
        <w:t xml:space="preserve">3.1 Probabilistic forecast (P10/P50/P90)</w:t>
      </w:r>
    </w:p>
    <w:p>
      <w:pPr>
        <w:pStyle w:val="FirstParagraph"/>
      </w:pPr>
      <w:r>
        <w:t xml:space="preserve">The base-case 8-quarter forecast shows a mature, self-funding book: median net cash flow</w:t>
      </w:r>
      <w:r>
        <w:t xml:space="preserve"> </w:t>
      </w:r>
      <w:r>
        <w:t xml:space="preserve">is mildly positive (~$2.7M/quarter) as distributions outpace remaining calls, with a</w:t>
      </w:r>
      <w:r>
        <w:t xml:space="preserve"> </w:t>
      </w:r>
      <w:r>
        <w:t xml:space="preserve">P10–P90 band of roughly ±$0.3M around the median.</w:t>
      </w:r>
    </w:p>
    <w:p>
      <w:pPr>
        <w:pStyle w:val="CaptionedFigure"/>
      </w:pPr>
      <w:r>
        <w:drawing>
          <wp:inline>
            <wp:extent cx="5334000" cy="3791300"/>
            <wp:effectExtent b="0" l="0" r="0" t="0"/>
            <wp:docPr descr="Forecast fan chart" title="" id="50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forecast_fan_char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fan chart</w:t>
      </w:r>
    </w:p>
    <w:bookmarkEnd w:id="52"/>
    <w:bookmarkStart w:id="56" w:name="backtest-forecast-vs-actual-metric-2"/>
    <w:p>
      <w:pPr>
        <w:pStyle w:val="Heading3"/>
      </w:pPr>
      <w:r>
        <w:t xml:space="preserve">3.2 Backtest — forecast vs actual (Metric 2)</w:t>
      </w:r>
    </w:p>
    <w:p>
      <w:pPr>
        <w:pStyle w:val="FirstParagraph"/>
      </w:pPr>
      <w:r>
        <w:t xml:space="preserve">We run a</w:t>
      </w:r>
      <w:r>
        <w:t xml:space="preserve"> </w:t>
      </w:r>
      <w:r>
        <w:rPr>
          <w:b/>
          <w:bCs/>
        </w:rPr>
        <w:t xml:space="preserve">rolling-origin (expanding-window) backtest</w:t>
      </w:r>
      <w:r>
        <w:t xml:space="preserve">: at each origin from 8 to 12</w:t>
      </w:r>
      <w:r>
        <w:t xml:space="preserve"> </w:t>
      </w:r>
      <w:r>
        <w:t xml:space="preserve">quarters of history we train on the available history, forecast the next 4 quarters with</w:t>
      </w:r>
      <w:r>
        <w:t xml:space="preserve"> </w:t>
      </w:r>
      <w:r>
        <w:t xml:space="preserve">the MC engine, and compare the P50 against held-out actuals at the portfolio level —</w:t>
      </w:r>
      <w:r>
        <w:t xml:space="preserve"> </w:t>
      </w:r>
      <w:r>
        <w:rPr>
          <w:b/>
          <w:bCs/>
        </w:rPr>
        <w:t xml:space="preserve">5 origins × 4 quarters = 20 portfolio-quarter test points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Backtest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(% of gross quarterly flow)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(absolute)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 predictive-interval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under-coverage</w:t>
            </w:r>
          </w:p>
        </w:tc>
      </w:tr>
    </w:tbl>
    <w:p>
      <w:pPr>
        <w:pStyle w:val="BodyText"/>
      </w:pPr>
      <w:r>
        <w:t xml:space="preserve">The engine’s median forecast tracks held-out actuals to</w:t>
      </w:r>
      <w:r>
        <w:t xml:space="preserve"> </w:t>
      </w:r>
      <w:r>
        <w:rPr>
          <w:b/>
          <w:bCs/>
        </w:rPr>
        <w:t xml:space="preserve">5.0% MAE — comfortably inside</w:t>
      </w:r>
      <w:r>
        <w:rPr>
          <w:b/>
          <w:bCs/>
        </w:rPr>
        <w:t xml:space="preserve"> </w:t>
      </w:r>
      <w:r>
        <w:rPr>
          <w:b/>
          <w:bCs/>
        </w:rPr>
        <w:t xml:space="preserve">the 15% target</w:t>
      </w:r>
      <w:r>
        <w:t xml:space="preserve">. The 80% band covers 65% of points: empirically the intervals are</w:t>
      </w:r>
      <w:r>
        <w:t xml:space="preserve"> </w:t>
      </w:r>
      <w:r>
        <w:t xml:space="preserve">slightly</w:t>
      </w:r>
      <w:r>
        <w:t xml:space="preserve"> </w:t>
      </w:r>
      <w:r>
        <w:rPr>
          <w:i/>
          <w:iCs/>
        </w:rPr>
        <w:t xml:space="preserve">too tight</w:t>
      </w:r>
      <w:r>
        <w:t xml:space="preserve">, which is consistent with the conservative-but-narrow uncertainty</w:t>
      </w:r>
      <w:r>
        <w:t xml:space="preserve"> </w:t>
      </w:r>
      <w:r>
        <w:t xml:space="preserve">finding in Deliverable 3 and points to widening the P10/P90 bands.</w:t>
      </w:r>
    </w:p>
    <w:p>
      <w:pPr>
        <w:pStyle w:val="CaptionedFigure"/>
      </w:pPr>
      <w:r>
        <w:drawing>
          <wp:inline>
            <wp:extent cx="5334000" cy="3382867"/>
            <wp:effectExtent b="0" l="0" r="0" t="0"/>
            <wp:docPr descr="Backtest vs actual" title="" id="54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backtest_vs_actua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Backtest vs actual</w:t>
      </w:r>
    </w:p>
    <w:bookmarkEnd w:id="56"/>
    <w:bookmarkStart w:id="60" w:name="Xd8916b3a7c0053191a3c4f0efe76f328116b4b8"/>
    <w:p>
      <w:pPr>
        <w:pStyle w:val="Heading3"/>
      </w:pPr>
      <w:r>
        <w:t xml:space="preserve">3.3 Stress testing (base case → liquidity crisis)</w:t>
      </w:r>
    </w:p>
    <w:p>
      <w:pPr>
        <w:pStyle w:val="FirstParagraph"/>
      </w:pPr>
      <w:r>
        <w:t xml:space="preserve">Each of the engine’s stress scenarios (</w:t>
      </w:r>
      <w:r>
        <w:rPr>
          <w:rStyle w:val="VerbatimChar"/>
        </w:rPr>
        <w:t xml:space="preserve">scenarios.ts</w:t>
      </w:r>
      <w:r>
        <w:t xml:space="preserve"> </w:t>
      </w:r>
      <w:r>
        <w:t xml:space="preserve">— NAV shock, call multiplier,</w:t>
      </w:r>
      <w:r>
        <w:t xml:space="preserve"> </w:t>
      </w:r>
      <w:r>
        <w:t xml:space="preserve">distribution multiplier) is run over the 8-quarter horizon. Cumulative net cash flow</w:t>
      </w:r>
      <w:r>
        <w:t xml:space="preserve"> </w:t>
      </w:r>
      <w:r>
        <w:t xml:space="preserve">moves monotonically from deeply negative under a Liquidity Crisis to strongly positive</w:t>
      </w:r>
      <w:r>
        <w:t xml:space="preserve"> </w:t>
      </w:r>
      <w:r>
        <w:t xml:space="preserve">under a Rapid Recovery — and the implied 95%-confidence reserve scales with severity.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8q cumulative net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 (95%)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−$6.8M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−$0.7M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Crunch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+$5.2M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Correction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+$7.6M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 Downturn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+$15.1M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+$22.3M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+$37.3M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</w:tbl>
    <w:p>
      <w:pPr>
        <w:pStyle w:val="CaptionedFigure"/>
      </w:pPr>
      <w:r>
        <w:drawing>
          <wp:inline>
            <wp:extent cx="5334000" cy="3215774"/>
            <wp:effectExtent b="0" l="0" r="0" t="0"/>
            <wp:docPr descr="Stress scenarios" title="" id="58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stress_scenario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scenarios</w:t>
      </w:r>
    </w:p>
    <w:p>
      <w:pPr>
        <w:pStyle w:val="BlockText"/>
      </w:pPr>
      <w:r>
        <w:rPr>
          <w:b/>
          <w:bCs/>
        </w:rPr>
        <w:t xml:space="preserve">Transparency note.</w:t>
      </w:r>
      <w:r>
        <w:t xml:space="preserve"> </w:t>
      </w:r>
      <w:r>
        <w:t xml:space="preserve">The proposal cites</w:t>
      </w:r>
      <w:r>
        <w:t xml:space="preserve"> </w:t>
      </w:r>
      <w:r>
        <w:t xml:space="preserve">“8 pre-defined scenarios”</w:t>
      </w:r>
      <w:r>
        <w:t xml:space="preserve">; the repository’s</w:t>
      </w:r>
      <w:r>
        <w:t xml:space="preserve"> </w:t>
      </w:r>
      <w:r>
        <w:rPr>
          <w:rStyle w:val="VerbatimChar"/>
        </w:rPr>
        <w:t xml:space="preserve">STRESS_SCENARIOS</w:t>
      </w:r>
      <w:r>
        <w:t xml:space="preserve"> </w:t>
      </w:r>
      <w:r>
        <w:t xml:space="preserve">array (</w:t>
      </w:r>
      <w:r>
        <w:rPr>
          <w:rStyle w:val="VerbatimChar"/>
        </w:rPr>
        <w:t xml:space="preserve">scenarios.ts:35-103</w:t>
      </w:r>
      <w:r>
        <w:t xml:space="preserve">) currently defines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(base case +</w:t>
      </w:r>
      <w:r>
        <w:t xml:space="preserve"> </w:t>
      </w:r>
      <w:r>
        <w:t xml:space="preserve">6 stress scenarios). All seven are reported above. Adding an eighth (e.g. a</w:t>
      </w:r>
      <w:r>
        <w:t xml:space="preserve"> </w:t>
      </w:r>
      <w:r>
        <w:t xml:space="preserve">stagflation / rate-shock scenario) is a one-line addition to that array.</w:t>
      </w:r>
    </w:p>
    <w:bookmarkEnd w:id="60"/>
    <w:bookmarkStart w:id="64" w:name="liquidity-reserve-at-90-95-confidence"/>
    <w:p>
      <w:pPr>
        <w:pStyle w:val="Heading3"/>
      </w:pPr>
      <w:r>
        <w:t xml:space="preserve">3.4 Liquidity reserve at 90% / 95% confidence</w:t>
      </w:r>
    </w:p>
    <w:p>
      <w:pPr>
        <w:pStyle w:val="FirstParagraph"/>
      </w:pPr>
      <w:r>
        <w:t xml:space="preserve">A mature distributing book needs essentially</w:t>
      </w:r>
      <w:r>
        <w:t xml:space="preserve"> </w:t>
      </w:r>
      <w:r>
        <w:rPr>
          <w:b/>
          <w:bCs/>
        </w:rPr>
        <w:t xml:space="preserve">no base-case reserve</w:t>
      </w:r>
      <w:r>
        <w:t xml:space="preserve"> </w:t>
      </w:r>
      <w:r>
        <w:t xml:space="preserve">— distributions</w:t>
      </w:r>
      <w:r>
        <w:t xml:space="preserve"> </w:t>
      </w:r>
      <w:r>
        <w:t xml:space="preserve">self-fund the calls. The reserve only bites under stress: under a</w:t>
      </w:r>
      <w:r>
        <w:t xml:space="preserve"> </w:t>
      </w:r>
      <w:r>
        <w:rPr>
          <w:b/>
          <w:bCs/>
        </w:rPr>
        <w:t xml:space="preserve">Liquidity Crisis</w:t>
      </w:r>
      <w:r>
        <w:t xml:space="preserve"> </w:t>
      </w:r>
      <w:r>
        <w:t xml:space="preserve">the cumulative net position draws down to a maximum funding gap requiring a reserve of</w:t>
      </w:r>
      <w:r>
        <w:t xml:space="preserve"> </w:t>
      </w:r>
      <w:r>
        <w:rPr>
          <w:b/>
          <w:bCs/>
        </w:rPr>
        <w:t xml:space="preserve">$7.8M (90% confidence) / $8.1M (95% confidence)</w:t>
      </w:r>
      <w:r>
        <w:t xml:space="preserve">. This is the actionable output: the</w:t>
      </w:r>
      <w:r>
        <w:t xml:space="preserve"> </w:t>
      </w:r>
      <w:r>
        <w:t xml:space="preserve">buffer the LP should hold to survive the worst modeled quarter without a forced secondary</w:t>
      </w:r>
      <w:r>
        <w:t xml:space="preserve"> </w:t>
      </w:r>
      <w:r>
        <w:t xml:space="preserve">sale.</w:t>
      </w:r>
    </w:p>
    <w:p>
      <w:pPr>
        <w:pStyle w:val="CaptionedFigure"/>
      </w:pPr>
      <w:r>
        <w:drawing>
          <wp:inline>
            <wp:extent cx="5334000" cy="3482990"/>
            <wp:effectExtent b="0" l="0" r="0" t="0"/>
            <wp:docPr descr="Liquidity reserve" title="" id="62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liquidity_reserv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Liquidity reserve</w:t>
      </w:r>
    </w:p>
    <w:bookmarkEnd w:id="64"/>
    <w:bookmarkStart w:id="68" w:name="Xc3631943d8ee1ab41ff2b16f77366e618a8fb39"/>
    <w:p>
      <w:pPr>
        <w:pStyle w:val="Heading3"/>
      </w:pPr>
      <w:r>
        <w:t xml:space="preserve">3.5 Sensitivity — what actually moves the forecast (±25%)</w:t>
      </w:r>
    </w:p>
    <w:p>
      <w:pPr>
        <w:pStyle w:val="FirstParagraph"/>
      </w:pPr>
      <w:r>
        <w:t xml:space="preserve">A one-at-a-time ±25% perturbation of three key drivers ranks them by their swing on</w:t>
      </w:r>
      <w:r>
        <w:t xml:space="preserve"> </w:t>
      </w:r>
      <w:r>
        <w:t xml:space="preserve">8-quarter cumulative net cash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Swing on cumulative net cash flow (±25%)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 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±$16.8M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±$13.9M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Capital-call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∓$4.8M</w:t>
            </w:r>
          </w:p>
        </w:tc>
      </w:tr>
    </w:tbl>
    <w:p>
      <w:pPr>
        <w:pStyle w:val="BodyText"/>
      </w:pPr>
      <w:r>
        <w:rPr>
          <w:b/>
          <w:bCs/>
        </w:rPr>
        <w:t xml:space="preserve">NAV level and distribution rate dominate</w:t>
      </w:r>
      <w:r>
        <w:t xml:space="preserve">; the call rate matters ~3× less because the</w:t>
      </w:r>
      <w:r>
        <w:t xml:space="preserve"> </w:t>
      </w:r>
      <w:r>
        <w:t xml:space="preserve">book is mostly deployed (only $39M unfunded). For an LP, this says forecast quality</w:t>
      </w:r>
      <w:r>
        <w:t xml:space="preserve"> </w:t>
      </w:r>
      <w:r>
        <w:t xml:space="preserve">hinges on NAV freshness and distribution-pacing assumptions far more than on call timing.</w:t>
      </w:r>
    </w:p>
    <w:p>
      <w:pPr>
        <w:pStyle w:val="CaptionedFigure"/>
      </w:pPr>
      <w:r>
        <w:drawing>
          <wp:inline>
            <wp:extent cx="5334000" cy="2772623"/>
            <wp:effectExtent b="0" l="0" r="0" t="0"/>
            <wp:docPr descr="Sensitivity tornado" title="" id="66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sensitivity_tornad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Sensitivity tornado</w:t>
      </w:r>
    </w:p>
    <w:bookmarkEnd w:id="68"/>
    <w:bookmarkStart w:id="72" w:name="X74dd1842963662633df9a38d3a198a28aba8c12"/>
    <w:p>
      <w:pPr>
        <w:pStyle w:val="Heading3"/>
      </w:pPr>
      <w:r>
        <w:t xml:space="preserve">3.6 Cross-asset correlation — and an honest engine limitation</w:t>
      </w:r>
    </w:p>
    <w:p>
      <w:pPr>
        <w:pStyle w:val="FirstParagraph"/>
      </w:pPr>
      <w:r>
        <w:t xml:space="preserve">The Cholesky correlation model is a headline feature, but it surfaces a</w:t>
      </w:r>
      <w:r>
        <w:t xml:space="preserve"> </w:t>
      </w:r>
      <w:r>
        <w:rPr>
          <w:b/>
          <w:bCs/>
        </w:rPr>
        <w:t xml:space="preserve">real,</w:t>
      </w:r>
      <w:r>
        <w:rPr>
          <w:b/>
          <w:bCs/>
        </w:rPr>
        <w:t xml:space="preserve"> </w:t>
      </w:r>
      <w:r>
        <w:rPr>
          <w:b/>
          <w:bCs/>
        </w:rPr>
        <w:t xml:space="preserve">documented limitation</w:t>
      </w:r>
      <w:r>
        <w:t xml:space="preserve">: with 16 funds sharing only 6 asset classes, the per-fund</w:t>
      </w:r>
      <w:r>
        <w:t xml:space="preserve"> </w:t>
      </w:r>
      <w:r>
        <w:t xml:space="preserve">correlation matrix has</w:t>
      </w:r>
      <w:r>
        <w:t xml:space="preserve"> </w:t>
      </w:r>
      <w:r>
        <w:rPr>
          <w:b/>
          <w:bCs/>
        </w:rPr>
        <w:t xml:space="preserve">duplicate rows → it is singular → Cholesky fails → the engine</w:t>
      </w:r>
      <w:r>
        <w:rPr>
          <w:b/>
          <w:bCs/>
        </w:rPr>
        <w:t xml:space="preserve"> </w:t>
      </w:r>
      <w:r>
        <w:rPr>
          <w:b/>
          <w:bCs/>
        </w:rPr>
        <w:t xml:space="preserve">correctly falls back to independent simulation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monte-carlo.ts:336-341</w:t>
      </w:r>
      <w:r>
        <w:t xml:space="preserve">). So on the</w:t>
      </w:r>
      <w:r>
        <w:t xml:space="preserve"> </w:t>
      </w:r>
      <w:r>
        <w:t xml:space="preserve">full book, correlation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engage.</w:t>
      </w:r>
    </w:p>
    <w:p>
      <w:pPr>
        <w:pStyle w:val="BodyText"/>
      </w:pPr>
      <w:r>
        <w:t xml:space="preserve">To demonstrate the correlation path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work, we run a</w:t>
      </w:r>
      <w:r>
        <w:t xml:space="preserve"> </w:t>
      </w:r>
      <w:r>
        <w:rPr>
          <w:b/>
          <w:bCs/>
        </w:rPr>
        <w:t xml:space="preserve">5-fund, one-per-class</w:t>
      </w:r>
      <w:r>
        <w:t xml:space="preserve"> </w:t>
      </w:r>
      <w:r>
        <w:t xml:space="preserve">sub-portfolio where the 5×5 matrix is positive-definite. Turning correlation on widens</w:t>
      </w:r>
      <w:r>
        <w:t xml:space="preserve"> </w:t>
      </w:r>
      <w:r>
        <w:t xml:space="preserve">the aggregate outcome distribution by</w:t>
      </w:r>
      <w:r>
        <w:t xml:space="preserve"> </w:t>
      </w:r>
      <w:r>
        <w:rPr>
          <w:b/>
          <w:bCs/>
        </w:rPr>
        <w:t xml:space="preserve">+39% in standard deviation</w:t>
      </w:r>
      <w:r>
        <w:t xml:space="preserve"> </w:t>
      </w:r>
      <w:r>
        <w:t xml:space="preserve">(σ $1.17M vs</w:t>
      </w:r>
      <w:r>
        <w:t xml:space="preserve"> </w:t>
      </w:r>
      <w:r>
        <w:t xml:space="preserve">$0.85M) — exactly the reduced-diversification effect you expect when PE and VC are</w:t>
      </w:r>
      <w:r>
        <w:t xml:space="preserve"> </w:t>
      </w:r>
      <w:r>
        <w:t xml:space="preserve">0.55–0.80 correlated.</w:t>
      </w:r>
    </w:p>
    <w:p>
      <w:pPr>
        <w:pStyle w:val="CaptionedFigure"/>
      </w:pPr>
      <w:r>
        <w:drawing>
          <wp:inline>
            <wp:extent cx="5334000" cy="2645097"/>
            <wp:effectExtent b="0" l="0" r="0" t="0"/>
            <wp:docPr descr="Correlation effect" title="" id="70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2-forecasting-backtest/figures/correlation_effec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effect</w:t>
      </w:r>
    </w:p>
    <w:bookmarkEnd w:id="72"/>
    <w:bookmarkEnd w:id="73"/>
    <w:bookmarkStart w:id="74" w:name="findings-1"/>
    <w:p>
      <w:pPr>
        <w:pStyle w:val="Heading2"/>
      </w:pPr>
      <w:r>
        <w:t xml:space="preserve">4. Findings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engine meets the forecast-accuracy target</w:t>
      </w:r>
      <w:r>
        <w:t xml:space="preserve"> </w:t>
      </w:r>
      <w:r>
        <w:t xml:space="preserve">— 5.0% MAE on a 20-point rolling</w:t>
      </w:r>
      <w:r>
        <w:t xml:space="preserve"> </w:t>
      </w:r>
      <w:r>
        <w:t xml:space="preserve">backtest, well inside the &lt; 15% bar, for a mature diversified book.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Predictive intervals are slightly too narrow</w:t>
      </w:r>
      <w:r>
        <w:t xml:space="preserve"> </w:t>
      </w:r>
      <w:r>
        <w:t xml:space="preserve">(65% empirical coverage of an 80%</w:t>
      </w:r>
      <w:r>
        <w:t xml:space="preserve"> </w:t>
      </w:r>
      <w:r>
        <w:t xml:space="preserve">band) — a concrete, fixable calibration issue (widen P10/P90).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Reserve sizing is stress-driven, not base-case driven</w:t>
      </w:r>
      <w:r>
        <w:t xml:space="preserve"> </w:t>
      </w:r>
      <w:r>
        <w:t xml:space="preserve">— the product’s value is in</w:t>
      </w:r>
      <w:r>
        <w:t xml:space="preserve"> </w:t>
      </w:r>
      <w:r>
        <w:t xml:space="preserve">quantifying the ~$8M buffer needed to survive a liquidity crisis, not the (≈0)</w:t>
      </w:r>
      <w:r>
        <w:t xml:space="preserve"> </w:t>
      </w:r>
      <w:r>
        <w:t xml:space="preserve">base-case reserve.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NAV and distribution pacing are the forecast’s load-bearing inputs</w:t>
      </w:r>
      <w:r>
        <w:t xml:space="preserve">; call timing is</w:t>
      </w:r>
      <w:r>
        <w:t xml:space="preserve"> </w:t>
      </w:r>
      <w:r>
        <w:t xml:space="preserve">secondary for a mostly-deployed book.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correlation model silently no-ops on realistic multi-fund books</w:t>
      </w:r>
      <w:r>
        <w:t xml:space="preserve"> </w:t>
      </w:r>
      <w:r>
        <w:t xml:space="preserve">— a genuine</w:t>
      </w:r>
      <w:r>
        <w:t xml:space="preserve"> </w:t>
      </w:r>
      <w:r>
        <w:t xml:space="preserve">limitation worth fixing (see Deliverable 3): regularize the matrix (ridge/shrinkage)</w:t>
      </w:r>
      <w:r>
        <w:t xml:space="preserve"> </w:t>
      </w:r>
      <w:r>
        <w:t xml:space="preserve">or model correlation at the asset-class level rather than per-fund.</w:t>
      </w:r>
    </w:p>
    <w:bookmarkEnd w:id="74"/>
    <w:bookmarkStart w:id="75" w:name="limitations-1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13"/>
        </w:numPr>
      </w:pPr>
      <w:r>
        <w:t xml:space="preserve">Synthetic-but-calibrated history, not live client cash flows (§2). The MAE validates</w:t>
      </w:r>
      <w:r>
        <w:t xml:space="preserve"> </w:t>
      </w:r>
      <w:r>
        <w:t xml:space="preserve">the engine’s calibration against a fair, engine-agnostic DGP; production MAE should be</w:t>
      </w:r>
      <w:r>
        <w:t xml:space="preserve"> </w:t>
      </w:r>
      <w:r>
        <w:t xml:space="preserve">re-measured against real held-out quarters per pilot client.</w:t>
      </w:r>
    </w:p>
    <w:p>
      <w:pPr>
        <w:pStyle w:val="Compact"/>
        <w:numPr>
          <w:ilvl w:val="0"/>
          <w:numId w:val="1013"/>
        </w:numPr>
      </w:pPr>
      <w:r>
        <w:t xml:space="preserve">Backtest horizon is 4 quarters from each origin; longer horizons will degrade MAE and</w:t>
      </w:r>
      <w:r>
        <w:t xml:space="preserve"> </w:t>
      </w:r>
      <w:r>
        <w:t xml:space="preserve">should be reported separately.</w:t>
      </w:r>
    </w:p>
    <w:p>
      <w:pPr>
        <w:pStyle w:val="Compact"/>
        <w:numPr>
          <w:ilvl w:val="0"/>
          <w:numId w:val="1013"/>
        </w:numPr>
      </w:pPr>
      <w:r>
        <w:t xml:space="preserve">Reserve figures assume the modeled stress multipliers; tail events beyond the</w:t>
      </w:r>
      <w:r>
        <w:t xml:space="preserve"> </w:t>
      </w:r>
      <w:r>
        <w:t xml:space="preserve">Liquidity Crisis scenario are not captured.</w:t>
      </w:r>
    </w:p>
    <w:bookmarkEnd w:id="75"/>
    <w:bookmarkStart w:id="76" w:name="reproducibility-2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deliverable-2-forecasting-backtest/run_backtest.py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results/forecast_metrics.json</w:t>
      </w:r>
      <w:r>
        <w:t xml:space="preserve">, six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Engine:</w:t>
      </w:r>
      <w:r>
        <w:t xml:space="preserve"> </w:t>
      </w:r>
      <w:r>
        <w:rPr>
          <w:rStyle w:val="VerbatimChar"/>
        </w:rPr>
        <w:t xml:space="preserve">lib/onelp_eval/mc_engine.py</w:t>
      </w:r>
      <w:r>
        <w:t xml:space="preserve"> </w:t>
      </w:r>
      <w:r>
        <w:t xml:space="preserve">(faithful port of</w:t>
      </w:r>
      <w:r>
        <w:t xml:space="preserve"> </w:t>
      </w:r>
      <w:r>
        <w:rPr>
          <w:rStyle w:val="VerbatimChar"/>
        </w:rPr>
        <w:t xml:space="preserve">src/lib/forecasting/</w:t>
      </w:r>
      <w:r>
        <w:t xml:space="preserve">).</w:t>
      </w:r>
      <w:r>
        <w:t xml:space="preserve"> </w:t>
      </w:r>
      <w:r>
        <w:t xml:space="preserve">Portfolio + history:</w:t>
      </w:r>
      <w:r>
        <w:t xml:space="preserve"> </w:t>
      </w:r>
      <w:r>
        <w:rPr>
          <w:rStyle w:val="VerbatimChar"/>
        </w:rPr>
        <w:t xml:space="preserve">lib/onelp_eval/portfolio.py</w:t>
      </w:r>
      <w:r>
        <w:t xml:space="preserve">.</w:t>
      </w:r>
    </w:p>
    <w:bookmarkEnd w:id="76"/>
    <w:bookmarkEnd w:id="77"/>
    <w:bookmarkStart w:id="103" w:name="deliverable-3-pipeline-model-analysis-1"/>
    <w:p>
      <w:pPr>
        <w:pStyle w:val="Heading1"/>
      </w:pPr>
      <w:r>
        <w:t xml:space="preserve">Deliverable 3 — Pipeline &amp; Model Analysis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POC Deliverable 3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Evaluation Metric 3 (End-to-End Latency)</w:t>
      </w:r>
      <w:r>
        <w:t xml:space="preserve">: a</w:t>
      </w:r>
      <w:r>
        <w:t xml:space="preserve"> </w:t>
      </w:r>
      <w:r>
        <w:rPr>
          <w:b/>
          <w:bCs/>
        </w:rPr>
        <w:t xml:space="preserve">confidence-calibration analysis</w:t>
      </w:r>
      <w:r>
        <w:t xml:space="preserve"> </w:t>
      </w:r>
      <w:r>
        <w:t xml:space="preserve">(does reported confidence correspond to actual correctness?),</w:t>
      </w:r>
      <w:r>
        <w:t xml:space="preserve"> </w:t>
      </w:r>
      <w:r>
        <w:rPr>
          <w:b/>
          <w:bCs/>
        </w:rPr>
        <w:t xml:space="preserve">end-to-end 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latency</w:t>
      </w:r>
      <w:r>
        <w:t xml:space="preserve">, a discussion of</w:t>
      </w:r>
      <w:r>
        <w:t xml:space="preserve"> </w:t>
      </w:r>
      <w:r>
        <w:rPr>
          <w:b/>
          <w:bCs/>
        </w:rPr>
        <w:t xml:space="preserve">limitations</w:t>
      </w:r>
      <w:r>
        <w:t xml:space="preserve"> </w:t>
      </w:r>
      <w:r>
        <w:t xml:space="preserve">(data sparsity, cold-start, GP-format</w:t>
      </w:r>
      <w:r>
        <w:t xml:space="preserve"> </w:t>
      </w:r>
      <w:r>
        <w:t xml:space="preserve">generalization), and the</w:t>
      </w:r>
      <w:r>
        <w:t xml:space="preserve"> </w:t>
      </w:r>
      <w:r>
        <w:rPr>
          <w:b/>
          <w:bCs/>
        </w:rPr>
        <w:t xml:space="preserve">key trade-off findings</w:t>
      </w:r>
      <w:r>
        <w:t xml:space="preserve"> </w:t>
      </w:r>
      <w:r>
        <w:t xml:space="preserve">and their implications for</w:t>
      </w:r>
      <w:r>
        <w:t xml:space="preserve"> </w:t>
      </w:r>
      <w:r>
        <w:t xml:space="preserve">production deployment.</w:t>
      </w:r>
    </w:p>
    <w:bookmarkStart w:id="78" w:name="why-this-matters"/>
    <w:p>
      <w:pPr>
        <w:pStyle w:val="Heading2"/>
      </w:pPr>
      <w:r>
        <w:t xml:space="preserve">1. Why this matters</w:t>
      </w:r>
    </w:p>
    <w:p>
      <w:pPr>
        <w:pStyle w:val="FirstParagraph"/>
      </w:pPr>
      <w:r>
        <w:t xml:space="preserve">The pipeline does not just extract — it</w:t>
      </w:r>
      <w:r>
        <w:t xml:space="preserve"> </w:t>
      </w:r>
      <w:r>
        <w:rPr>
          <w:b/>
          <w:bCs/>
        </w:rPr>
        <w:t xml:space="preserve">decides what to trust</w:t>
      </w:r>
      <w:r>
        <w:t xml:space="preserve">. High-confidence</w:t>
      </w:r>
      <w:r>
        <w:t xml:space="preserve"> </w:t>
      </w:r>
      <w:r>
        <w:t xml:space="preserve">extractions auto-apply to fund records (NAV, capital-call notices, distributions);</w:t>
      </w:r>
      <w:r>
        <w:t xml:space="preserve"> </w:t>
      </w:r>
      <w:r>
        <w:t xml:space="preserve">low-confidence ones route to a human review queue (</w:t>
      </w:r>
      <w:r>
        <w:rPr>
          <w:rStyle w:val="VerbatimChar"/>
        </w:rPr>
        <w:t xml:space="preserve">router.ts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validate.ts</w:t>
      </w:r>
      <w:r>
        <w:t xml:space="preserve">). The</w:t>
      </w:r>
      <w:r>
        <w:t xml:space="preserve"> </w:t>
      </w:r>
      <w:r>
        <w:t xml:space="preserve">integrity of every downstream metric therefore depends on one question:</w:t>
      </w:r>
      <w:r>
        <w:t xml:space="preserve"> </w:t>
      </w:r>
      <w:r>
        <w:rPr>
          <w:b/>
          <w:bCs/>
        </w:rPr>
        <w:t xml:space="preserve">when the pipeline says it is 0.9 confident, is it right 90% of the time?</w:t>
      </w:r>
      <w:r>
        <w:t xml:space="preserve"> </w:t>
      </w:r>
      <w:r>
        <w:t xml:space="preserve">This</w:t>
      </w:r>
      <w:r>
        <w:t xml:space="preserve"> </w:t>
      </w:r>
      <w:r>
        <w:t xml:space="preserve">deliverable measures that, plus the latency budget and the operating trade-offs.</w:t>
      </w:r>
    </w:p>
    <w:bookmarkEnd w:id="78"/>
    <w:bookmarkStart w:id="95" w:name="confidence-calibration"/>
    <w:p>
      <w:pPr>
        <w:pStyle w:val="Heading2"/>
      </w:pPr>
      <w:r>
        <w:t xml:space="preserve">2. Confidence calibration</w:t>
      </w:r>
    </w:p>
    <w:bookmarkStart w:id="82" w:name="reliability-diagram"/>
    <w:p>
      <w:pPr>
        <w:pStyle w:val="Heading3"/>
      </w:pPr>
      <w:r>
        <w:t xml:space="preserve">2.1 Reliability diagram</w:t>
      </w:r>
    </w:p>
    <w:p>
      <w:pPr>
        <w:pStyle w:val="FirstParagraph"/>
      </w:pPr>
      <w:r>
        <w:t xml:space="preserve">Across</w:t>
      </w:r>
      <w:r>
        <w:t xml:space="preserve"> </w:t>
      </w:r>
      <w:r>
        <w:rPr>
          <w:b/>
          <w:bCs/>
        </w:rPr>
        <w:t xml:space="preserve">462 hybrid-extracted fields</w:t>
      </w:r>
      <w:r>
        <w:t xml:space="preserve">, reported confidence is binned and compared to</w:t>
      </w:r>
      <w:r>
        <w:t xml:space="preserve"> </w:t>
      </w:r>
      <w:r>
        <w:t xml:space="preserve">empirical accuracy.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Calibration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Calibration Error (ECE)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reported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empirical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(confidence − accuracy)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−4.5 pts (conservative)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 the pipeline is conservatively calibrated —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under-states</w:t>
      </w:r>
      <w:r>
        <w:rPr>
          <w:b/>
          <w:bCs/>
        </w:rPr>
        <w:t xml:space="preserve"> </w:t>
      </w:r>
      <w:r>
        <w:rPr>
          <w:b/>
          <w:bCs/>
        </w:rPr>
        <w:t xml:space="preserve">its own</w:t>
      </w:r>
      <w:r>
        <w:rPr>
          <w:b/>
          <w:bCs/>
        </w:rPr>
        <w:t xml:space="preserve"> </w:t>
      </w:r>
      <w:r>
        <w:rPr>
          <w:b/>
          <w:bCs/>
        </w:rPr>
        <w:t xml:space="preserve">reliability.</w:t>
      </w:r>
      <w:r>
        <w:t xml:space="preserve"> </w:t>
      </w:r>
      <w:r>
        <w:t xml:space="preserve">In the high-confidence bins where the bulk of fields fall (0.85 and 0.95),</w:t>
      </w:r>
      <w:r>
        <w:t xml:space="preserve"> </w:t>
      </w:r>
      <w:r>
        <w:t xml:space="preserve">empirical accuracy sits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diagonal: the model is right more often than it</w:t>
      </w:r>
      <w:r>
        <w:t xml:space="preserve"> </w:t>
      </w:r>
      <w:r>
        <w:t xml:space="preserve">claims. This is the safe direction to be wrong in for financial data, but it has a cost:</w:t>
      </w:r>
      <w:r>
        <w:t xml:space="preserve"> </w:t>
      </w:r>
      <w:r>
        <w:t xml:space="preserve">it routes more documents to human review than necessary.</w:t>
      </w:r>
    </w:p>
    <w:p>
      <w:pPr>
        <w:pStyle w:val="CaptionedFigure"/>
      </w:pPr>
      <w:r>
        <w:drawing>
          <wp:inline>
            <wp:extent cx="5334000" cy="3729431"/>
            <wp:effectExtent b="0" l="0" r="0" t="0"/>
            <wp:docPr descr="Reliability diagram" title="" id="80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reliability_diagram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</w:t>
      </w:r>
    </w:p>
    <w:bookmarkEnd w:id="82"/>
    <w:bookmarkStart w:id="86" w:name="the-confidently-wrong-tail"/>
    <w:p>
      <w:pPr>
        <w:pStyle w:val="Heading3"/>
      </w:pPr>
      <w:r>
        <w:t xml:space="preserve">2.2 The confidently-wrong tail</w:t>
      </w:r>
    </w:p>
    <w:p>
      <w:pPr>
        <w:pStyle w:val="FirstParagraph"/>
      </w:pPr>
      <w:r>
        <w:t xml:space="preserve">Conservatism is not the whole story. A small cohort of fields are</w:t>
      </w:r>
      <w:r>
        <w:t xml:space="preserve"> </w:t>
      </w:r>
      <w:r>
        <w:rPr>
          <w:b/>
          <w:bCs/>
        </w:rPr>
        <w:t xml:space="preserve">wrong but reported</w:t>
      </w:r>
      <w:r>
        <w:rPr>
          <w:b/>
          <w:bCs/>
        </w:rPr>
        <w:t xml:space="preserve"> </w:t>
      </w:r>
      <w:r>
        <w:rPr>
          <w:b/>
          <w:bCs/>
        </w:rPr>
        <w:t xml:space="preserve">with high confidence</w:t>
      </w:r>
      <w:r>
        <w:t xml:space="preserve"> </w:t>
      </w:r>
      <w:r>
        <w:t xml:space="preserve">(the ~0.75 bin sits well below the diagonal at ~0.55 accuracy).</w:t>
      </w:r>
      <w:r>
        <w:t xml:space="preserve"> </w:t>
      </w:r>
      <w:r>
        <w:t xml:space="preserve">These are the dangerous cases — errors that look trustworthy — and they are precisely</w:t>
      </w:r>
      <w:r>
        <w:t xml:space="preserve"> </w:t>
      </w:r>
      <w:r>
        <w:t xml:space="preserve">what the per-type confidence thresholds and review queue exist to catch.</w:t>
      </w:r>
    </w:p>
    <w:p>
      <w:pPr>
        <w:pStyle w:val="CaptionedFigure"/>
      </w:pPr>
      <w:r>
        <w:drawing>
          <wp:inline>
            <wp:extent cx="5334000" cy="2681455"/>
            <wp:effectExtent b="0" l="0" r="0" t="0"/>
            <wp:docPr descr="Confidence by correctness" title="" id="84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confidence_by_correctnes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Confidence by correctness</w:t>
      </w:r>
    </w:p>
    <w:bookmarkEnd w:id="86"/>
    <w:bookmarkStart w:id="90" w:name="calibration-by-field-category"/>
    <w:p>
      <w:pPr>
        <w:pStyle w:val="Heading3"/>
      </w:pPr>
      <w:r>
        <w:t xml:space="preserve">2.3 Calibration by field category</w:t>
      </w:r>
    </w:p>
    <w:p>
      <w:pPr>
        <w:pStyle w:val="FirstParagraph"/>
      </w:pPr>
      <w:r>
        <w:t xml:space="preserve">Calibration is not uniform. Structured categories the model handles near-perfectly</w:t>
      </w:r>
      <w:r>
        <w:t xml:space="preserve"> </w:t>
      </w:r>
      <w:r>
        <w:t xml:space="preserve">(dates, table-derived fields, monetary values) are the</w:t>
      </w:r>
      <w:r>
        <w:t xml:space="preserve"> </w:t>
      </w:r>
      <w:r>
        <w:rPr>
          <w:b/>
          <w:bCs/>
        </w:rPr>
        <w:t xml:space="preserve">most under-confident</w:t>
      </w:r>
      <w:r>
        <w:t xml:space="preserve"> </w:t>
      </w:r>
      <w:r>
        <w:t xml:space="preserve">— the</w:t>
      </w:r>
      <w:r>
        <w:t xml:space="preserve"> </w:t>
      </w:r>
      <w:r>
        <w:t xml:space="preserve">model is ~6–9 points too humble exactly where it is most reliable: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Table-derived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−8.1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−5.8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−3.0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−2.3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fields (e.g. distribution-type classification) are mildly</w:t>
      </w:r>
      <w:r>
        <w:t xml:space="preserve"> </w:t>
      </w:r>
      <w:r>
        <w:rPr>
          <w:i/>
          <w:iCs/>
        </w:rPr>
        <w:t xml:space="preserve">over</w:t>
      </w:r>
      <w:r>
        <w:t xml:space="preserve">-confident.</w:t>
      </w:r>
    </w:p>
    <w:p>
      <w:pPr>
        <w:pStyle w:val="CaptionedFigure"/>
      </w:pPr>
      <w:r>
        <w:drawing>
          <wp:inline>
            <wp:extent cx="5334000" cy="3171567"/>
            <wp:effectExtent b="0" l="0" r="0" t="0"/>
            <wp:docPr descr="Calibration by category" title="" id="88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calibration_by_category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by category</w:t>
      </w:r>
    </w:p>
    <w:bookmarkEnd w:id="90"/>
    <w:bookmarkStart w:id="94" w:name="X34ed96198f80c2be2f73c0b80e6248b365045e9"/>
    <w:p>
      <w:pPr>
        <w:pStyle w:val="Heading3"/>
      </w:pPr>
      <w:r>
        <w:t xml:space="preserve">2.4 Implication: thresholds can be safely relaxed</w:t>
      </w:r>
    </w:p>
    <w:p>
      <w:pPr>
        <w:pStyle w:val="FirstParagraph"/>
      </w:pPr>
      <w:r>
        <w:t xml:space="preserve">Because confidence under-states accuracy, the per-type auto-apply 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router.ts:82-106</w:t>
      </w:r>
      <w:r>
        <w:t xml:space="preserve">, 0.70–0.95) are leaving auto-apply capacity on the table. The</w:t>
      </w:r>
      <w:r>
        <w:t xml:space="preserve"> </w:t>
      </w:r>
      <w:r>
        <w:t xml:space="preserve">operating curve quantifies the trade-off: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Auto-apply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leakage (wrong fields auto-applied)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</w:tr>
    </w:tbl>
    <w:p>
      <w:pPr>
        <w:pStyle w:val="BodyText"/>
      </w:pPr>
      <w:r>
        <w:t xml:space="preserve">The current</w:t>
      </w:r>
      <w:r>
        <w:t xml:space="preserve"> </w:t>
      </w:r>
      <w:r>
        <w:rPr>
          <w:b/>
          <w:bCs/>
        </w:rPr>
        <w:t xml:space="preserve">0.85 threshold for capital calls / distributions</w:t>
      </w:r>
      <w:r>
        <w:t xml:space="preserve"> </w:t>
      </w:r>
      <w:r>
        <w:t xml:space="preserve">auto-applies 90% of</w:t>
      </w:r>
      <w:r>
        <w:t xml:space="preserve"> </w:t>
      </w:r>
      <w:r>
        <w:t xml:space="preserve">fields at 1.9% leakage; the</w:t>
      </w:r>
      <w:r>
        <w:t xml:space="preserve"> </w:t>
      </w:r>
      <w:r>
        <w:rPr>
          <w:b/>
          <w:bCs/>
        </w:rPr>
        <w:t xml:space="preserve">0.80 threshold for reports</w:t>
      </w:r>
      <w:r>
        <w:t xml:space="preserve"> </w:t>
      </w:r>
      <w:r>
        <w:t xml:space="preserve">auto-applies 98% at 2.4%.</w:t>
      </w:r>
      <w:r>
        <w:t xml:space="preserve"> </w:t>
      </w:r>
      <w:r>
        <w:t xml:space="preserve">Given the conservative calibration, these are defensible: raising thresholds cuts leakage</w:t>
      </w:r>
      <w:r>
        <w:t xml:space="preserve"> </w:t>
      </w:r>
      <w:r>
        <w:t xml:space="preserve">into fund records at a steep cost in review burden. The per-type differentiation (0.85</w:t>
      </w:r>
      <w:r>
        <w:t xml:space="preserve"> </w:t>
      </w:r>
      <w:r>
        <w:t xml:space="preserve">for financial-risk documents, 0.70–0.80 for reports) is the right shape.</w:t>
      </w:r>
    </w:p>
    <w:p>
      <w:pPr>
        <w:pStyle w:val="CaptionedFigure"/>
      </w:pPr>
      <w:r>
        <w:drawing>
          <wp:inline>
            <wp:extent cx="5334000" cy="3529920"/>
            <wp:effectExtent b="0" l="0" r="0" t="0"/>
            <wp:docPr descr="Threshold operating curve" title="" id="92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threshold_operating_curv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operating curve</w:t>
      </w:r>
    </w:p>
    <w:bookmarkEnd w:id="94"/>
    <w:bookmarkEnd w:id="95"/>
    <w:bookmarkStart w:id="99" w:name="end-to-end-processing-latency-metric-3"/>
    <w:p>
      <w:pPr>
        <w:pStyle w:val="Heading2"/>
      </w:pPr>
      <w:r>
        <w:t xml:space="preserve">3. End-to-end processing latency (Metric 3)</w:t>
      </w:r>
    </w:p>
    <w:p>
      <w:pPr>
        <w:pStyle w:val="FirstParagraph"/>
      </w:pPr>
      <w:r>
        <w:t xml:space="preserve">Per-stage timings across the 54 documents (detection → parallel Document AI + LLM</w:t>
      </w:r>
      <w:r>
        <w:t xml:space="preserve"> </w:t>
      </w:r>
      <w:r>
        <w:t xml:space="preserve">extraction → merge → validation), excluding the optional summarization stage and queue</w:t>
      </w:r>
      <w:r>
        <w:t xml:space="preserve"> </w:t>
      </w:r>
      <w:r>
        <w:t xml:space="preserve">wait: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Latency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(median)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23.9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90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t xml:space="preserve">Stage breakdown (mean): detection</w:t>
      </w:r>
      <w:r>
        <w:t xml:space="preserve"> </w:t>
      </w:r>
      <w:r>
        <w:rPr>
          <w:b/>
          <w:bCs/>
        </w:rPr>
        <w:t xml:space="preserve">2.2 s</w:t>
      </w:r>
      <w:r>
        <w:t xml:space="preserve">, extraction (parallel)</w:t>
      </w:r>
      <w:r>
        <w:t xml:space="preserve"> </w:t>
      </w:r>
      <w:r>
        <w:rPr>
          <w:b/>
          <w:bCs/>
        </w:rPr>
        <w:t xml:space="preserve">18.9 s</w:t>
      </w:r>
      <w:r>
        <w:t xml:space="preserve">, merge</w:t>
      </w:r>
      <w:r>
        <w:t xml:space="preserve"> </w:t>
      </w:r>
      <w:r>
        <w:rPr>
          <w:b/>
          <w:bCs/>
        </w:rPr>
        <w:t xml:space="preserve">1.3 s</w:t>
      </w:r>
      <w:r>
        <w:t xml:space="preserve">, validation</w:t>
      </w:r>
      <w:r>
        <w:t xml:space="preserve"> </w:t>
      </w:r>
      <w:r>
        <w:rPr>
          <w:b/>
          <w:bCs/>
        </w:rPr>
        <w:t xml:space="preserve">0.8 s</w:t>
      </w:r>
      <w:r>
        <w:t xml:space="preserve">. Extraction dominates the budget — and because Document</w:t>
      </w:r>
      <w:r>
        <w:t xml:space="preserve"> </w:t>
      </w:r>
      <w:r>
        <w:t xml:space="preserve">AI and the LLM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, the extraction cost is the</w:t>
      </w:r>
      <w:r>
        <w:t xml:space="preserve"> </w:t>
      </w:r>
      <w:r>
        <w:rPr>
          <w:i/>
          <w:iCs/>
        </w:rPr>
        <w:t xml:space="preserve">slower</w:t>
      </w:r>
      <w:r>
        <w:t xml:space="preserve"> </w:t>
      </w:r>
      <w:r>
        <w:t xml:space="preserve">of the two, not</w:t>
      </w:r>
      <w:r>
        <w:t xml:space="preserve"> </w:t>
      </w:r>
      <w:r>
        <w:t xml:space="preserve">their sum, which is the single most important latency design choice. Both targets are met</w:t>
      </w:r>
      <w:r>
        <w:t xml:space="preserve"> </w:t>
      </w:r>
      <w:r>
        <w:t xml:space="preserve">for standard (&lt;20-page) documents.</w:t>
      </w:r>
    </w:p>
    <w:p>
      <w:pPr>
        <w:pStyle w:val="CaptionedFigure"/>
      </w:pPr>
      <w:r>
        <w:drawing>
          <wp:inline>
            <wp:extent cx="5334000" cy="2648191"/>
            <wp:effectExtent b="0" l="0" r="0" t="0"/>
            <wp:docPr descr="Latency breakdown" title="" id="97" name="Picture"/>
            <a:graphic>
              <a:graphicData uri="http://schemas.openxmlformats.org/drawingml/2006/picture">
                <pic:pic>
                  <pic:nvPicPr>
                    <pic:cNvPr descr="/Users/agentilt/github/OneLPMVP/capstone/deliverable-3-pipeline-analysis/figures/latency_breakdown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Latency breakdown</w:t>
      </w:r>
    </w:p>
    <w:p>
      <w:pPr>
        <w:pStyle w:val="BlockText"/>
      </w:pPr>
      <w:r>
        <w:t xml:space="preserve">The architecture doc cites a</w:t>
      </w:r>
      <w:r>
        <w:t xml:space="preserve"> </w:t>
      </w:r>
      <w:r>
        <w:t xml:space="preserve">“typical 2–5 minute”</w:t>
      </w:r>
      <w:r>
        <w:t xml:space="preserve"> </w:t>
      </w:r>
      <w:r>
        <w:t xml:space="preserve">end-to-end time; that figure includes</w:t>
      </w:r>
      <w:r>
        <w:t xml:space="preserve"> </w:t>
      </w:r>
      <w:r>
        <w:t xml:space="preserve">the async Cloud Tasks</w:t>
      </w:r>
      <w:r>
        <w:t xml:space="preserve"> </w:t>
      </w:r>
      <w:r>
        <w:rPr>
          <w:b/>
          <w:bCs/>
        </w:rPr>
        <w:t xml:space="preserve">queue wait</w:t>
      </w:r>
      <w:r>
        <w:t xml:space="preserve"> </w:t>
      </w:r>
      <w:r>
        <w:t xml:space="preserve">and the optional</w:t>
      </w:r>
      <w:r>
        <w:t xml:space="preserve"> </w:t>
      </w:r>
      <w:r>
        <w:rPr>
          <w:b/>
          <w:bCs/>
        </w:rPr>
        <w:t xml:space="preserve">summarization</w:t>
      </w:r>
      <w:r>
        <w:t xml:space="preserve"> </w:t>
      </w:r>
      <w:r>
        <w:t xml:space="preserve">stage (60 s</w:t>
      </w:r>
      <w:r>
        <w:t xml:space="preserve"> </w:t>
      </w:r>
      <w:r>
        <w:t xml:space="preserve">timeout). The Metric-3 target measures</w:t>
      </w:r>
      <w:r>
        <w:t xml:space="preserve"> </w:t>
      </w:r>
      <w:r>
        <w:rPr>
          <w:i/>
          <w:iCs/>
        </w:rPr>
        <w:t xml:space="preserve">upload → structured data available</w:t>
      </w:r>
      <w:r>
        <w:t xml:space="preserve">, i.e. the</w:t>
      </w:r>
      <w:r>
        <w:t xml:space="preserve"> </w:t>
      </w:r>
      <w:r>
        <w:t xml:space="preserve">compute path measured here.</w:t>
      </w:r>
    </w:p>
    <w:bookmarkEnd w:id="99"/>
    <w:bookmarkStart w:id="100" w:name="limitations-private-markets-reality"/>
    <w:p>
      <w:pPr>
        <w:pStyle w:val="Heading2"/>
      </w:pPr>
      <w:r>
        <w:t xml:space="preserve">4. Limitations (private-markets reality)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sparsity &amp; cold-start.</w:t>
      </w:r>
      <w:r>
        <w:t xml:space="preserve"> </w:t>
      </w:r>
      <w:r>
        <w:t xml:space="preserve">A new fund has no NAV/cash-flow history, so the Monte</w:t>
      </w:r>
      <w:r>
        <w:t xml:space="preserve"> </w:t>
      </w:r>
      <w:r>
        <w:t xml:space="preserve">Carlo engine falls back to age-band deployment/distribution rates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historical.ts:290-345</w:t>
      </w:r>
      <w:r>
        <w:t xml:space="preserve">) and the J-curve profile templates — forecasts are</w:t>
      </w:r>
      <w:r>
        <w:t xml:space="preserve"> </w:t>
      </w:r>
      <w:r>
        <w:t xml:space="preserve">profile-driven until ~8 quarters of history accrue. The proposal’s MAE target is</w:t>
      </w:r>
      <w:r>
        <w:t xml:space="preserve"> </w:t>
      </w:r>
      <w:r>
        <w:t xml:space="preserve">explicitly scoped to</w:t>
      </w:r>
      <w:r>
        <w:t xml:space="preserve"> </w:t>
      </w:r>
      <w:r>
        <w:t xml:space="preserve">“funds with 8+ quarters of history”</w:t>
      </w:r>
      <w:r>
        <w:t xml:space="preserve"> </w:t>
      </w:r>
      <w:r>
        <w:t xml:space="preserve">for this reason.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GP-format generalization.</w:t>
      </w:r>
      <w:r>
        <w:t xml:space="preserve"> </w:t>
      </w:r>
      <w:r>
        <w:t xml:space="preserve">Extraction accuracy is measured across five format tags,</w:t>
      </w:r>
      <w:r>
        <w:t xml:space="preserve"> </w:t>
      </w:r>
      <w:r>
        <w:t xml:space="preserve">but the long tail of bespoke GP layouts (scanned legacy PDFs, non-standard tables) is</w:t>
      </w:r>
      <w:r>
        <w:t xml:space="preserve"> </w:t>
      </w:r>
      <w:r>
        <w:t xml:space="preserve">where production accuracy will be lost; the labeled set should grow toward those.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Correlation model fragility (from Deliverable 2).</w:t>
      </w:r>
      <w:r>
        <w:t xml:space="preserve"> </w:t>
      </w:r>
      <w:r>
        <w:t xml:space="preserve">On realistic multi-fund books the</w:t>
      </w:r>
      <w:r>
        <w:t xml:space="preserve"> </w:t>
      </w:r>
      <w:r>
        <w:t xml:space="preserve">per-fund correlation matrix is singular and the engine silently falls back to</w:t>
      </w:r>
      <w:r>
        <w:t xml:space="preserve"> </w:t>
      </w:r>
      <w:r>
        <w:t xml:space="preserve">independent simulation (</w:t>
      </w:r>
      <w:r>
        <w:rPr>
          <w:rStyle w:val="VerbatimChar"/>
        </w:rPr>
        <w:t xml:space="preserve">monte-carlo.ts:336-341</w:t>
      </w:r>
      <w:r>
        <w:t xml:space="preserve">). Fix: shrink/regularize the matrix or</w:t>
      </w:r>
      <w:r>
        <w:t xml:space="preserve"> </w:t>
      </w:r>
      <w:r>
        <w:t xml:space="preserve">model correlation at the asset-class level. Until then, headline forecasts understate</w:t>
      </w:r>
      <w:r>
        <w:t xml:space="preserve"> </w:t>
      </w:r>
      <w:r>
        <w:t xml:space="preserve">tail co-movement.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Calibration is conservative, not perfect (ECE 0.056).</w:t>
      </w:r>
      <w:r>
        <w:t xml:space="preserve"> </w:t>
      </w:r>
      <w:r>
        <w:t xml:space="preserve">Under-confidence wastes</w:t>
      </w:r>
      <w:r>
        <w:t xml:space="preserve"> </w:t>
      </w:r>
      <w:r>
        <w:t xml:space="preserve">review capacity; a post-hoc calibration map (temperature/isotonic) on real labeled</w:t>
      </w:r>
      <w:r>
        <w:t xml:space="preserve"> </w:t>
      </w:r>
      <w:r>
        <w:t xml:space="preserve">output would let thresholds auto-apply more without raising leakage.</w:t>
      </w:r>
    </w:p>
    <w:bookmarkEnd w:id="100"/>
    <w:bookmarkStart w:id="101" w:name="Xec2b8c0397d122dd46a75e12bb6e760d137b633"/>
    <w:p>
      <w:pPr>
        <w:pStyle w:val="Heading2"/>
      </w:pPr>
      <w:r>
        <w:t xml:space="preserve">5. Key trade-off findings &amp; production implications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Production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engine (D1)</w:t>
            </w:r>
          </w:p>
        </w:tc>
        <w:tc>
          <w:tcPr/>
          <w:p>
            <w:pPr>
              <w:pStyle w:val="Compact"/>
            </w:pPr>
            <w:r>
              <w:t xml:space="preserve">Hybrid is the only config meeting both F1 bars</w:t>
            </w:r>
          </w:p>
        </w:tc>
        <w:tc>
          <w:tcPr/>
          <w:p>
            <w:pPr>
              <w:pStyle w:val="Compact"/>
            </w:pPr>
            <w:r>
              <w:t xml:space="preserve">Keep hybrid for financial docs; LLM-only is acceptable for narrative-only types to save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Auto-apply threshold</w:t>
            </w:r>
          </w:p>
        </w:tc>
        <w:tc>
          <w:tcPr/>
          <w:p>
            <w:pPr>
              <w:pStyle w:val="Compact"/>
            </w:pPr>
            <w:r>
              <w:t xml:space="preserve">Conservative calibration → low leakage but high review burden</w:t>
            </w:r>
          </w:p>
        </w:tc>
        <w:tc>
          <w:tcPr/>
          <w:p>
            <w:pPr>
              <w:pStyle w:val="Compact"/>
            </w:pPr>
            <w:r>
              <w:t xml:space="preserve">Recalibrate confidence, then consider lowering report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engine (D2)</w:t>
            </w:r>
          </w:p>
        </w:tc>
        <w:tc>
          <w:tcPr/>
          <w:p>
            <w:pPr>
              <w:pStyle w:val="Compact"/>
            </w:pPr>
            <w:r>
              <w:t xml:space="preserve">Monte Carlo captures tail risk; MAE 6.3%</w:t>
            </w:r>
          </w:p>
        </w:tc>
        <w:tc>
          <w:tcPr/>
          <w:p>
            <w:pPr>
              <w:pStyle w:val="Compact"/>
            </w:pPr>
            <w:r>
              <w:t xml:space="preserve">Justified vs closed-form; widen P10/P90 (65% coverage of 80%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model (D2)</w:t>
            </w:r>
          </w:p>
        </w:tc>
        <w:tc>
          <w:tcPr/>
          <w:p>
            <w:pPr>
              <w:pStyle w:val="Compact"/>
            </w:pPr>
            <w:r>
              <w:t xml:space="preserve">Engages only when asset classes are distinct</w:t>
            </w:r>
          </w:p>
        </w:tc>
        <w:tc>
          <w:tcPr/>
          <w:p>
            <w:pPr>
              <w:pStyle w:val="Compact"/>
            </w:pPr>
            <w:r>
              <w:t xml:space="preserve">Regularize matrix before relying on correlated 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Parallel extraction meets P50&lt;30s / P95&lt;90s</w:t>
            </w:r>
          </w:p>
        </w:tc>
        <w:tc>
          <w:tcPr/>
          <w:p>
            <w:pPr>
              <w:pStyle w:val="Compact"/>
            </w:pPr>
            <w:r>
              <w:t xml:space="preserve">Preserve parallelism; summarization stays async/optional</w:t>
            </w:r>
          </w:p>
        </w:tc>
      </w:tr>
    </w:tbl>
    <w:bookmarkEnd w:id="101"/>
    <w:bookmarkStart w:id="102" w:name="reproducibility-3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deliverable-3-pipeline-analysis/run_analysis.py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results/pipeline_analysis.json</w:t>
      </w:r>
      <w:r>
        <w:t xml:space="preserve">, five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Calibration +</w:t>
      </w:r>
      <w:r>
        <w:t xml:space="preserve"> </w:t>
      </w:r>
      <w:r>
        <w:t xml:space="preserve">latency code:</w:t>
      </w:r>
      <w:r>
        <w:t xml:space="preserve"> </w:t>
      </w:r>
      <w:r>
        <w:rPr>
          <w:rStyle w:val="VerbatimChar"/>
        </w:rPr>
        <w:t xml:space="preserve">run_analysis.py</w:t>
      </w:r>
      <w:r>
        <w:t xml:space="preserve">; confidence/latency records:</w:t>
      </w:r>
      <w:r>
        <w:t xml:space="preserve"> </w:t>
      </w:r>
      <w:r>
        <w:rPr>
          <w:rStyle w:val="VerbatimChar"/>
        </w:rPr>
        <w:t xml:space="preserve">data/extraction/</w:t>
      </w:r>
      <w:r>
        <w:t xml:space="preserve">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26" Target="media/rId26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87" Target="media/rId87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79" Target="media/rId79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OneLP Capstone — Proof-of-Concept Deliverables</dc:title>
  <dc:creator>Kishan Dhulashia · Max Vanderlinden · Sofia Mollon · Agustin Gentil</dc:creator>
  <cp:keywords/>
  <dcterms:created xsi:type="dcterms:W3CDTF">2026-06-23T12:26:11Z</dcterms:created>
  <dcterms:modified xsi:type="dcterms:W3CDTF">2026-06-23T12:26:11Z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Executive Summary &amp; Synthesis</vt:lpwstr>
  </property>
</Properties>
</file>