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23.png" ContentType="image/png"/>
  <Override PartName="/word/media/rId32.png" ContentType="image/png"/>
  <Override PartName="/word/media/rId48.png" ContentType="image/png"/>
  <Override PartName="/word/media/rId58.png" ContentType="image/png"/>
  <Override PartName="/word/media/rId44.png" ContentType="image/png"/>
  <Override PartName="/word/media/rId52.png" ContentType="image/png"/>
  <Override PartName="/word/media/rId79.png" ContentType="image/png"/>
  <Override PartName="/word/media/rId68.png" ContentType="image/png"/>
  <Override PartName="/word/media/rId7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ceeda01772dacaf636b88b027390a66f7d8a820"/>
    <w:p>
      <w:pPr>
        <w:pStyle w:val="Heading1"/>
      </w:pPr>
      <w:r>
        <w:t xml:space="preserve">OneLP: AI Document-Intelligence and Portfolio-Forecasting for Limited Partners</w:t>
      </w:r>
    </w:p>
    <w:p>
      <w:pPr>
        <w:pStyle w:val="FirstParagraph"/>
      </w:pPr>
      <w:r>
        <w:rPr>
          <w:b/>
          <w:bCs/>
        </w:rPr>
        <w:t xml:space="preserve">Capstone Written Report — Proof-of-Concept Evaluation</w:t>
      </w:r>
    </w:p>
    <w:p>
      <w:pPr>
        <w:pStyle w:val="BodyText"/>
      </w:pPr>
      <w:r>
        <w:rPr>
          <w:b/>
          <w:bCs/>
        </w:rPr>
        <w:t xml:space="preserve">Authors:</w:t>
      </w:r>
      <w:r>
        <w:t xml:space="preserve"> </w:t>
      </w:r>
      <w:r>
        <w:t xml:space="preserve">Kishan Dhulashia · Max Vanderlinden · Sofia Mollon · Agustin Gentil</w:t>
      </w:r>
    </w:p>
    <w:p>
      <w:pPr>
        <w:pStyle w:val="BodyText"/>
      </w:pPr>
      <w:r>
        <w:rPr>
          <w:b/>
          <w:bCs/>
        </w:rPr>
        <w:t xml:space="preserve">Programme:</w:t>
      </w:r>
      <w:r>
        <w:t xml:space="preserve"> </w:t>
      </w:r>
      <w:r>
        <w:t xml:space="preserve">MSc in Business Analytics &amp; Big Data — IE School of Science &amp; Technology (Venture Capstone)</w:t>
      </w:r>
    </w:p>
    <w:p>
      <w:pPr>
        <w:pStyle w:val="BodyText"/>
      </w:pPr>
      <w:r>
        <w:rPr>
          <w:b/>
          <w:bCs/>
        </w:rPr>
        <w:t xml:space="preserve">Date:</w:t>
      </w:r>
      <w:r>
        <w:t xml:space="preserve"> </w:t>
      </w:r>
      <w:r>
        <w:t xml:space="preserve">June 2026</w:t>
      </w:r>
    </w:p>
    <w:p>
      <w:pPr>
        <w:pStyle w:val="BodyText"/>
      </w:pPr>
      <w:r>
        <w:rPr>
          <w:b/>
          <w:bCs/>
        </w:rPr>
        <w:t xml:space="preserve">Code &amp; notebooks:</w:t>
      </w:r>
      <w:r>
        <w:t xml:space="preserve"> </w:t>
      </w:r>
      <w:r>
        <w:t xml:space="preserve">https://github.com/agentilt/onelp-capstone</w:t>
      </w:r>
    </w:p>
    <w:p>
      <w:r>
        <w:pict>
          <v:rect style="width:0;height:1.5pt" o:hralign="center" o:hrstd="t" o:hr="t"/>
        </w:pict>
      </w:r>
    </w:p>
    <w:bookmarkStart w:id="9" w:name="ethics-statement"/>
    <w:p>
      <w:pPr>
        <w:pStyle w:val="Heading3"/>
      </w:pPr>
      <w:r>
        <w:t xml:space="preserve">Ethics Statement</w:t>
      </w:r>
    </w:p>
    <w:p>
      <w:pPr>
        <w:pStyle w:val="FirstParagraph"/>
      </w:pPr>
      <w:r>
        <w:t xml:space="preserve">This capstone was conducted in accordance with responsible data-science and AI practices.</w:t>
      </w:r>
      <w:r>
        <w:t xml:space="preserve"> </w:t>
      </w:r>
      <w:r>
        <w:rPr>
          <w:b/>
          <w:bCs/>
        </w:rPr>
        <w:t xml:space="preserve">No real pilot-client data or personally identifiable information was used in any evaluation.</w:t>
      </w:r>
      <w:r>
        <w:t xml:space="preserve"> </w:t>
      </w:r>
      <w:r>
        <w:t xml:space="preserve">The document-extraction test set is a synthetic, labelled corpus modelled on the project’s own</w:t>
      </w:r>
      <w:r>
        <w:t xml:space="preserve"> </w:t>
      </w:r>
      <w:r>
        <w:t xml:space="preserve">golden fixtures and schemas; the forecasting study uses a</w:t>
      </w:r>
      <w:r>
        <w:t xml:space="preserve"> </w:t>
      </w:r>
      <w:r>
        <w:rPr>
          <w:b/>
          <w:bCs/>
        </w:rPr>
        <w:t xml:space="preserve">calibrated reference portfolio</w:t>
      </w:r>
      <w:r>
        <w:t xml:space="preserve"> </w:t>
      </w:r>
      <w:r>
        <w:t xml:space="preserve">anchored on seeded demo accounts rather than confidential client holdings. Results derived from</w:t>
      </w:r>
      <w:r>
        <w:t xml:space="preserve"> </w:t>
      </w:r>
      <w:r>
        <w:t xml:space="preserve">simulated or calibrated processes are explicitly labelled as such throughout, are distinguished</w:t>
      </w:r>
      <w:r>
        <w:t xml:space="preserve"> </w:t>
      </w:r>
      <w:r>
        <w:t xml:space="preserve">from production behaviour, and are accompanied by a transparent account of limitations</w:t>
      </w:r>
      <w:r>
        <w:t xml:space="preserve"> </w:t>
      </w:r>
      <w:r>
        <w:t xml:space="preserve">(calibration, cross-asset correlation fallback, cold-start, and generalisation across document</w:t>
      </w:r>
      <w:r>
        <w:t xml:space="preserve"> </w:t>
      </w:r>
      <w:r>
        <w:t xml:space="preserve">formats). The underlying system retains a</w:t>
      </w:r>
      <w:r>
        <w:t xml:space="preserve"> </w:t>
      </w:r>
      <w:r>
        <w:rPr>
          <w:b/>
          <w:bCs/>
        </w:rPr>
        <w:t xml:space="preserve">human-in-the-loop review queue</w:t>
      </w:r>
      <w:r>
        <w:t xml:space="preserve"> </w:t>
      </w:r>
      <w:r>
        <w:t xml:space="preserve">for low-confidence</w:t>
      </w:r>
      <w:r>
        <w:t xml:space="preserve"> </w:t>
      </w:r>
      <w:r>
        <w:t xml:space="preserve">extractions, so automated outputs never drive financial decisions without verification, and every</w:t>
      </w:r>
      <w:r>
        <w:t xml:space="preserve"> </w:t>
      </w:r>
      <w:r>
        <w:t xml:space="preserve">extracted field keeps source-linked evidence for auditability. All metrics are computed from first</w:t>
      </w:r>
      <w:r>
        <w:t xml:space="preserve"> </w:t>
      </w:r>
      <w:r>
        <w:t xml:space="preserve">principles with</w:t>
      </w:r>
      <w:r>
        <w:t xml:space="preserve"> </w:t>
      </w:r>
      <w:r>
        <w:rPr>
          <w:b/>
          <w:bCs/>
        </w:rPr>
        <w:t xml:space="preserve">deterministic, openly available code</w:t>
      </w:r>
      <w:r>
        <w:t xml:space="preserve"> </w:t>
      </w:r>
      <w:r>
        <w:t xml:space="preserve">to ensure reproducibility, and no claim is</w:t>
      </w:r>
      <w:r>
        <w:t xml:space="preserve"> </w:t>
      </w:r>
      <w:r>
        <w:t xml:space="preserve">made beyond what the evaluation measures. The authors affirm that this work is their own and that</w:t>
      </w:r>
      <w:r>
        <w:t xml:space="preserve"> </w:t>
      </w:r>
      <w:r>
        <w:t xml:space="preserve">all external sources and tools are duly acknowledged.</w:t>
      </w:r>
    </w:p>
    <w:bookmarkEnd w:id="9"/>
    <w:bookmarkEnd w:id="10"/>
    <w:bookmarkStart w:id="17" w:name="Xa2dc7f8758f9c1346617194e44679f28e78b2bf"/>
    <w:p>
      <w:pPr>
        <w:pStyle w:val="Heading1"/>
      </w:pPr>
      <w:r>
        <w:t xml:space="preserve">OneLP Capstone — Proof-of-Concept Deliverables</w:t>
      </w:r>
    </w:p>
    <w:bookmarkStart w:id="11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The OneLP capstone builds a production-grade</w:t>
      </w:r>
      <w:r>
        <w:t xml:space="preserve"> </w:t>
      </w:r>
      <w:r>
        <w:rPr>
          <w:b/>
          <w:bCs/>
        </w:rPr>
        <w:t xml:space="preserve">document-intelligence pipeline</w:t>
      </w:r>
      <w:r>
        <w:t xml:space="preserve"> </w:t>
      </w:r>
      <w:r>
        <w:t xml:space="preserve">that</w:t>
      </w:r>
      <w:r>
        <w:t xml:space="preserve"> </w:t>
      </w:r>
      <w:r>
        <w:t xml:space="preserve">turns unstructured private-market documents into structured, validated, portfolio-ready</w:t>
      </w:r>
      <w:r>
        <w:t xml:space="preserve"> </w:t>
      </w:r>
      <w:r>
        <w:t xml:space="preserve">data, and an</w:t>
      </w:r>
      <w:r>
        <w:t xml:space="preserve"> </w:t>
      </w:r>
      <w:r>
        <w:rPr>
          <w:b/>
          <w:bCs/>
        </w:rPr>
        <w:t xml:space="preserve">analytics layer</w:t>
      </w:r>
      <w:r>
        <w:t xml:space="preserve"> </w:t>
      </w:r>
      <w:r>
        <w:t xml:space="preserve">that forecasts portfolio cash flow with calibrated</w:t>
      </w:r>
      <w:r>
        <w:t xml:space="preserve"> </w:t>
      </w:r>
      <w:r>
        <w:t xml:space="preserve">uncertainty. This document synthesizes the three Proof-of-Concept deliverables committed</w:t>
      </w:r>
      <w:r>
        <w:t xml:space="preserve"> </w:t>
      </w:r>
      <w:r>
        <w:t xml:space="preserve">to in §7 of the proposal, each evaluated against the quantitative target it was set.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1827"/>
        <w:gridCol w:w="1827"/>
        <w:gridCol w:w="24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Deliverable</w:t>
            </w:r>
          </w:p>
        </w:tc>
        <w:tc>
          <w:tcPr/>
          <w:p>
            <w:pPr>
              <w:pStyle w:val="Compact"/>
            </w:pPr>
            <w:r>
              <w:t xml:space="preserve">Proposal target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— Extraction accuracy</w:t>
            </w:r>
          </w:p>
        </w:tc>
        <w:tc>
          <w:tcPr/>
          <w:p>
            <w:pPr>
              <w:pStyle w:val="Compact"/>
            </w:pPr>
            <w:r>
              <w:t xml:space="preserve">Macro F1 ≥ 0.90; critical fields ≥ 0.95</w:t>
            </w:r>
          </w:p>
        </w:tc>
        <w:tc>
          <w:tcPr/>
          <w:p>
            <w:pPr>
              <w:pStyle w:val="Compact"/>
            </w:pPr>
            <w:r>
              <w:t xml:space="preserve">Hybrid</w:t>
            </w:r>
            <w:r>
              <w:t xml:space="preserve"> </w:t>
            </w:r>
            <w:r>
              <w:rPr>
                <w:b/>
                <w:bCs/>
              </w:rPr>
              <w:t xml:space="preserve">0.968 / 0.968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met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— Forecast backtest</w:t>
            </w:r>
          </w:p>
        </w:tc>
        <w:tc>
          <w:tcPr/>
          <w:p>
            <w:pPr>
              <w:pStyle w:val="Compact"/>
            </w:pPr>
            <w:r>
              <w:t xml:space="preserve">MAE &lt; 15% of quarterly cash flow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5.0% MAE</w:t>
            </w:r>
            <w:r>
              <w:t xml:space="preserve"> </w:t>
            </w:r>
            <w:r>
              <w:t xml:space="preserve">(20-point rolling)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met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— Latency (Metric 3)</w:t>
            </w:r>
          </w:p>
        </w:tc>
        <w:tc>
          <w:tcPr/>
          <w:p>
            <w:pPr>
              <w:pStyle w:val="Compact"/>
            </w:pPr>
            <w:r>
              <w:t xml:space="preserve">P50 &lt; 30s; P95 &lt; 90s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23.9s / 29.4s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met</w:t>
            </w:r>
          </w:p>
        </w:tc>
      </w:tr>
    </w:tbl>
    <w:p>
      <w:pPr>
        <w:pStyle w:val="BodyText"/>
      </w:pPr>
      <w:r>
        <w:t xml:space="preserve">All three quantitative targets are met. Beyond the headline numbers, the deliverables</w:t>
      </w:r>
      <w:r>
        <w:t xml:space="preserve"> </w:t>
      </w:r>
      <w:r>
        <w:t xml:space="preserve">surface three findings that matter for production: the</w:t>
      </w:r>
      <w:r>
        <w:t xml:space="preserve"> </w:t>
      </w:r>
      <w:r>
        <w:rPr>
          <w:b/>
          <w:bCs/>
        </w:rPr>
        <w:t xml:space="preserve">hybrid extraction architecture</w:t>
      </w:r>
      <w:r>
        <w:rPr>
          <w:b/>
          <w:bCs/>
        </w:rPr>
        <w:t xml:space="preserve"> </w:t>
      </w:r>
      <w:r>
        <w:rPr>
          <w:b/>
          <w:bCs/>
        </w:rPr>
        <w:t xml:space="preserve">is empirically justified</w:t>
      </w:r>
      <w:r>
        <w:t xml:space="preserve"> </w:t>
      </w:r>
      <w:r>
        <w:t xml:space="preserve">(not just intuitive), the</w:t>
      </w:r>
      <w:r>
        <w:t xml:space="preserve"> </w:t>
      </w:r>
      <w:r>
        <w:rPr>
          <w:b/>
          <w:bCs/>
        </w:rPr>
        <w:t xml:space="preserve">forecast intervals are slightly</w:t>
      </w:r>
      <w:r>
        <w:rPr>
          <w:b/>
          <w:bCs/>
        </w:rPr>
        <w:t xml:space="preserve"> </w:t>
      </w:r>
      <w:r>
        <w:rPr>
          <w:b/>
          <w:bCs/>
        </w:rPr>
        <w:t xml:space="preserve">too tight</w:t>
      </w:r>
      <w:r>
        <w:t xml:space="preserve">, and the</w:t>
      </w:r>
      <w:r>
        <w:t xml:space="preserve"> </w:t>
      </w:r>
      <w:r>
        <w:rPr>
          <w:b/>
          <w:bCs/>
        </w:rPr>
        <w:t xml:space="preserve">cross-asset correlation model silently no-ops on realistic</w:t>
      </w:r>
      <w:r>
        <w:rPr>
          <w:b/>
          <w:bCs/>
        </w:rPr>
        <w:t xml:space="preserve"> </w:t>
      </w:r>
      <w:r>
        <w:rPr>
          <w:b/>
          <w:bCs/>
        </w:rPr>
        <w:t xml:space="preserve">multi-fund books</w:t>
      </w:r>
      <w:r>
        <w:t xml:space="preserve"> </w:t>
      </w:r>
      <w:r>
        <w:t xml:space="preserve">— a concrete, fixable engineering gap.</w:t>
      </w:r>
    </w:p>
    <w:p>
      <w:r>
        <w:pict>
          <v:rect style="width:0;height:1.5pt" o:hralign="center" o:hrstd="t" o:hr="t"/>
        </w:pict>
      </w:r>
    </w:p>
    <w:bookmarkEnd w:id="11"/>
    <w:bookmarkStart w:id="12" w:name="X58b83d3f4b3b949d392be1841539d531acad234"/>
    <w:p>
      <w:pPr>
        <w:pStyle w:val="Heading2"/>
      </w:pPr>
      <w:r>
        <w:t xml:space="preserve">Deliverable 1 — Document Extraction Accuracy</w:t>
      </w:r>
    </w:p>
    <w:p>
      <w:pPr>
        <w:pStyle w:val="FirstParagraph"/>
      </w:pPr>
      <w:r>
        <w:t xml:space="preserve">A 54-document labeled test set across 8 GP document types is scored with the</w:t>
      </w:r>
      <w:r>
        <w:t xml:space="preserve"> </w:t>
      </w:r>
      <w:r>
        <w:t xml:space="preserve">repository’s own field-matching logic (extended to be numeric-aware for money/dates).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hybrid</w:t>
      </w:r>
      <w:r>
        <w:t xml:space="preserve"> </w:t>
      </w:r>
      <w:r>
        <w:t xml:space="preserve">engine (Document AI + LLM, merged with precedence) is the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configuration meeting both accuracy bars:</w:t>
      </w:r>
    </w:p>
    <w:p>
      <w:pPr>
        <w:pStyle w:val="Compact"/>
        <w:numPr>
          <w:ilvl w:val="0"/>
          <w:numId w:val="1001"/>
        </w:numPr>
      </w:pPr>
      <w:r>
        <w:t xml:space="preserve">Macro F1</w:t>
      </w:r>
      <w:r>
        <w:t xml:space="preserve"> </w:t>
      </w:r>
      <w:r>
        <w:rPr>
          <w:b/>
          <w:bCs/>
        </w:rPr>
        <w:t xml:space="preserve">0.968</w:t>
      </w:r>
      <w:r>
        <w:t xml:space="preserve"> </w:t>
      </w:r>
      <w:r>
        <w:t xml:space="preserve">(≥ 0.90 target) · critical-field F1</w:t>
      </w:r>
      <w:r>
        <w:t xml:space="preserve"> </w:t>
      </w:r>
      <w:r>
        <w:rPr>
          <w:b/>
          <w:bCs/>
        </w:rPr>
        <w:t xml:space="preserve">0.968</w:t>
      </w:r>
      <w:r>
        <w:t xml:space="preserve"> </w:t>
      </w:r>
      <w:r>
        <w:t xml:space="preserve">(≥ 0.95 target)</w:t>
      </w:r>
    </w:p>
    <w:p>
      <w:pPr>
        <w:pStyle w:val="Compact"/>
        <w:numPr>
          <w:ilvl w:val="0"/>
          <w:numId w:val="1001"/>
        </w:numPr>
      </w:pPr>
      <w:r>
        <w:t xml:space="preserve">Document AI alone: strong on financial fields (0.963) but weak on narrative → 0.889 macro</w:t>
      </w:r>
    </w:p>
    <w:p>
      <w:pPr>
        <w:pStyle w:val="Compact"/>
        <w:numPr>
          <w:ilvl w:val="0"/>
          <w:numId w:val="1001"/>
        </w:numPr>
      </w:pPr>
      <w:r>
        <w:t xml:space="preserve">LLM alone: strong overall (0.892) but weakest on the critical financial fields (0.887)</w:t>
      </w:r>
    </w:p>
    <w:p>
      <w:pPr>
        <w:pStyle w:val="Compact"/>
        <w:numPr>
          <w:ilvl w:val="0"/>
          <w:numId w:val="1001"/>
        </w:numPr>
      </w:pPr>
      <w:r>
        <w:t xml:space="preserve">Document-type classification:</w:t>
      </w:r>
      <w:r>
        <w:t xml:space="preserve"> </w:t>
      </w:r>
      <w:r>
        <w:rPr>
          <w:b/>
          <w:bCs/>
        </w:rPr>
        <w:t xml:space="preserve">88.9% accuracy</w:t>
      </w:r>
      <w:r>
        <w:t xml:space="preserve">, confusions only between adjacent</w:t>
      </w:r>
      <w:r>
        <w:t xml:space="preserve"> </w:t>
      </w:r>
      <w:r>
        <w:t xml:space="preserve">periodic-report types</w:t>
      </w:r>
    </w:p>
    <w:p>
      <w:pPr>
        <w:pStyle w:val="FirstParagraph"/>
      </w:pPr>
      <w:r>
        <w:rPr>
          <w:b/>
          <w:bCs/>
        </w:rPr>
        <w:t xml:space="preserve">Takeaway:</w:t>
      </w:r>
      <w:r>
        <w:t xml:space="preserve"> </w:t>
      </w:r>
      <w:r>
        <w:t xml:space="preserve">the two single engines fail in opposite directions; merging them recovers</w:t>
      </w:r>
      <w:r>
        <w:t xml:space="preserve"> </w:t>
      </w:r>
      <w:r>
        <w:t xml:space="preserve">the best of both. The architecture bet pays off in the data.</w:t>
      </w:r>
    </w:p>
    <w:bookmarkEnd w:id="12"/>
    <w:bookmarkStart w:id="13" w:name="X590d63e0a941b0531894059a7564513fba9a66f"/>
    <w:p>
      <w:pPr>
        <w:pStyle w:val="Heading2"/>
      </w:pPr>
      <w:r>
        <w:t xml:space="preserve">Deliverable 2 — Cash-Flow Forecasting with Backtesting</w:t>
      </w:r>
    </w:p>
    <w:p>
      <w:pPr>
        <w:pStyle w:val="FirstParagraph"/>
      </w:pPr>
      <w:r>
        <w:t xml:space="preserve">The production Monte Carlo engine (a faithful Python port of</w:t>
      </w:r>
      <w:r>
        <w:t xml:space="preserve"> </w:t>
      </w:r>
      <w:r>
        <w:rPr>
          <w:rStyle w:val="VerbatimChar"/>
        </w:rPr>
        <w:t xml:space="preserve">monte-carlo.ts</w:t>
      </w:r>
      <w:r>
        <w:t xml:space="preserve">) is run</w:t>
      </w:r>
      <w:r>
        <w:t xml:space="preserve"> </w:t>
      </w:r>
      <w:r>
        <w:t xml:space="preserve">over a 16-fund / $143M calibrated reference portfolio: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Backtest MAE 5.0%</w:t>
      </w:r>
      <w:r>
        <w:t xml:space="preserve"> </w:t>
      </w:r>
      <w:r>
        <w:t xml:space="preserve">of gross quarterly flow on a 20-point rolling-origin test — well</w:t>
      </w:r>
      <w:r>
        <w:t xml:space="preserve"> </w:t>
      </w:r>
      <w:r>
        <w:t xml:space="preserve">inside the &lt; 15% target. (80% predictive-interval coverage is 65% → bands are slightly</w:t>
      </w:r>
      <w:r>
        <w:t xml:space="preserve"> </w:t>
      </w:r>
      <w:r>
        <w:t xml:space="preserve">too narrow.)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Stress testing</w:t>
      </w:r>
      <w:r>
        <w:t xml:space="preserve"> </w:t>
      </w:r>
      <w:r>
        <w:t xml:space="preserve">across 7 scenarios: cumulative net cash flow ranges from −$6.8M</w:t>
      </w:r>
      <w:r>
        <w:t xml:space="preserve"> </w:t>
      </w:r>
      <w:r>
        <w:t xml:space="preserve">(Liquidity Crisis) to +$37.3M (Rapid Recovery); the implied 95% reserve scales with</w:t>
      </w:r>
      <w:r>
        <w:t xml:space="preserve"> </w:t>
      </w:r>
      <w:r>
        <w:t xml:space="preserve">severity.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Liquidity reserve:</w:t>
      </w:r>
      <w:r>
        <w:t xml:space="preserve"> </w:t>
      </w:r>
      <w:r>
        <w:t xml:space="preserve">~$8M (95% confidence) needed to survive a Liquidity Crisis; the</w:t>
      </w:r>
      <w:r>
        <w:t xml:space="preserve"> </w:t>
      </w:r>
      <w:r>
        <w:t xml:space="preserve">mature book self-funds in the base case.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Sensitivity:</w:t>
      </w:r>
      <w:r>
        <w:t xml:space="preserve"> </w:t>
      </w:r>
      <w:r>
        <w:t xml:space="preserve">NAV level (±$16.8M) and distribution pacing (±$13.9M) dominate; call</w:t>
      </w:r>
      <w:r>
        <w:t xml:space="preserve"> </w:t>
      </w:r>
      <w:r>
        <w:t xml:space="preserve">timing matters ~3× less.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Cross-asset correlation</w:t>
      </w:r>
      <w:r>
        <w:t xml:space="preserve"> </w:t>
      </w:r>
      <w:r>
        <w:t xml:space="preserve">widens the aggregate outcome distribution by +39% (σ) on a</w:t>
      </w:r>
      <w:r>
        <w:t xml:space="preserve"> </w:t>
      </w:r>
      <w:r>
        <w:t xml:space="preserve">one-per-class demo — but</w:t>
      </w:r>
      <w:r>
        <w:t xml:space="preserve"> </w:t>
      </w:r>
      <w:r>
        <w:rPr>
          <w:b/>
          <w:bCs/>
        </w:rPr>
        <w:t xml:space="preserve">does not engage on the full 16-fund book</w:t>
      </w:r>
      <w:r>
        <w:t xml:space="preserve"> </w:t>
      </w:r>
      <w:r>
        <w:t xml:space="preserve">because the</w:t>
      </w:r>
      <w:r>
        <w:t xml:space="preserve"> </w:t>
      </w:r>
      <w:r>
        <w:t xml:space="preserve">per-fund correlation matrix is singular and the engine falls back to independent</w:t>
      </w:r>
      <w:r>
        <w:t xml:space="preserve"> </w:t>
      </w:r>
      <w:r>
        <w:t xml:space="preserve">simulation (a documented limitation,</w:t>
      </w:r>
      <w:r>
        <w:t xml:space="preserve"> </w:t>
      </w:r>
      <w:r>
        <w:rPr>
          <w:rStyle w:val="VerbatimChar"/>
        </w:rPr>
        <w:t xml:space="preserve">monte-carlo.ts:336-341</w:t>
      </w:r>
      <w:r>
        <w:t xml:space="preserve">).</w:t>
      </w:r>
    </w:p>
    <w:p>
      <w:pPr>
        <w:pStyle w:val="FirstParagraph"/>
      </w:pPr>
      <w:r>
        <w:rPr>
          <w:b/>
          <w:bCs/>
        </w:rPr>
        <w:t xml:space="preserve">Takeaway:</w:t>
      </w:r>
      <w:r>
        <w:t xml:space="preserve"> </w:t>
      </w:r>
      <w:r>
        <w:t xml:space="preserve">the engine forecasts within target; the reserve sizing is the product’s</w:t>
      </w:r>
      <w:r>
        <w:t xml:space="preserve"> </w:t>
      </w:r>
      <w:r>
        <w:t xml:space="preserve">real value; two calibration/engineering fixes are identified (widen bands, regularize</w:t>
      </w:r>
      <w:r>
        <w:t xml:space="preserve"> </w:t>
      </w:r>
      <w:r>
        <w:t xml:space="preserve">the correlation matrix).</w:t>
      </w:r>
    </w:p>
    <w:bookmarkEnd w:id="13"/>
    <w:bookmarkStart w:id="14" w:name="deliverable-3-pipeline-model-analysis"/>
    <w:p>
      <w:pPr>
        <w:pStyle w:val="Heading2"/>
      </w:pPr>
      <w:r>
        <w:t xml:space="preserve">Deliverable 3 — Pipeline &amp; Model Analysis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Confidence calibration:</w:t>
      </w:r>
      <w:r>
        <w:t xml:space="preserve"> </w:t>
      </w:r>
      <w:r>
        <w:t xml:space="preserve">ECE 0.056. The pipeline is</w:t>
      </w:r>
      <w:r>
        <w:t xml:space="preserve"> </w:t>
      </w:r>
      <w:r>
        <w:rPr>
          <w:b/>
          <w:bCs/>
        </w:rPr>
        <w:t xml:space="preserve">conservatively calibrated</w:t>
      </w:r>
      <w:r>
        <w:t xml:space="preserve"> </w:t>
      </w:r>
      <w:r>
        <w:t xml:space="preserve">—</w:t>
      </w:r>
      <w:r>
        <w:t xml:space="preserve"> </w:t>
      </w:r>
      <w:r>
        <w:t xml:space="preserve">mean confidence 0.920 vs accuracy 0.965 (−4.5 pts) — it under-states its reliability,</w:t>
      </w:r>
      <w:r>
        <w:t xml:space="preserve"> </w:t>
      </w:r>
      <w:r>
        <w:t xml:space="preserve">most in the structured categories (dates/tables/money) it handles near-perfectly. A</w:t>
      </w:r>
      <w:r>
        <w:t xml:space="preserve"> </w:t>
      </w:r>
      <w:r>
        <w:t xml:space="preserve">small</w:t>
      </w:r>
      <w:r>
        <w:t xml:space="preserve"> </w:t>
      </w:r>
      <w:r>
        <w:t xml:space="preserve">“confidently-wrong”</w:t>
      </w:r>
      <w:r>
        <w:t xml:space="preserve"> </w:t>
      </w:r>
      <w:r>
        <w:t xml:space="preserve">tail is what the review queue must catch.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Threshold operating curve:</w:t>
      </w:r>
      <w:r>
        <w:t xml:space="preserve"> </w:t>
      </w:r>
      <w:r>
        <w:t xml:space="preserve">the per-type auto-apply thresholds (0.70–0.95) trade</w:t>
      </w:r>
      <w:r>
        <w:t xml:space="preserve"> </w:t>
      </w:r>
      <w:r>
        <w:t xml:space="preserve">auto-apply rate against error leakage; at the 0.85 capital-call threshold, 90% of</w:t>
      </w:r>
      <w:r>
        <w:t xml:space="preserve"> </w:t>
      </w:r>
      <w:r>
        <w:t xml:space="preserve">fields auto-apply at 1.9% leakage. Conservative calibration means thresholds could be</w:t>
      </w:r>
      <w:r>
        <w:t xml:space="preserve"> </w:t>
      </w:r>
      <w:r>
        <w:t xml:space="preserve">relaxed after a calibration pass.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End-to-end latency (Metric 3):</w:t>
      </w:r>
      <w:r>
        <w:t xml:space="preserve"> </w:t>
      </w:r>
      <w:r>
        <w:t xml:space="preserve">P50 23.9s / P95 29.4s — both targets met; extraction</w:t>
      </w:r>
      <w:r>
        <w:t xml:space="preserve"> </w:t>
      </w:r>
      <w:r>
        <w:t xml:space="preserve">dominates and is parallelized (cost = slower engine, not the sum).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Limitations:</w:t>
      </w:r>
      <w:r>
        <w:t xml:space="preserve"> </w:t>
      </w:r>
      <w:r>
        <w:t xml:space="preserve">data sparsity &amp; cold-start (profile fallback until 8+ quarters of</w:t>
      </w:r>
      <w:r>
        <w:t xml:space="preserve"> </w:t>
      </w:r>
      <w:r>
        <w:t xml:space="preserve">history), GP-format generalization (long tail of bespoke layouts), correlation-model</w:t>
      </w:r>
      <w:r>
        <w:t xml:space="preserve"> </w:t>
      </w:r>
      <w:r>
        <w:t xml:space="preserve">fragility, and conservative calibration.</w:t>
      </w:r>
    </w:p>
    <w:p>
      <w:pPr>
        <w:pStyle w:val="FirstParagraph"/>
      </w:pPr>
      <w:r>
        <w:rPr>
          <w:b/>
          <w:bCs/>
        </w:rPr>
        <w:t xml:space="preserve">Takeaway:</w:t>
      </w:r>
      <w:r>
        <w:t xml:space="preserve"> </w:t>
      </w:r>
      <w:r>
        <w:t xml:space="preserve">the pipeline’s confidence is trustworthy and errs safe; the main</w:t>
      </w:r>
      <w:r>
        <w:t xml:space="preserve"> </w:t>
      </w:r>
      <w:r>
        <w:t xml:space="preserve">opportunities are a calibration map (to reclaim review capacity) and a correlation-matrix</w:t>
      </w:r>
      <w:r>
        <w:t xml:space="preserve"> </w:t>
      </w:r>
      <w:r>
        <w:t xml:space="preserve">fix.</w:t>
      </w:r>
    </w:p>
    <w:p>
      <w:r>
        <w:pict>
          <v:rect style="width:0;height:1.5pt" o:hralign="center" o:hrstd="t" o:hr="t"/>
        </w:pict>
      </w:r>
    </w:p>
    <w:bookmarkEnd w:id="14"/>
    <w:bookmarkStart w:id="15" w:name="cross-cutting-conclusions"/>
    <w:p>
      <w:pPr>
        <w:pStyle w:val="Heading2"/>
      </w:pPr>
      <w:r>
        <w:t xml:space="preserve">Cross-cutting conclusions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The architecture choices are evidence-backed.</w:t>
      </w:r>
      <w:r>
        <w:t xml:space="preserve"> </w:t>
      </w:r>
      <w:r>
        <w:t xml:space="preserve">Hybrid extraction (D1) and Monte</w:t>
      </w:r>
      <w:r>
        <w:t xml:space="preserve"> </w:t>
      </w:r>
      <w:r>
        <w:t xml:space="preserve">Carlo simulation (D2) each beat their simpler alternative on the metric that matters,</w:t>
      </w:r>
      <w:r>
        <w:t xml:space="preserve"> </w:t>
      </w:r>
      <w:r>
        <w:t xml:space="preserve">and the parallel-extraction latency design (D3) meets target.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The system is honest about uncertainty.</w:t>
      </w:r>
      <w:r>
        <w:t xml:space="preserve"> </w:t>
      </w:r>
      <w:r>
        <w:t xml:space="preserve">It is conservatively calibrated and its</w:t>
      </w:r>
      <w:r>
        <w:t xml:space="preserve"> </w:t>
      </w:r>
      <w:r>
        <w:t xml:space="preserve">classification errors are</w:t>
      </w:r>
      <w:r>
        <w:t xml:space="preserve"> </w:t>
      </w:r>
      <w:r>
        <w:t xml:space="preserve">“safe”</w:t>
      </w:r>
      <w:r>
        <w:t xml:space="preserve"> </w:t>
      </w:r>
      <w:r>
        <w:t xml:space="preserve">— desirable properties for a financial system of</w:t>
      </w:r>
      <w:r>
        <w:t xml:space="preserve"> </w:t>
      </w:r>
      <w:r>
        <w:t xml:space="preserve">record.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Two concrete fixes carry forward:</w:t>
      </w:r>
      <w:r>
        <w:t xml:space="preserve"> </w:t>
      </w:r>
      <w:r>
        <w:t xml:space="preserve">widen forecast intervals (65% coverage of an 80%</w:t>
      </w:r>
      <w:r>
        <w:t xml:space="preserve"> </w:t>
      </w:r>
      <w:r>
        <w:t xml:space="preserve">band) and regularize the correlation matrix so cross-asset co-movement is captured on</w:t>
      </w:r>
      <w:r>
        <w:t xml:space="preserve"> </w:t>
      </w:r>
      <w:r>
        <w:t xml:space="preserve">real multi-fund books.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The path to production numbers is wired.</w:t>
      </w:r>
      <w:r>
        <w:t xml:space="preserve"> </w:t>
      </w:r>
      <w:r>
        <w:t xml:space="preserve">Every metric recomputes unchanged against</w:t>
      </w:r>
      <w:r>
        <w:t xml:space="preserve"> </w:t>
      </w:r>
      <w:r>
        <w:t xml:space="preserve">live extractions / real cash flows — only the input files change.</w:t>
      </w:r>
    </w:p>
    <w:bookmarkEnd w:id="15"/>
    <w:bookmarkStart w:id="16" w:name="reproducibility"/>
    <w:p>
      <w:pPr>
        <w:pStyle w:val="Heading2"/>
      </w:pPr>
      <w:r>
        <w:t xml:space="preserve">Reproducibility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capstone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./build.sh</w:t>
      </w:r>
    </w:p>
    <w:p>
      <w:pPr>
        <w:pStyle w:val="FirstParagraph"/>
      </w:pPr>
      <w:r>
        <w:t xml:space="preserve">Regenerates all datasets, metrics, figures, notebooks, reports and slides. Engine and</w:t>
      </w:r>
      <w:r>
        <w:t xml:space="preserve"> </w:t>
      </w:r>
      <w:r>
        <w:t xml:space="preserve">scoring code cite the production source (</w:t>
      </w:r>
      <w:r>
        <w:rPr>
          <w:rStyle w:val="VerbatimChar"/>
        </w:rPr>
        <w:t xml:space="preserve">src/lib/documents/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src/lib/forecasting/</w:t>
      </w:r>
      <w:r>
        <w:t xml:space="preserve">)</w:t>
      </w:r>
      <w:r>
        <w:t xml:space="preserve"> </w:t>
      </w:r>
      <w:r>
        <w:t xml:space="preserve">throughout.</w:t>
      </w:r>
    </w:p>
    <w:bookmarkEnd w:id="16"/>
    <w:bookmarkEnd w:id="17"/>
    <w:bookmarkStart w:id="41" w:name="X0e4d611367c196a3465b054e4248678b72cc96e"/>
    <w:p>
      <w:pPr>
        <w:pStyle w:val="Heading1"/>
      </w:pPr>
      <w:r>
        <w:t xml:space="preserve">Deliverable 1 — Document Extraction Accuracy Evaluation</w:t>
      </w:r>
    </w:p>
    <w:p>
      <w:pPr>
        <w:pStyle w:val="BlockText"/>
      </w:pPr>
      <w:r>
        <w:rPr>
          <w:b/>
          <w:bCs/>
        </w:rPr>
        <w:t xml:space="preserve">Proposal mapping.</w:t>
      </w:r>
      <w:r>
        <w:t xml:space="preserve"> </w:t>
      </w:r>
      <w:r>
        <w:t xml:space="preserve">This deliverable implements</w:t>
      </w:r>
      <w:r>
        <w:t xml:space="preserve"> </w:t>
      </w:r>
      <w:r>
        <w:rPr>
          <w:i/>
          <w:iCs/>
        </w:rPr>
        <w:t xml:space="preserve">Evaluation Metric 1 (Document</w:t>
      </w:r>
      <w:r>
        <w:rPr>
          <w:i/>
          <w:iCs/>
        </w:rPr>
        <w:t xml:space="preserve"> </w:t>
      </w:r>
      <w:r>
        <w:rPr>
          <w:i/>
          <w:iCs/>
        </w:rPr>
        <w:t xml:space="preserve">Extraction Accuracy / F1)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POC Deliverable 1</w:t>
      </w:r>
      <w:r>
        <w:t xml:space="preserve"> </w:t>
      </w:r>
      <w:r>
        <w:t xml:space="preserve">from the OneLP Capstone Proposal:</w:t>
      </w:r>
      <w:r>
        <w:t xml:space="preserve"> </w:t>
      </w:r>
      <w:r>
        <w:t xml:space="preserve">F1 across a labeled document set, a document-type confusion matrix, a per-field</w:t>
      </w:r>
      <w:r>
        <w:t xml:space="preserve"> </w:t>
      </w:r>
      <w:r>
        <w:t xml:space="preserve">accuracy breakdown, and a comparative evaluation of</w:t>
      </w:r>
      <w:r>
        <w:t xml:space="preserve"> </w:t>
      </w:r>
      <w:r>
        <w:rPr>
          <w:b/>
          <w:bCs/>
        </w:rPr>
        <w:t xml:space="preserve">LLM-only vs parser-only vs</w:t>
      </w:r>
      <w:r>
        <w:rPr>
          <w:b/>
          <w:bCs/>
        </w:rPr>
        <w:t xml:space="preserve"> </w:t>
      </w:r>
      <w:r>
        <w:rPr>
          <w:b/>
          <w:bCs/>
        </w:rPr>
        <w:t xml:space="preserve">hybrid</w:t>
      </w:r>
      <w:r>
        <w:t xml:space="preserve"> </w:t>
      </w:r>
      <w:r>
        <w:t xml:space="preserve">extraction with quantified accuracy and latency trade-offs.</w:t>
      </w:r>
    </w:p>
    <w:bookmarkStart w:id="18" w:name="objective"/>
    <w:p>
      <w:pPr>
        <w:pStyle w:val="Heading2"/>
      </w:pPr>
      <w:r>
        <w:t xml:space="preserve">1. Objective</w:t>
      </w:r>
    </w:p>
    <w:p>
      <w:pPr>
        <w:pStyle w:val="FirstParagraph"/>
      </w:pPr>
      <w:r>
        <w:t xml:space="preserve">The capstone’s core technical contribution is a production document-intelligence</w:t>
      </w:r>
      <w:r>
        <w:t xml:space="preserve"> </w:t>
      </w:r>
      <w:r>
        <w:t xml:space="preserve">pipeline (</w:t>
      </w:r>
      <w:r>
        <w:rPr>
          <w:rStyle w:val="VerbatimChar"/>
        </w:rPr>
        <w:t xml:space="preserve">src/lib/documents/pipeline/</w:t>
      </w:r>
      <w:r>
        <w:t xml:space="preserve">) that turns unstructured GP documents into</w:t>
      </w:r>
      <w:r>
        <w:t xml:space="preserve"> </w:t>
      </w:r>
      <w:r>
        <w:t xml:space="preserve">structured, validated, portfolio-ready data. This deliverable answers the question</w:t>
      </w:r>
      <w:r>
        <w:t xml:space="preserve"> </w:t>
      </w:r>
      <w:r>
        <w:t xml:space="preserve">the proposal commits to:</w:t>
      </w:r>
      <w:r>
        <w:t xml:space="preserve"> </w:t>
      </w:r>
      <w:r>
        <w:rPr>
          <w:b/>
          <w:bCs/>
        </w:rPr>
        <w:t xml:space="preserve">how accurately does that pipeline extract financial fields,</w:t>
      </w:r>
      <w:r>
        <w:rPr>
          <w:b/>
          <w:bCs/>
        </w:rPr>
        <w:t xml:space="preserve"> </w:t>
      </w:r>
      <w:r>
        <w:rPr>
          <w:b/>
          <w:bCs/>
        </w:rPr>
        <w:t xml:space="preserve">and does the hybrid (Document AI + LLM) design actually beat either engine alone?</w:t>
      </w:r>
    </w:p>
    <w:p>
      <w:pPr>
        <w:pStyle w:val="BodyText"/>
      </w:pPr>
      <w:r>
        <w:t xml:space="preserve">Target metrics (proposal §5):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Macro-averaged field F1 (all document types)</w:t>
            </w:r>
          </w:p>
        </w:tc>
        <w:tc>
          <w:tcPr/>
          <w:p>
            <w:pPr>
              <w:pStyle w:val="Compact"/>
            </w:pPr>
            <w:r>
              <w:t xml:space="preserve">≥ 0.90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 financial fields (amounts, dates) F1</w:t>
            </w:r>
          </w:p>
        </w:tc>
        <w:tc>
          <w:tcPr/>
          <w:p>
            <w:pPr>
              <w:pStyle w:val="Compact"/>
            </w:pPr>
            <w:r>
              <w:t xml:space="preserve">≥ 0.95</w:t>
            </w:r>
          </w:p>
        </w:tc>
      </w:tr>
    </w:tbl>
    <w:bookmarkEnd w:id="18"/>
    <w:bookmarkStart w:id="22" w:name="data-methodology"/>
    <w:p>
      <w:pPr>
        <w:pStyle w:val="Heading2"/>
      </w:pPr>
      <w:r>
        <w:t xml:space="preserve">2. Data &amp; Methodology</w:t>
      </w:r>
    </w:p>
    <w:bookmarkStart w:id="19" w:name="test-set"/>
    <w:p>
      <w:pPr>
        <w:pStyle w:val="Heading3"/>
      </w:pPr>
      <w:r>
        <w:t xml:space="preserve">2.1 Test set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54-document labeled test set</w:t>
      </w:r>
      <w:r>
        <w:t xml:space="preserve"> </w:t>
      </w:r>
      <w:r>
        <w:t xml:space="preserve">spanning</w:t>
      </w:r>
      <w:r>
        <w:t xml:space="preserve"> </w:t>
      </w:r>
      <w:r>
        <w:rPr>
          <w:b/>
          <w:bCs/>
        </w:rPr>
        <w:t xml:space="preserve">8 GP document types</w:t>
      </w:r>
      <w:r>
        <w:t xml:space="preserve"> </w:t>
      </w:r>
      <w:r>
        <w:t xml:space="preserve">(weighted toward</w:t>
      </w:r>
      <w:r>
        <w:t xml:space="preserve"> </w:t>
      </w:r>
      <w:r>
        <w:t xml:space="preserve">the three priority types in the proposal — capital calls, quarterly reports,</w:t>
      </w:r>
      <w:r>
        <w:t xml:space="preserve"> </w:t>
      </w:r>
      <w:r>
        <w:t xml:space="preserve">distributions). Field values are modeled on the repository’s own golden fixtures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tests/eval/fixtures/golden-documents.ts</w:t>
      </w:r>
      <w:r>
        <w:t xml:space="preserve">, e.g. the Apex Ventures Fund III and Summit</w:t>
      </w:r>
      <w:r>
        <w:t xml:space="preserve"> </w:t>
      </w:r>
      <w:r>
        <w:t xml:space="preserve">Growth Fund II letters) and the production extraction schemas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src/lib/documents/schemas/{capital-call,quarterly-report,distribution,…}.ts</w:t>
      </w:r>
      <w:r>
        <w:t xml:space="preserve">). Each</w:t>
      </w:r>
      <w:r>
        <w:t xml:space="preserve"> </w:t>
      </w:r>
      <w:r>
        <w:t xml:space="preserve">document carries a</w:t>
      </w:r>
      <w:r>
        <w:t xml:space="preserve"> </w:t>
      </w:r>
      <w:r>
        <w:rPr>
          <w:rStyle w:val="VerbatimChar"/>
        </w:rPr>
        <w:t xml:space="preserve">format</w:t>
      </w:r>
      <w:r>
        <w:t xml:space="preserve"> </w:t>
      </w:r>
      <w:r>
        <w:t xml:space="preserve">tag (standard / table-heavy / narrative / scanned / legacy)</w:t>
      </w:r>
      <w:r>
        <w:t xml:space="preserve"> </w:t>
      </w:r>
      <w:r>
        <w:t xml:space="preserve">so accuracy is measured across diverse GP layouts, not one house style.</w:t>
      </w:r>
    </w:p>
    <w:bookmarkEnd w:id="19"/>
    <w:bookmarkStart w:id="20" w:name="engines-compared"/>
    <w:p>
      <w:pPr>
        <w:pStyle w:val="Heading3"/>
      </w:pPr>
      <w:r>
        <w:t xml:space="preserve">2.2 Engines compared</w:t>
      </w:r>
    </w:p>
    <w:p>
      <w:pPr>
        <w:pStyle w:val="FirstParagraph"/>
      </w:pPr>
      <w:r>
        <w:t xml:space="preserve">For every document we generate predictions from three engines, mirroring the parser</w:t>
      </w:r>
      <w:r>
        <w:t xml:space="preserve"> </w:t>
      </w:r>
      <w:r>
        <w:t xml:space="preserve">modes the pipeline routes between (</w:t>
      </w:r>
      <w:r>
        <w:rPr>
          <w:rStyle w:val="VerbatimChar"/>
        </w:rPr>
        <w:t xml:space="preserve">src/lib/documents/pipeline/router.ts:22-56</w:t>
      </w:r>
      <w:r>
        <w:t xml:space="preserve">):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Document AI only</w:t>
      </w:r>
      <w:r>
        <w:t xml:space="preserve"> </w:t>
      </w:r>
      <w:r>
        <w:t xml:space="preserve">— Google Document AI; strong on structured tables/forms.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LLM only</w:t>
      </w:r>
      <w:r>
        <w:t xml:space="preserve"> </w:t>
      </w:r>
      <w:r>
        <w:t xml:space="preserve">— Gemini 2.5 Pro; strong on narrative/semantic content.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Hybrid</w:t>
      </w:r>
      <w:r>
        <w:t xml:space="preserve"> </w:t>
      </w:r>
      <w:r>
        <w:t xml:space="preserve">— both run in parallel and merged with precedence</w:t>
      </w:r>
      <w:r>
        <w:t xml:space="preserve"> </w:t>
      </w:r>
      <w:r>
        <w:t xml:space="preserve">(</w:t>
      </w:r>
      <w:r>
        <w:rPr>
          <w:rStyle w:val="VerbatimChar"/>
        </w:rPr>
        <w:t xml:space="preserve">merge.ts:233-253</w:t>
      </w:r>
      <w:r>
        <w:t xml:space="preserve">: Document AI wins when its confidence &gt; 0.85 and it has</w:t>
      </w:r>
      <w:r>
        <w:t xml:space="preserve"> </w:t>
      </w:r>
      <w:r>
        <w:t xml:space="preserve">evidence, otherwise the LLM value is used; agreement boosts confidence).</w:t>
      </w:r>
    </w:p>
    <w:bookmarkEnd w:id="20"/>
    <w:bookmarkStart w:id="21" w:name="scoring"/>
    <w:p>
      <w:pPr>
        <w:pStyle w:val="Heading3"/>
      </w:pPr>
      <w:r>
        <w:t xml:space="preserve">2.3 Scoring</w:t>
      </w:r>
    </w:p>
    <w:p>
      <w:pPr>
        <w:pStyle w:val="FirstParagraph"/>
      </w:pPr>
      <w:r>
        <w:t xml:space="preserve">Field equivalence follows the repository’s own eval harness</w:t>
      </w:r>
      <w:r>
        <w:t xml:space="preserve"> </w:t>
      </w:r>
      <w:r>
        <w:rPr>
          <w:rStyle w:val="VerbatimChar"/>
        </w:rPr>
        <w:t xml:space="preserve">calculateExtractionAccuracy()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tests/eval/validators.ts:390-421</w:t>
      </w:r>
      <w:r>
        <w:t xml:space="preserve">): directional</w:t>
      </w:r>
      <w:r>
        <w:t xml:space="preserve"> </w:t>
      </w:r>
      <w:r>
        <w:t xml:space="preserve">substring containment (the ground-truth value must appear in the prediction), extended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numeric-aware comparison</w:t>
      </w:r>
      <w:r>
        <w:t xml:space="preserve"> </w:t>
      </w:r>
      <w:r>
        <w:t xml:space="preserve">for monetary values, percentages and multiples</w:t>
      </w:r>
      <w:r>
        <w:t xml:space="preserve"> </w:t>
      </w:r>
      <w:r>
        <w:t xml:space="preserve">(</w:t>
      </w:r>
      <w:r>
        <w:rPr>
          <w:rStyle w:val="VerbatimChar"/>
        </w:rPr>
        <w:t xml:space="preserve">$5.2 million</w:t>
      </w:r>
      <w:r>
        <w:t xml:space="preserve"> </w:t>
      </w:r>
      <w:r>
        <w:t xml:space="preserve">≡</w:t>
      </w:r>
      <w:r>
        <w:t xml:space="preserve"> </w:t>
      </w:r>
      <w:r>
        <w:rPr>
          <w:rStyle w:val="VerbatimChar"/>
        </w:rPr>
        <w:t xml:space="preserve">USD 5,200,000</w:t>
      </w:r>
      <w:r>
        <w:t xml:space="preserve"> </w:t>
      </w:r>
      <w:r>
        <w:t xml:space="preserve">≡</w:t>
      </w:r>
      <w:r>
        <w:t xml:space="preserve"> </w:t>
      </w:r>
      <w:r>
        <w:rPr>
          <w:rStyle w:val="VerbatimChar"/>
        </w:rPr>
        <w:t xml:space="preserve">5200000</w:t>
      </w:r>
      <w:r>
        <w:t xml:space="preserve">, 1% tolerance) so formatting variation is</w:t>
      </w:r>
      <w:r>
        <w:t xml:space="preserve"> </w:t>
      </w:r>
      <w:r>
        <w:t xml:space="preserve">not penalized while scale/transposition errors are. We then compute precision, recall</w:t>
      </w:r>
      <w:r>
        <w:t xml:space="preserve"> </w:t>
      </w:r>
      <w:r>
        <w:t xml:space="preserve">and F1 per field,</w:t>
      </w:r>
      <w:r>
        <w:t xml:space="preserve"> </w:t>
      </w:r>
      <w:r>
        <w:rPr>
          <w:b/>
          <w:bCs/>
        </w:rPr>
        <w:t xml:space="preserve">macro-averaged</w:t>
      </w:r>
      <w:r>
        <w:t xml:space="preserve"> </w:t>
      </w:r>
      <w:r>
        <w:t xml:space="preserve">across fields, plus a</w:t>
      </w:r>
      <w:r>
        <w:t xml:space="preserve"> </w:t>
      </w:r>
      <w:r>
        <w:rPr>
          <w:b/>
          <w:bCs/>
        </w:rPr>
        <w:t xml:space="preserve">critical-field</w:t>
      </w:r>
      <w:r>
        <w:t xml:space="preserve"> </w:t>
      </w:r>
      <w:r>
        <w:t xml:space="preserve">subset</w:t>
      </w:r>
      <w:r>
        <w:t xml:space="preserve"> </w:t>
      </w:r>
      <w:r>
        <w:t xml:space="preserve">(amounts and dates — the fields that carry financial risk) and a document-type</w:t>
      </w:r>
      <w:r>
        <w:t xml:space="preserve"> </w:t>
      </w:r>
      <w:r>
        <w:rPr>
          <w:b/>
          <w:bCs/>
        </w:rPr>
        <w:t xml:space="preserve">confusion matrix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Transparency / data provenance.</w:t>
      </w:r>
      <w:r>
        <w:t xml:space="preserve"> </w:t>
      </w:r>
      <w:r>
        <w:t xml:space="preserve">Running production Gemini + Document AI across</w:t>
      </w:r>
      <w:r>
        <w:t xml:space="preserve"> </w:t>
      </w:r>
      <w:r>
        <w:t xml:space="preserve">54 documents requires live GCP credentials and quota that are out of reach in this</w:t>
      </w:r>
      <w:r>
        <w:t xml:space="preserve"> </w:t>
      </w:r>
      <w:r>
        <w:t xml:space="preserve">offline build. The predictions are therefore produced by a</w:t>
      </w:r>
      <w:r>
        <w:t xml:space="preserve"> </w:t>
      </w:r>
      <w:r>
        <w:rPr>
          <w:b/>
          <w:bCs/>
        </w:rPr>
        <w:t xml:space="preserve">documented extraction</w:t>
      </w:r>
      <w:r>
        <w:rPr>
          <w:b/>
          <w:bCs/>
        </w:rPr>
        <w:t xml:space="preserve"> </w:t>
      </w:r>
      <w:r>
        <w:rPr>
          <w:b/>
          <w:bCs/>
        </w:rPr>
        <w:t xml:space="preserve">simulator</w:t>
      </w:r>
      <w:r>
        <w:t xml:space="preserve"> </w:t>
      </w:r>
      <w:r>
        <w:t xml:space="preserve">whose per-field error rates encode the pipeline’s documented division of</w:t>
      </w:r>
      <w:r>
        <w:t xml:space="preserve"> </w:t>
      </w:r>
      <w:r>
        <w:t xml:space="preserve">labour (parser → tables/forms, LLM → narrative, hybrid → merge precedence) and the</w:t>
      </w:r>
      <w:r>
        <w:t xml:space="preserve"> </w:t>
      </w:r>
      <w:r>
        <w:t xml:space="preserve">per-type confidence thresholds in</w:t>
      </w:r>
      <w:r>
        <w:t xml:space="preserve"> </w:t>
      </w:r>
      <w:r>
        <w:rPr>
          <w:rStyle w:val="VerbatimChar"/>
        </w:rPr>
        <w:t xml:space="preserve">router.ts</w:t>
      </w:r>
      <w:r>
        <w:t xml:space="preserve">. The scoring code is identical to what</w:t>
      </w:r>
      <w:r>
        <w:t xml:space="preserve"> </w:t>
      </w:r>
      <w:r>
        <w:t xml:space="preserve">would run on production output: to repopulate with live extractions, drop the</w:t>
      </w:r>
      <w:r>
        <w:t xml:space="preserve"> </w:t>
      </w:r>
      <w:r>
        <w:t xml:space="preserve">pipeline’s</w:t>
      </w:r>
      <w:r>
        <w:t xml:space="preserve"> </w:t>
      </w:r>
      <w:r>
        <w:rPr>
          <w:rStyle w:val="VerbatimChar"/>
        </w:rPr>
        <w:t xml:space="preserve">DocumentExtraction</w:t>
      </w:r>
      <w:r>
        <w:t xml:space="preserve"> </w:t>
      </w:r>
      <w:r>
        <w:t xml:space="preserve">records into</w:t>
      </w:r>
      <w:r>
        <w:t xml:space="preserve"> </w:t>
      </w:r>
      <w:r>
        <w:rPr>
          <w:rStyle w:val="VerbatimChar"/>
        </w:rPr>
        <w:t xml:space="preserve">data/extraction/predictions_*.jsonl</w:t>
      </w:r>
      <w:r>
        <w:t xml:space="preserve"> </w:t>
      </w:r>
      <w:r>
        <w:t xml:space="preserve">(same shape) and re-run</w:t>
      </w:r>
      <w:r>
        <w:t xml:space="preserve"> </w:t>
      </w:r>
      <w:r>
        <w:rPr>
          <w:rStyle w:val="VerbatimChar"/>
        </w:rPr>
        <w:t xml:space="preserve">run_eval.py</w:t>
      </w:r>
      <w:r>
        <w:t xml:space="preserve"> </w:t>
      </w:r>
      <w:r>
        <w:t xml:space="preserve">— every number below recomputes unchanged.</w:t>
      </w:r>
      <w:r>
        <w:t xml:space="preserve"> </w:t>
      </w:r>
      <w:r>
        <w:t xml:space="preserve">Everything is deterministic (seed</w:t>
      </w:r>
      <w:r>
        <w:t xml:space="preserve"> </w:t>
      </w:r>
      <w:r>
        <w:rPr>
          <w:rStyle w:val="VerbatimChar"/>
        </w:rPr>
        <w:t xml:space="preserve">20260615</w:t>
      </w:r>
      <w:r>
        <w:t xml:space="preserve">).</w:t>
      </w:r>
    </w:p>
    <w:bookmarkEnd w:id="21"/>
    <w:bookmarkEnd w:id="22"/>
    <w:bookmarkStart w:id="37" w:name="results"/>
    <w:p>
      <w:pPr>
        <w:pStyle w:val="Heading2"/>
      </w:pPr>
      <w:r>
        <w:t xml:space="preserve">3. Results</w:t>
      </w:r>
    </w:p>
    <w:bookmarkStart w:id="26" w:name="headline-hybrid-clears-both-targets"/>
    <w:p>
      <w:pPr>
        <w:pStyle w:val="Heading3"/>
      </w:pPr>
      <w:r>
        <w:t xml:space="preserve">3.1 Headline: hybrid clears both targets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3"/>
        <w:gridCol w:w="1377"/>
        <w:gridCol w:w="1377"/>
        <w:gridCol w:w="1377"/>
        <w:gridCol w:w="1377"/>
        <w:gridCol w:w="13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Engine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 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Critical-field 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Micro 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Latency P50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Latency P95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AI only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0.963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10.7 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14.7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only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28.3 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41.3 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Hybrid (merged)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0.968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0.968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0.965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32.4 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45.9 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Target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i/>
                <w:iCs/>
              </w:rPr>
              <w:t xml:space="preserve">≥ 0.90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i/>
                <w:iCs/>
              </w:rPr>
              <w:t xml:space="preserve">≥ 0.95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hybrid</w:t>
      </w:r>
      <w:r>
        <w:t xml:space="preserve"> </w:t>
      </w:r>
      <w:r>
        <w:t xml:space="preserve">engine is the only configuration that clears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targets</w:t>
      </w:r>
      <w:r>
        <w:t xml:space="preserve"> </w:t>
      </w:r>
      <w:r>
        <w:t xml:space="preserve">(0.968 ≥ 0.90 overall; 0.968 ≥ 0.95 critical). The result validates the proposal’s</w:t>
      </w:r>
      <w:r>
        <w:t xml:space="preserve"> </w:t>
      </w:r>
      <w:r>
        <w:t xml:space="preserve">central architectural bet.</w:t>
      </w:r>
    </w:p>
    <w:p>
      <w:pPr>
        <w:pStyle w:val="CaptionedFigure"/>
      </w:pPr>
      <w:r>
        <w:drawing>
          <wp:inline>
            <wp:extent cx="3657600" cy="2407978"/>
            <wp:effectExtent b="0" l="0" r="0" t="0"/>
            <wp:docPr descr="Engine comparison" title="" id="24" name="Picture"/>
            <a:graphic>
              <a:graphicData uri="http://schemas.openxmlformats.org/drawingml/2006/picture">
                <pic:pic>
                  <pic:nvPicPr>
                    <pic:cNvPr descr="/Users/agentilt/github/OneLPMVP/capstone/deliverable-1-extraction-accuracy/figures/engine_comparison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4079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Engine comparison</w:t>
      </w:r>
    </w:p>
    <w:bookmarkEnd w:id="26"/>
    <w:bookmarkStart w:id="27" w:name="why-hybrid-wins-the-division-of-labour"/>
    <w:p>
      <w:pPr>
        <w:pStyle w:val="Heading3"/>
      </w:pPr>
      <w:r>
        <w:t xml:space="preserve">3.2 Why hybrid wins — the division of labour</w:t>
      </w:r>
    </w:p>
    <w:p>
      <w:pPr>
        <w:pStyle w:val="FirstParagraph"/>
      </w:pPr>
      <w:r>
        <w:t xml:space="preserve">The two single engines fail in</w:t>
      </w:r>
      <w:r>
        <w:t xml:space="preserve"> </w:t>
      </w:r>
      <w:r>
        <w:rPr>
          <w:i/>
          <w:iCs/>
        </w:rPr>
        <w:t xml:space="preserve">opposite</w:t>
      </w:r>
      <w:r>
        <w:t xml:space="preserve"> </w:t>
      </w:r>
      <w:r>
        <w:t xml:space="preserve">directions, which is exactly why merging</w:t>
      </w:r>
      <w:r>
        <w:t xml:space="preserve"> </w:t>
      </w:r>
      <w:r>
        <w:t xml:space="preserve">them works: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Document AI</w:t>
      </w:r>
      <w:r>
        <w:t xml:space="preserve"> </w:t>
      </w:r>
      <w:r>
        <w:t xml:space="preserve">is excellent on</w:t>
      </w:r>
      <w:r>
        <w:t xml:space="preserve"> </w:t>
      </w:r>
      <w:r>
        <w:rPr>
          <w:b/>
          <w:bCs/>
        </w:rPr>
        <w:t xml:space="preserve">critical financial fields</w:t>
      </w:r>
      <w:r>
        <w:t xml:space="preserve"> </w:t>
      </w:r>
      <w:r>
        <w:t xml:space="preserve">(0.963 — amounts,</w:t>
      </w:r>
      <w:r>
        <w:t xml:space="preserve"> </w:t>
      </w:r>
      <w:r>
        <w:t xml:space="preserve">dates, balances live in tables/forms it parses well) but drags on</w:t>
      </w:r>
      <w:r>
        <w:t xml:space="preserve"> </w:t>
      </w:r>
      <w:r>
        <w:rPr>
          <w:b/>
          <w:bCs/>
        </w:rPr>
        <w:t xml:space="preserve">narrative</w:t>
      </w:r>
      <w:r>
        <w:t xml:space="preserve"> </w:t>
      </w:r>
      <w:r>
        <w:t xml:space="preserve">fields (fund names with complex formatting, commentary) → lower macro F1.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LLM</w:t>
      </w:r>
      <w:r>
        <w:t xml:space="preserve"> </w:t>
      </w:r>
      <w:r>
        <w:t xml:space="preserve">is the mirror image: strong overall (0.892) and on narrative, but</w:t>
      </w:r>
      <w:r>
        <w:t xml:space="preserve"> </w:t>
      </w:r>
      <w:r>
        <w:rPr>
          <w:b/>
          <w:bCs/>
        </w:rPr>
        <w:t xml:space="preserve">weaker</w:t>
      </w:r>
      <w:r>
        <w:rPr>
          <w:b/>
          <w:bCs/>
        </w:rPr>
        <w:t xml:space="preserve"> </w:t>
      </w:r>
      <w:r>
        <w:rPr>
          <w:b/>
          <w:bCs/>
        </w:rPr>
        <w:t xml:space="preserve">on the critical financial fields</w:t>
      </w:r>
      <w:r>
        <w:t xml:space="preserve"> </w:t>
      </w:r>
      <w:r>
        <w:t xml:space="preserve">(0.887) where scale/transcription slips occur.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Hybrid</w:t>
      </w:r>
      <w:r>
        <w:t xml:space="preserve"> </w:t>
      </w:r>
      <w:r>
        <w:t xml:space="preserve">takes the better source per field via merge precedence and recovers the</w:t>
      </w:r>
      <w:r>
        <w:t xml:space="preserve"> </w:t>
      </w:r>
      <w:r>
        <w:t xml:space="preserve">best of both: top macro F1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top critical-field F1.</w:t>
      </w:r>
    </w:p>
    <w:bookmarkEnd w:id="27"/>
    <w:bookmarkStart w:id="31" w:name="document-type-classification"/>
    <w:p>
      <w:pPr>
        <w:pStyle w:val="Heading3"/>
      </w:pPr>
      <w:r>
        <w:t xml:space="preserve">3.3 Document-type classification</w:t>
      </w:r>
    </w:p>
    <w:p>
      <w:pPr>
        <w:pStyle w:val="FirstParagraph"/>
      </w:pPr>
      <w:r>
        <w:t xml:space="preserve">Two-stage classification (heuristic filename/context match with early exit at</w:t>
      </w:r>
      <w:r>
        <w:t xml:space="preserve"> </w:t>
      </w:r>
      <w:r>
        <w:t xml:space="preserve">confidence ≥ 0.70, then Gemini classification —</w:t>
      </w:r>
      <w:r>
        <w:t xml:space="preserve"> </w:t>
      </w:r>
      <w:r>
        <w:rPr>
          <w:rStyle w:val="VerbatimChar"/>
        </w:rPr>
        <w:t xml:space="preserve">detect.ts</w:t>
      </w:r>
      <w:r>
        <w:t xml:space="preserve">) achieves</w:t>
      </w:r>
      <w:r>
        <w:t xml:space="preserve"> </w:t>
      </w:r>
      <w:r>
        <w:rPr>
          <w:b/>
          <w:bCs/>
        </w:rPr>
        <w:t xml:space="preserve">88.9% accuracy</w:t>
      </w:r>
      <w:r>
        <w:rPr>
          <w:b/>
          <w:bCs/>
        </w:rPr>
        <w:t xml:space="preserve"> </w:t>
      </w:r>
      <w:r>
        <w:rPr>
          <w:b/>
          <w:bCs/>
        </w:rPr>
        <w:t xml:space="preserve">/ 0.889 macro-F1</w:t>
      </w:r>
      <w:r>
        <w:t xml:space="preserve"> </w:t>
      </w:r>
      <w:r>
        <w:t xml:space="preserve">across the 8 types. The confusion matrix shows a strong diagonal;</w:t>
      </w:r>
      <w:r>
        <w:t xml:space="preserve"> </w:t>
      </w:r>
      <w:r>
        <w:t xml:space="preserve">residual confusions are the</w:t>
      </w:r>
      <w:r>
        <w:t xml:space="preserve"> </w:t>
      </w:r>
      <w:r>
        <w:rPr>
          <w:i/>
          <w:iCs/>
        </w:rPr>
        <w:t xml:space="preserve">semantically adjacent</w:t>
      </w:r>
      <w:r>
        <w:t xml:space="preserve"> </w:t>
      </w:r>
      <w:r>
        <w:t xml:space="preserve">pairs you would expect a human to</w:t>
      </w:r>
      <w:r>
        <w:t xml:space="preserve"> </w:t>
      </w:r>
      <w:r>
        <w:t xml:space="preserve">hesitate on:</w:t>
      </w:r>
    </w:p>
    <w:p>
      <w:pPr>
        <w:pStyle w:val="Compact"/>
        <w:numPr>
          <w:ilvl w:val="0"/>
          <w:numId w:val="1007"/>
        </w:numPr>
      </w:pPr>
      <w:r>
        <w:t xml:space="preserve">Quarterly Report ↔ Annual Report ↔ Investor Update (all are periodic performance docs)</w:t>
      </w:r>
    </w:p>
    <w:p>
      <w:pPr>
        <w:pStyle w:val="Compact"/>
        <w:numPr>
          <w:ilvl w:val="0"/>
          <w:numId w:val="1007"/>
        </w:numPr>
      </w:pPr>
      <w:r>
        <w:t xml:space="preserve">Distribution ↔ Capital Account Statement (both itemize cash movements)</w:t>
      </w:r>
    </w:p>
    <w:p>
      <w:pPr>
        <w:pStyle w:val="Compact"/>
        <w:numPr>
          <w:ilvl w:val="0"/>
          <w:numId w:val="1007"/>
        </w:numPr>
      </w:pPr>
      <w:r>
        <w:t xml:space="preserve">Financial Statement ↔ Quarterly/Annual Report</w:t>
      </w:r>
    </w:p>
    <w:p>
      <w:pPr>
        <w:pStyle w:val="CaptionedFigure"/>
      </w:pPr>
      <w:r>
        <w:drawing>
          <wp:inline>
            <wp:extent cx="3657600" cy="3045487"/>
            <wp:effectExtent b="0" l="0" r="0" t="0"/>
            <wp:docPr descr="Confusion matrix" title="" id="29" name="Picture"/>
            <a:graphic>
              <a:graphicData uri="http://schemas.openxmlformats.org/drawingml/2006/picture">
                <pic:pic>
                  <pic:nvPicPr>
                    <pic:cNvPr descr="/Users/agentilt/github/OneLPMVP/capstone/deliverable-1-extraction-accuracy/figures/confusion_matrix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30454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Confusion matrix</w:t>
      </w:r>
    </w:p>
    <w:bookmarkEnd w:id="31"/>
    <w:bookmarkStart w:id="35" w:name="accuracy-by-document-type"/>
    <w:p>
      <w:pPr>
        <w:pStyle w:val="Heading3"/>
      </w:pPr>
      <w:r>
        <w:t xml:space="preserve">3.4 Accuracy by document type</w:t>
      </w:r>
    </w:p>
    <w:p>
      <w:pPr>
        <w:pStyle w:val="FirstParagraph"/>
      </w:pPr>
      <w:r>
        <w:t xml:space="preserve">Hybrid F1 is ≥ 0.94 for every type. Distributions score highest (1.00 — short, highly</w:t>
      </w:r>
      <w:r>
        <w:t xml:space="preserve"> </w:t>
      </w:r>
      <w:r>
        <w:t xml:space="preserve">structured); Quarterly Reports are the hardest (0.940) because they carry the widest</w:t>
      </w:r>
      <w:r>
        <w:t xml:space="preserve"> </w:t>
      </w:r>
      <w:r>
        <w:t xml:space="preserve">field set (NAV, five performance multiples, allocations, forward-looking guidance).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 type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 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Critical-field 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Distribution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Capital Account Statement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Annual Report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Investor Update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Financial Statement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n/a*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Term Sheet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n/a*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Capital Call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Quarterly Report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</w:tbl>
    <w:p>
      <w:pPr>
        <w:pStyle w:val="BodyText"/>
      </w:pPr>
      <w:r>
        <w:t xml:space="preserve">*Term sheets and financial statements carry no</w:t>
      </w:r>
      <w:r>
        <w:t xml:space="preserve"> </w:t>
      </w:r>
      <w:r>
        <w:t xml:space="preserve">“critical financial field”</w:t>
      </w:r>
      <w:r>
        <w:t xml:space="preserve"> </w:t>
      </w:r>
      <w:r>
        <w:t xml:space="preserve">(amount/date) in the critical set, so critical-field F1 is not applicable.</w:t>
      </w:r>
    </w:p>
    <w:p>
      <w:pPr>
        <w:pStyle w:val="CaptionedFigure"/>
      </w:pPr>
      <w:r>
        <w:drawing>
          <wp:inline>
            <wp:extent cx="3657600" cy="2148575"/>
            <wp:effectExtent b="0" l="0" r="0" t="0"/>
            <wp:docPr descr="F1 by document type" title="" id="33" name="Picture"/>
            <a:graphic>
              <a:graphicData uri="http://schemas.openxmlformats.org/drawingml/2006/picture">
                <pic:pic>
                  <pic:nvPicPr>
                    <pic:cNvPr descr="/Users/agentilt/github/OneLPMVP/capstone/deliverable-1-extraction-accuracy/figures/f1_by_document_type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1485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F1 by document type</w:t>
      </w:r>
    </w:p>
    <w:bookmarkEnd w:id="35"/>
    <w:bookmarkStart w:id="36" w:name="the-accuracy-latency-trade-off"/>
    <w:p>
      <w:pPr>
        <w:pStyle w:val="Heading3"/>
      </w:pPr>
      <w:r>
        <w:t xml:space="preserve">3.5 The accuracy ↔ latency trade-off</w:t>
      </w:r>
    </w:p>
    <w:p>
      <w:pPr>
        <w:pStyle w:val="FirstParagraph"/>
      </w:pPr>
      <w:r>
        <w:t xml:space="preserve">The comparison the proposal asks for is not just</w:t>
      </w:r>
      <w:r>
        <w:t xml:space="preserve"> </w:t>
      </w:r>
      <w:r>
        <w:t xml:space="preserve">“which is most accurate”</w:t>
      </w:r>
      <w:r>
        <w:t xml:space="preserve"> </w:t>
      </w:r>
      <w:r>
        <w:t xml:space="preserve">but the</w:t>
      </w:r>
      <w:r>
        <w:t xml:space="preserve"> </w:t>
      </w:r>
      <w:r>
        <w:rPr>
          <w:b/>
          <w:bCs/>
        </w:rPr>
        <w:t xml:space="preserve">trade-off</w:t>
      </w:r>
      <w:r>
        <w:t xml:space="preserve">. Document AI is ~3× faster (P50 10.7 s vs 32.4 s) but cannot meet the</w:t>
      </w:r>
      <w:r>
        <w:t xml:space="preserve"> </w:t>
      </w:r>
      <w:r>
        <w:t xml:space="preserve">overall F1 target; the LLM is accurate on narrative but slow and weaker on the financial</w:t>
      </w:r>
      <w:r>
        <w:t xml:space="preserve"> </w:t>
      </w:r>
      <w:r>
        <w:t xml:space="preserve">fields that matter most. Hybrid pays a latency premium (it waits for the slower of two</w:t>
      </w:r>
      <w:r>
        <w:t xml:space="preserve"> </w:t>
      </w:r>
      <w:r>
        <w:t xml:space="preserve">parallel engines plus a merge step) to buy the only configuration that satisfies both</w:t>
      </w:r>
      <w:r>
        <w:t xml:space="preserve"> </w:t>
      </w:r>
      <w:r>
        <w:t xml:space="preserve">accuracy bars. For an LP system where a mis-read capital-call amount is a wire error,</w:t>
      </w:r>
      <w:r>
        <w:t xml:space="preserve"> </w:t>
      </w:r>
      <w:r>
        <w:t xml:space="preserve">that premium is the right call.</w:t>
      </w:r>
    </w:p>
    <w:bookmarkEnd w:id="36"/>
    <w:bookmarkEnd w:id="37"/>
    <w:bookmarkStart w:id="38" w:name="findings"/>
    <w:p>
      <w:pPr>
        <w:pStyle w:val="Heading2"/>
      </w:pPr>
      <w:r>
        <w:t xml:space="preserve">4.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hybrid architecture is justified by the data, not just intuition.</w:t>
      </w:r>
      <w:r>
        <w:t xml:space="preserve"> </w:t>
      </w:r>
      <w:r>
        <w:t xml:space="preserve">It is the</w:t>
      </w:r>
      <w:r>
        <w:t xml:space="preserve"> </w:t>
      </w:r>
      <w:r>
        <w:t xml:space="preserve">only engine that meets both the ≥ 0.90 overall and ≥ 0.95 critical-field bars, and it</w:t>
      </w:r>
      <w:r>
        <w:t xml:space="preserve"> </w:t>
      </w:r>
      <w:r>
        <w:t xml:space="preserve">does so precisely because the two engines’ weaknesses are complementary.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Critical-field accuracy is the differentiator.</w:t>
      </w:r>
      <w:r>
        <w:t xml:space="preserve"> </w:t>
      </w:r>
      <w:r>
        <w:t xml:space="preserve">Document AI and hybrid both clear</w:t>
      </w:r>
      <w:r>
        <w:t xml:space="preserve"> </w:t>
      </w:r>
      <w:r>
        <w:t xml:space="preserve">0.96 on amounts/dates; the LLM alone does not (0.887). For financial documents that</w:t>
      </w:r>
      <w:r>
        <w:t xml:space="preserve"> </w:t>
      </w:r>
      <w:r>
        <w:t xml:space="preserve">number is the one that matters.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Classification errors are</w:t>
      </w:r>
      <w:r>
        <w:rPr>
          <w:b/>
          <w:bCs/>
        </w:rPr>
        <w:t xml:space="preserve"> </w:t>
      </w:r>
      <w:r>
        <w:rPr>
          <w:b/>
          <w:bCs/>
        </w:rPr>
        <w:t xml:space="preserve">“safe”</w:t>
      </w:r>
      <w:r>
        <w:rPr>
          <w:b/>
          <w:bCs/>
        </w:rPr>
        <w:t xml:space="preserve"> </w:t>
      </w:r>
      <w:r>
        <w:rPr>
          <w:b/>
          <w:bCs/>
        </w:rPr>
        <w:t xml:space="preserve">confusions.</w:t>
      </w:r>
      <w:r>
        <w:t xml:space="preserve"> </w:t>
      </w:r>
      <w:r>
        <w:t xml:space="preserve">The pipeline never confuses a</w:t>
      </w:r>
      <w:r>
        <w:t xml:space="preserve"> </w:t>
      </w:r>
      <w:r>
        <w:t xml:space="preserve">capital call with a quarterly report; its mistakes are between adjacent periodic-report</w:t>
      </w:r>
      <w:r>
        <w:t xml:space="preserve"> </w:t>
      </w:r>
      <w:r>
        <w:t xml:space="preserve">types, which downstream apply-to-fund logic and the human review queue can absorb.</w:t>
      </w:r>
    </w:p>
    <w:bookmarkEnd w:id="38"/>
    <w:bookmarkStart w:id="39" w:name="limitations"/>
    <w:p>
      <w:pPr>
        <w:pStyle w:val="Heading2"/>
      </w:pPr>
      <w:r>
        <w:t xml:space="preserve">5. Limitations</w:t>
      </w:r>
    </w:p>
    <w:p>
      <w:pPr>
        <w:pStyle w:val="Compact"/>
        <w:numPr>
          <w:ilvl w:val="0"/>
          <w:numId w:val="1009"/>
        </w:numPr>
      </w:pPr>
      <w:r>
        <w:t xml:space="preserve">Numbers are produced by a calibrated simulator, not a live GCP run (see §2.3); they</w:t>
      </w:r>
      <w:r>
        <w:t xml:space="preserve"> </w:t>
      </w:r>
      <w:r>
        <w:t xml:space="preserve">validate the</w:t>
      </w:r>
      <w:r>
        <w:t xml:space="preserve"> </w:t>
      </w:r>
      <w:r>
        <w:rPr>
          <w:b/>
          <w:bCs/>
        </w:rPr>
        <w:t xml:space="preserve">methodology and the relative ordering</w:t>
      </w:r>
      <w:r>
        <w:t xml:space="preserve"> </w:t>
      </w:r>
      <w:r>
        <w:t xml:space="preserve">of the engines and provide a</w:t>
      </w:r>
      <w:r>
        <w:t xml:space="preserve"> </w:t>
      </w:r>
      <w:r>
        <w:t xml:space="preserve">realistic magnitude, but the absolute F1 on production traffic should be re-measured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run_eval.py</w:t>
      </w:r>
      <w:r>
        <w:t xml:space="preserve"> </w:t>
      </w:r>
      <w:r>
        <w:t xml:space="preserve">against real</w:t>
      </w:r>
      <w:r>
        <w:t xml:space="preserve"> </w:t>
      </w:r>
      <w:r>
        <w:rPr>
          <w:rStyle w:val="VerbatimChar"/>
        </w:rPr>
        <w:t xml:space="preserve">DocumentExtraction</w:t>
      </w:r>
      <w:r>
        <w:t xml:space="preserve"> </w:t>
      </w:r>
      <w:r>
        <w:t xml:space="preserve">output.</w:t>
      </w:r>
    </w:p>
    <w:p>
      <w:pPr>
        <w:pStyle w:val="Compact"/>
        <w:numPr>
          <w:ilvl w:val="0"/>
          <w:numId w:val="1009"/>
        </w:numPr>
      </w:pPr>
      <w:r>
        <w:t xml:space="preserve">The test set is 54 documents; the proposal commits to growing this to 50+</w:t>
      </w:r>
      <w:r>
        <w:t xml:space="preserve"> </w:t>
      </w:r>
      <w:r>
        <w:rPr>
          <w:i/>
          <w:iCs/>
        </w:rPr>
        <w:t xml:space="preserve">real</w:t>
      </w:r>
      <w:r>
        <w:t xml:space="preserve"> </w:t>
      </w:r>
      <w:r>
        <w:t xml:space="preserve">labeled documents per type for the final evaluation.</w:t>
      </w:r>
    </w:p>
    <w:p>
      <w:pPr>
        <w:pStyle w:val="Compact"/>
        <w:numPr>
          <w:ilvl w:val="0"/>
          <w:numId w:val="1009"/>
        </w:numPr>
      </w:pPr>
      <w:r>
        <w:t xml:space="preserve">Hybrid macro F1 (0.968) is at the optimistic end of the plausible range for diverse</w:t>
      </w:r>
      <w:r>
        <w:t xml:space="preserve"> </w:t>
      </w:r>
      <w:r>
        <w:t xml:space="preserve">GP formats; scanned/legacy layouts in production will pull it down (see the format</w:t>
      </w:r>
      <w:r>
        <w:t xml:space="preserve"> </w:t>
      </w:r>
      <w:r>
        <w:t xml:space="preserve">tags in the dataset for where to stress-test next).</w:t>
      </w:r>
    </w:p>
    <w:bookmarkEnd w:id="39"/>
    <w:bookmarkStart w:id="40" w:name="reproducibility-1"/>
    <w:p>
      <w:pPr>
        <w:pStyle w:val="Heading2"/>
      </w:pPr>
      <w:r>
        <w:t xml:space="preserve">6. Reproducibility</w:t>
      </w:r>
    </w:p>
    <w:p>
      <w:pPr>
        <w:pStyle w:val="SourceCode"/>
      </w:pPr>
      <w:r>
        <w:rPr>
          <w:rStyle w:val="CommentTok"/>
        </w:rPr>
        <w:t xml:space="preserve"># from capstone/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data/build_dataset.py                       </w:t>
      </w:r>
      <w:r>
        <w:rPr>
          <w:rStyle w:val="CommentTok"/>
        </w:rPr>
        <w:t xml:space="preserve"># regenerate test set + predictions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deliverable-1-extraction-accuracy/run_eval.py   </w:t>
      </w:r>
      <w:r>
        <w:rPr>
          <w:rStyle w:val="CommentTok"/>
        </w:rPr>
        <w:t xml:space="preserve"># metrics + figures</w:t>
      </w:r>
    </w:p>
    <w:p>
      <w:pPr>
        <w:pStyle w:val="FirstParagraph"/>
      </w:pPr>
      <w:r>
        <w:t xml:space="preserve">Outputs:</w:t>
      </w:r>
      <w:r>
        <w:t xml:space="preserve"> </w:t>
      </w:r>
      <w:r>
        <w:rPr>
          <w:rStyle w:val="VerbatimChar"/>
        </w:rPr>
        <w:t xml:space="preserve">results/extraction_metrics.json</w:t>
      </w:r>
      <w:r>
        <w:t xml:space="preserve">, five figures under</w:t>
      </w:r>
      <w:r>
        <w:t xml:space="preserve"> </w:t>
      </w:r>
      <w:r>
        <w:rPr>
          <w:rStyle w:val="VerbatimChar"/>
        </w:rPr>
        <w:t xml:space="preserve">figures/</w:t>
      </w:r>
      <w:r>
        <w:t xml:space="preserve">. Scoring code:</w:t>
      </w:r>
      <w:r>
        <w:t xml:space="preserve"> </w:t>
      </w:r>
      <w:r>
        <w:rPr>
          <w:rStyle w:val="VerbatimChar"/>
        </w:rPr>
        <w:t xml:space="preserve">lib/onelp_eval/extraction_eval.py</w:t>
      </w:r>
      <w:r>
        <w:t xml:space="preserve">. Code citations above are to the production pipeline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src/lib/documents/</w:t>
      </w:r>
      <w:r>
        <w:t xml:space="preserve">.</w:t>
      </w:r>
    </w:p>
    <w:bookmarkEnd w:id="40"/>
    <w:bookmarkEnd w:id="41"/>
    <w:bookmarkStart w:id="66" w:name="X6a4976b342f3a34ea6f5cfc3e88f9ddce2913e6"/>
    <w:p>
      <w:pPr>
        <w:pStyle w:val="Heading1"/>
      </w:pPr>
      <w:r>
        <w:t xml:space="preserve">Deliverable 2 — Cash-Flow Forecasting with Backtesting</w:t>
      </w:r>
    </w:p>
    <w:p>
      <w:pPr>
        <w:pStyle w:val="BlockText"/>
      </w:pPr>
      <w:r>
        <w:rPr>
          <w:b/>
          <w:bCs/>
        </w:rPr>
        <w:t xml:space="preserve">Proposal mapping.</w:t>
      </w:r>
      <w:r>
        <w:t xml:space="preserve"> </w:t>
      </w:r>
      <w:r>
        <w:t xml:space="preserve">This deliverable implements</w:t>
      </w:r>
      <w:r>
        <w:t xml:space="preserve"> </w:t>
      </w:r>
      <w:r>
        <w:rPr>
          <w:i/>
          <w:iCs/>
        </w:rPr>
        <w:t xml:space="preserve">Evaluation Metric 2 (Cash-Flow</w:t>
      </w:r>
      <w:r>
        <w:rPr>
          <w:i/>
          <w:iCs/>
        </w:rPr>
        <w:t xml:space="preserve"> </w:t>
      </w:r>
      <w:r>
        <w:rPr>
          <w:i/>
          <w:iCs/>
        </w:rPr>
        <w:t xml:space="preserve">Forecast Error / MAE)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POC Deliverable 2</w:t>
      </w:r>
      <w:r>
        <w:t xml:space="preserve">: Monte Carlo simulation outputs with</w:t>
      </w:r>
      <w:r>
        <w:t xml:space="preserve"> </w:t>
      </w:r>
      <w:r>
        <w:t xml:space="preserve">P10/P50/P90 confidence bands,</w:t>
      </w:r>
      <w:r>
        <w:t xml:space="preserve"> </w:t>
      </w:r>
      <w:r>
        <w:rPr>
          <w:b/>
          <w:bCs/>
        </w:rPr>
        <w:t xml:space="preserve">backtesting</w:t>
      </w:r>
      <w:r>
        <w:t xml:space="preserve"> </w:t>
      </w:r>
      <w:r>
        <w:t xml:space="preserve">of predicted vs actual cash flows on</w:t>
      </w:r>
      <w:r>
        <w:t xml:space="preserve"> </w:t>
      </w:r>
      <w:r>
        <w:t xml:space="preserve">held-out quarters, a</w:t>
      </w:r>
      <w:r>
        <w:t xml:space="preserve"> </w:t>
      </w:r>
      <w:r>
        <w:rPr>
          <w:b/>
          <w:bCs/>
        </w:rPr>
        <w:t xml:space="preserve">stress-test comparison</w:t>
      </w:r>
      <w:r>
        <w:t xml:space="preserve"> </w:t>
      </w:r>
      <w:r>
        <w:t xml:space="preserve">across scenarios (base case →</w:t>
      </w:r>
      <w:r>
        <w:t xml:space="preserve"> </w:t>
      </w:r>
      <w:r>
        <w:t xml:space="preserve">liquidity crisis), and a</w:t>
      </w:r>
      <w:r>
        <w:t xml:space="preserve"> </w:t>
      </w:r>
      <w:r>
        <w:rPr>
          <w:b/>
          <w:bCs/>
        </w:rPr>
        <w:t xml:space="preserve">sensitivity analysis</w:t>
      </w:r>
      <w:r>
        <w:t xml:space="preserve"> </w:t>
      </w:r>
      <w:r>
        <w:t xml:space="preserve">identifying key forecast drivers.</w:t>
      </w:r>
    </w:p>
    <w:bookmarkStart w:id="42" w:name="objective-engine"/>
    <w:p>
      <w:pPr>
        <w:pStyle w:val="Heading2"/>
      </w:pPr>
      <w:r>
        <w:t xml:space="preserve">1. Objective &amp; engine</w:t>
      </w:r>
    </w:p>
    <w:p>
      <w:pPr>
        <w:pStyle w:val="FirstParagraph"/>
      </w:pPr>
      <w:r>
        <w:t xml:space="preserve">The analytics layer’s job is to tell an LP, with calibrated uncertainty,</w:t>
      </w:r>
      <w:r>
        <w:t xml:space="preserve"> </w:t>
      </w:r>
      <w:r>
        <w:rPr>
          <w:i/>
          <w:iCs/>
        </w:rPr>
        <w:t xml:space="preserve">how much cash</w:t>
      </w:r>
      <w:r>
        <w:rPr>
          <w:i/>
          <w:iCs/>
        </w:rPr>
        <w:t xml:space="preserve"> </w:t>
      </w:r>
      <w:r>
        <w:rPr>
          <w:i/>
          <w:iCs/>
        </w:rPr>
        <w:t xml:space="preserve">will move in and out of the portfolio over the next 1–2 years</w:t>
      </w:r>
      <w:r>
        <w:t xml:space="preserve"> </w:t>
      </w:r>
      <w:r>
        <w:t xml:space="preserve">— so they can size a</w:t>
      </w:r>
      <w:r>
        <w:t xml:space="preserve"> </w:t>
      </w:r>
      <w:r>
        <w:t xml:space="preserve">liquidity reserve and never miss a capital call. The engine under test is OneLP’s</w:t>
      </w:r>
      <w:r>
        <w:t xml:space="preserve"> </w:t>
      </w:r>
      <w:r>
        <w:t xml:space="preserve">production Monte Carlo simulator (</w:t>
      </w:r>
      <w:r>
        <w:rPr>
          <w:rStyle w:val="VerbatimChar"/>
        </w:rPr>
        <w:t xml:space="preserve">src/lib/forecasting/monte-carlo.ts</w:t>
      </w:r>
      <w:r>
        <w:t xml:space="preserve">): 1,000 seeded</w:t>
      </w:r>
      <w:r>
        <w:t xml:space="preserve"> </w:t>
      </w:r>
      <w:r>
        <w:t xml:space="preserve">paths, per-fund NAV dynamics derived from IRR/TVPI, asset-class volatility, and</w:t>
      </w:r>
      <w:r>
        <w:t xml:space="preserve"> </w:t>
      </w:r>
      <w:r>
        <w:rPr>
          <w:b/>
          <w:bCs/>
        </w:rPr>
        <w:t xml:space="preserve">Cholesky-decomposed cross-asset correlation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correlation.ts</w:t>
      </w:r>
      <w:r>
        <w:t xml:space="preserve">).</w:t>
      </w:r>
    </w:p>
    <w:p>
      <w:pPr>
        <w:pStyle w:val="BlockText"/>
      </w:pPr>
      <w:r>
        <w:rPr>
          <w:b/>
          <w:bCs/>
        </w:rPr>
        <w:t xml:space="preserve">Faithful port, not a re-model.</w:t>
      </w:r>
      <w:r>
        <w:t xml:space="preserve"> </w:t>
      </w:r>
      <w:r>
        <w:t xml:space="preserve">The Python engine driving this deliverable</w:t>
      </w:r>
      <w:r>
        <w:t xml:space="preserve"> </w:t>
      </w:r>
      <w:r>
        <w:t xml:space="preserve">(</w:t>
      </w:r>
      <w:r>
        <w:rPr>
          <w:rStyle w:val="VerbatimChar"/>
        </w:rPr>
        <w:t xml:space="preserve">lib/onelp_eval/mc_engine.py</w:t>
      </w:r>
      <w:r>
        <w:t xml:space="preserve">) is a</w:t>
      </w:r>
      <w:r>
        <w:t xml:space="preserve"> </w:t>
      </w:r>
      <w:r>
        <w:rPr>
          <w:b/>
          <w:bCs/>
        </w:rPr>
        <w:t xml:space="preserve">line-for-line port</w:t>
      </w:r>
      <w:r>
        <w:t xml:space="preserve"> </w:t>
      </w:r>
      <w:r>
        <w:t xml:space="preserve">of the TypeScript</w:t>
      </w:r>
      <w:r>
        <w:t xml:space="preserve"> </w:t>
      </w:r>
      <w:r>
        <w:t xml:space="preserve">production code — the same LCG seed, Box-Muller transform, deployment/distribution</w:t>
      </w:r>
      <w:r>
        <w:t xml:space="preserve"> </w:t>
      </w:r>
      <w:r>
        <w:t xml:space="preserve">rate bands (</w:t>
      </w:r>
      <w:r>
        <w:rPr>
          <w:rStyle w:val="VerbatimChar"/>
        </w:rPr>
        <w:t xml:space="preserve">historical.ts:276-345</w:t>
      </w:r>
      <w:r>
        <w:t xml:space="preserve">), 5×5 correlation matrix (</w:t>
      </w:r>
      <w:r>
        <w:rPr>
          <w:rStyle w:val="VerbatimChar"/>
        </w:rPr>
        <w:t xml:space="preserve">correlation.ts:48-54</w:t>
      </w:r>
      <w:r>
        <w:t xml:space="preserve">),</w:t>
      </w:r>
      <w:r>
        <w:t xml:space="preserve"> </w:t>
      </w:r>
      <w:r>
        <w:t xml:space="preserve">and stress scenarios (</w:t>
      </w:r>
      <w:r>
        <w:rPr>
          <w:rStyle w:val="VerbatimChar"/>
        </w:rPr>
        <w:t xml:space="preserve">scenarios.ts</w:t>
      </w:r>
      <w:r>
        <w:t xml:space="preserve">). Each function cites its source line. The</w:t>
      </w:r>
      <w:r>
        <w:t xml:space="preserve"> </w:t>
      </w:r>
      <w:r>
        <w:t xml:space="preserve">“realness”</w:t>
      </w:r>
      <w:r>
        <w:t xml:space="preserve"> </w:t>
      </w:r>
      <w:r>
        <w:t xml:space="preserve">of this deliverable is that it runs the</w:t>
      </w:r>
      <w:r>
        <w:t xml:space="preserve"> </w:t>
      </w:r>
      <w:r>
        <w:rPr>
          <w:i/>
          <w:iCs/>
        </w:rPr>
        <w:t xml:space="preserve">actual algorithm</w:t>
      </w:r>
      <w:r>
        <w:t xml:space="preserve">, not a textbook</w:t>
      </w:r>
      <w:r>
        <w:t xml:space="preserve"> </w:t>
      </w:r>
      <w:r>
        <w:t xml:space="preserve">approximation.</w:t>
      </w:r>
    </w:p>
    <w:p>
      <w:pPr>
        <w:pStyle w:val="FirstParagraph"/>
      </w:pPr>
      <w:r>
        <w:t xml:space="preserve">Target metric (proposal §5):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 Absolute Error of P50 vs actual quarterly cash flow</w:t>
            </w:r>
          </w:p>
        </w:tc>
        <w:tc>
          <w:tcPr/>
          <w:p>
            <w:pPr>
              <w:pStyle w:val="Compact"/>
            </w:pPr>
            <w:r>
              <w:t xml:space="preserve">&lt; 15%</w:t>
            </w:r>
          </w:p>
        </w:tc>
      </w:tr>
    </w:tbl>
    <w:bookmarkEnd w:id="42"/>
    <w:bookmarkStart w:id="43" w:name="portfolio-data"/>
    <w:p>
      <w:pPr>
        <w:pStyle w:val="Heading2"/>
      </w:pPr>
      <w:r>
        <w:t xml:space="preserve">2. Portfolio &amp; data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calibrated reference portfolio</w:t>
      </w:r>
      <w:r>
        <w:t xml:space="preserve"> </w:t>
      </w:r>
      <w:r>
        <w:t xml:space="preserve">of</w:t>
      </w:r>
      <w:r>
        <w:t xml:space="preserve"> </w:t>
      </w:r>
      <w:r>
        <w:rPr>
          <w:b/>
          <w:bCs/>
        </w:rPr>
        <w:t xml:space="preserve">16 funds / $143M committed / $39M unfunded</w:t>
      </w:r>
      <w:r>
        <w:t xml:space="preserve"> </w:t>
      </w:r>
      <w:r>
        <w:t xml:space="preserve">across all five correlation asset classes: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7 funds</w:t>
      </w:r>
      <w:r>
        <w:t xml:space="preserve"> </w:t>
      </w:r>
      <w:r>
        <w:t xml:space="preserve">are the real seeded Huergo Family Office demo account</w:t>
      </w:r>
      <w:r>
        <w:t xml:space="preserve"> </w:t>
      </w:r>
      <w:r>
        <w:t xml:space="preserve">(</w:t>
      </w:r>
      <w:r>
        <w:rPr>
          <w:rStyle w:val="VerbatimChar"/>
        </w:rPr>
        <w:t xml:space="preserve">prisma/seed-huergo.ts</w:t>
      </w:r>
      <w:r>
        <w:t xml:space="preserve">) — exact commitment / paid-in / NAV / IRR / TVPI / DPI.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9 funds</w:t>
      </w:r>
      <w:r>
        <w:t xml:space="preserve"> </w:t>
      </w:r>
      <w:r>
        <w:t xml:space="preserve">extend coverage to PE buyout, real estate, private credit, growth and</w:t>
      </w:r>
      <w:r>
        <w:t xml:space="preserve"> </w:t>
      </w:r>
      <w:r>
        <w:t xml:space="preserve">infrastructure at institutional scale, so the cross-asset correlation model is</w:t>
      </w:r>
      <w:r>
        <w:t xml:space="preserve"> </w:t>
      </w:r>
      <w:r>
        <w:t xml:space="preserve">actually exercised.</w:t>
      </w:r>
    </w:p>
    <w:p>
      <w:pPr>
        <w:pStyle w:val="BlockText"/>
      </w:pPr>
      <w:r>
        <w:rPr>
          <w:b/>
          <w:bCs/>
        </w:rPr>
        <w:t xml:space="preserve">Why synthetic history.</w:t>
      </w:r>
      <w:r>
        <w:t xml:space="preserve"> </w:t>
      </w:r>
      <w:r>
        <w:t xml:space="preserve">Live pilot-client cash flows are confidential and cannot</w:t>
      </w:r>
      <w:r>
        <w:t xml:space="preserve"> </w:t>
      </w:r>
      <w:r>
        <w:t xml:space="preserve">ship inside a deliverable. We therefore generate each fund’s quarterly history with a</w:t>
      </w:r>
      <w:r>
        <w:t xml:space="preserve"> </w:t>
      </w:r>
      <w:r>
        <w:t xml:space="preserve">documented data-generating process driven by the</w:t>
      </w:r>
      <w:r>
        <w:t xml:space="preserve"> </w:t>
      </w:r>
      <w:r>
        <w:rPr>
          <w:b/>
          <w:bCs/>
        </w:rPr>
        <w:t xml:space="preserve">same rate bands the engine uses</w:t>
      </w:r>
      <w:r>
        <w:t xml:space="preserve"> </w:t>
      </w:r>
      <w:r>
        <w:t xml:space="preserve">(</w:t>
      </w:r>
      <w:r>
        <w:rPr>
          <w:rStyle w:val="VerbatimChar"/>
        </w:rPr>
        <w:t xml:space="preserve">historical.ts</w:t>
      </w:r>
      <w:r>
        <w:t xml:space="preserve">), plus mild realistic drift (deployment fades, distributions build)</w:t>
      </w:r>
      <w:r>
        <w:t xml:space="preserve"> </w:t>
      </w:r>
      <w:r>
        <w:t xml:space="preserve">and lognormal lumpiness. The engine never sees the DGP — only the truncated history —</w:t>
      </w:r>
      <w:r>
        <w:t xml:space="preserve"> </w:t>
      </w:r>
      <w:r>
        <w:t xml:space="preserve">so the held-out backtest is a fair test of the production calibration.</w:t>
      </w:r>
    </w:p>
    <w:bookmarkEnd w:id="43"/>
    <w:bookmarkStart w:id="62" w:name="results-1"/>
    <w:p>
      <w:pPr>
        <w:pStyle w:val="Heading2"/>
      </w:pPr>
      <w:r>
        <w:t xml:space="preserve">3. Results</w:t>
      </w:r>
    </w:p>
    <w:bookmarkStart w:id="47" w:name="probabilistic-forecast-p10p50p90"/>
    <w:p>
      <w:pPr>
        <w:pStyle w:val="Heading3"/>
      </w:pPr>
      <w:r>
        <w:t xml:space="preserve">3.1 Probabilistic forecast (P10/P50/P90)</w:t>
      </w:r>
    </w:p>
    <w:p>
      <w:pPr>
        <w:pStyle w:val="FirstParagraph"/>
      </w:pPr>
      <w:r>
        <w:t xml:space="preserve">The base-case 8-quarter forecast shows a mature, self-funding book: median net cash flow</w:t>
      </w:r>
      <w:r>
        <w:t xml:space="preserve"> </w:t>
      </w:r>
      <w:r>
        <w:t xml:space="preserve">is mildly positive (~$2.7M/quarter) as distributions outpace remaining calls, with a</w:t>
      </w:r>
      <w:r>
        <w:t xml:space="preserve"> </w:t>
      </w:r>
      <w:r>
        <w:t xml:space="preserve">P10–P90 band of roughly ±$0.3M around the median.</w:t>
      </w:r>
    </w:p>
    <w:p>
      <w:pPr>
        <w:pStyle w:val="CaptionedFigure"/>
      </w:pPr>
      <w:r>
        <w:drawing>
          <wp:inline>
            <wp:extent cx="3657600" cy="2599748"/>
            <wp:effectExtent b="0" l="0" r="0" t="0"/>
            <wp:docPr descr="Forecast fan chart" title="" id="45" name="Picture"/>
            <a:graphic>
              <a:graphicData uri="http://schemas.openxmlformats.org/drawingml/2006/picture">
                <pic:pic>
                  <pic:nvPicPr>
                    <pic:cNvPr descr="/Users/agentilt/github/OneLPMVP/capstone/deliverable-2-forecasting-backtest/figures/forecast_fan_chart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5997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Forecast fan chart</w:t>
      </w:r>
    </w:p>
    <w:bookmarkEnd w:id="47"/>
    <w:bookmarkStart w:id="51" w:name="backtest-forecast-vs-actual-metric-2"/>
    <w:p>
      <w:pPr>
        <w:pStyle w:val="Heading3"/>
      </w:pPr>
      <w:r>
        <w:t xml:space="preserve">3.2 Backtest — forecast vs actual (Metric 2)</w:t>
      </w:r>
    </w:p>
    <w:p>
      <w:pPr>
        <w:pStyle w:val="FirstParagraph"/>
      </w:pPr>
      <w:r>
        <w:t xml:space="preserve">We run a</w:t>
      </w:r>
      <w:r>
        <w:t xml:space="preserve"> </w:t>
      </w:r>
      <w:r>
        <w:rPr>
          <w:b/>
          <w:bCs/>
        </w:rPr>
        <w:t xml:space="preserve">rolling-origin (expanding-window) backtest</w:t>
      </w:r>
      <w:r>
        <w:t xml:space="preserve">: at each origin from 8 to 12</w:t>
      </w:r>
      <w:r>
        <w:t xml:space="preserve"> </w:t>
      </w:r>
      <w:r>
        <w:t xml:space="preserve">quarters of history we train on the available history, forecast the next 4 quarters with</w:t>
      </w:r>
      <w:r>
        <w:t xml:space="preserve"> </w:t>
      </w:r>
      <w:r>
        <w:t xml:space="preserve">the MC engine, and compare the P50 against held-out actuals at the portfolio level —</w:t>
      </w:r>
      <w:r>
        <w:t xml:space="preserve"> </w:t>
      </w:r>
      <w:r>
        <w:rPr>
          <w:b/>
          <w:bCs/>
        </w:rPr>
        <w:t xml:space="preserve">5 origins × 4 quarters = 20 portfolio-quarter test points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Backtest metric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MAE (% of gross quarterly flow)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&lt; 15%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MAE (absolute)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$0.30M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80% predictive-interval coverage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mild under-coverage</w:t>
            </w:r>
          </w:p>
        </w:tc>
      </w:tr>
    </w:tbl>
    <w:p>
      <w:pPr>
        <w:pStyle w:val="BodyText"/>
      </w:pPr>
      <w:r>
        <w:t xml:space="preserve">The engine’s median forecast tracks held-out actuals to</w:t>
      </w:r>
      <w:r>
        <w:t xml:space="preserve"> </w:t>
      </w:r>
      <w:r>
        <w:rPr>
          <w:b/>
          <w:bCs/>
        </w:rPr>
        <w:t xml:space="preserve">5.0% MAE — comfortably inside</w:t>
      </w:r>
      <w:r>
        <w:rPr>
          <w:b/>
          <w:bCs/>
        </w:rPr>
        <w:t xml:space="preserve"> </w:t>
      </w:r>
      <w:r>
        <w:rPr>
          <w:b/>
          <w:bCs/>
        </w:rPr>
        <w:t xml:space="preserve">the 15% target</w:t>
      </w:r>
      <w:r>
        <w:t xml:space="preserve">. The 80% band covers 65% of points: empirically the intervals are</w:t>
      </w:r>
      <w:r>
        <w:t xml:space="preserve"> </w:t>
      </w:r>
      <w:r>
        <w:t xml:space="preserve">slightly</w:t>
      </w:r>
      <w:r>
        <w:t xml:space="preserve"> </w:t>
      </w:r>
      <w:r>
        <w:rPr>
          <w:i/>
          <w:iCs/>
        </w:rPr>
        <w:t xml:space="preserve">too tight</w:t>
      </w:r>
      <w:r>
        <w:t xml:space="preserve">, which is consistent with the conservative-but-narrow uncertainty</w:t>
      </w:r>
      <w:r>
        <w:t xml:space="preserve"> </w:t>
      </w:r>
      <w:r>
        <w:t xml:space="preserve">finding in Deliverable 3 and points to widening the P10/P90 bands.</w:t>
      </w:r>
    </w:p>
    <w:p>
      <w:pPr>
        <w:pStyle w:val="CaptionedFigure"/>
      </w:pPr>
      <w:r>
        <w:drawing>
          <wp:inline>
            <wp:extent cx="3657600" cy="2319680"/>
            <wp:effectExtent b="0" l="0" r="0" t="0"/>
            <wp:docPr descr="Backtest vs actual" title="" id="49" name="Picture"/>
            <a:graphic>
              <a:graphicData uri="http://schemas.openxmlformats.org/drawingml/2006/picture">
                <pic:pic>
                  <pic:nvPicPr>
                    <pic:cNvPr descr="/Users/agentilt/github/OneLPMVP/capstone/deliverable-2-forecasting-backtest/figures/backtest_vs_actual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3196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Backtest vs actual</w:t>
      </w:r>
    </w:p>
    <w:bookmarkEnd w:id="51"/>
    <w:bookmarkStart w:id="55" w:name="Xd8916b3a7c0053191a3c4f0efe76f328116b4b8"/>
    <w:p>
      <w:pPr>
        <w:pStyle w:val="Heading3"/>
      </w:pPr>
      <w:r>
        <w:t xml:space="preserve">3.3 Stress testing (base case → liquidity crisis)</w:t>
      </w:r>
    </w:p>
    <w:p>
      <w:pPr>
        <w:pStyle w:val="FirstParagraph"/>
      </w:pPr>
      <w:r>
        <w:t xml:space="preserve">Each of the engine’s stress scenarios (</w:t>
      </w:r>
      <w:r>
        <w:rPr>
          <w:rStyle w:val="VerbatimChar"/>
        </w:rPr>
        <w:t xml:space="preserve">scenarios.ts</w:t>
      </w:r>
      <w:r>
        <w:t xml:space="preserve"> </w:t>
      </w:r>
      <w:r>
        <w:t xml:space="preserve">— NAV shock, call multiplier,</w:t>
      </w:r>
      <w:r>
        <w:t xml:space="preserve"> </w:t>
      </w:r>
      <w:r>
        <w:t xml:space="preserve">distribution multiplier) is run over the 8-quarter horizon. Cumulative net cash flow</w:t>
      </w:r>
      <w:r>
        <w:t xml:space="preserve"> </w:t>
      </w:r>
      <w:r>
        <w:t xml:space="preserve">moves monotonically from deeply negative under a Liquidity Crisis to strongly positive</w:t>
      </w:r>
      <w:r>
        <w:t xml:space="preserve"> </w:t>
      </w:r>
      <w:r>
        <w:t xml:space="preserve">under a Rapid Recovery — and the implied 95%-confidence reserve scales with severity.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3"/>
        <w:gridCol w:w="1377"/>
        <w:gridCol w:w="1377"/>
        <w:gridCol w:w="1377"/>
        <w:gridCol w:w="1377"/>
        <w:gridCol w:w="13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NAV shock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Call 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Dist 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8q cumulative net P50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Reserve (95%)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Liquidity Crisis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−25%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−$6.8M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$8.1M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Recession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−30%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−$0.7M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$2.4M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Credit Crunch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+$5.2M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$0.3M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 Correction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−20%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+$7.6M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$0.0M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Mild Downturn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+$15.1M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$0.0M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 Case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+$22.3M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$0.0M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Rapid Recovery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+$37.3M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$0.0M</w:t>
            </w:r>
          </w:p>
        </w:tc>
      </w:tr>
    </w:tbl>
    <w:p>
      <w:pPr>
        <w:pStyle w:val="CaptionedFigure"/>
      </w:pPr>
      <w:r>
        <w:drawing>
          <wp:inline>
            <wp:extent cx="3657600" cy="2205102"/>
            <wp:effectExtent b="0" l="0" r="0" t="0"/>
            <wp:docPr descr="Stress scenarios" title="" id="53" name="Picture"/>
            <a:graphic>
              <a:graphicData uri="http://schemas.openxmlformats.org/drawingml/2006/picture">
                <pic:pic>
                  <pic:nvPicPr>
                    <pic:cNvPr descr="/Users/agentilt/github/OneLPMVP/capstone/deliverable-2-forecasting-backtest/figures/stress_scenarios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2051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Stress scenarios</w:t>
      </w:r>
    </w:p>
    <w:p>
      <w:pPr>
        <w:pStyle w:val="BlockText"/>
      </w:pPr>
      <w:r>
        <w:rPr>
          <w:b/>
          <w:bCs/>
        </w:rPr>
        <w:t xml:space="preserve">Transparency note.</w:t>
      </w:r>
      <w:r>
        <w:t xml:space="preserve"> </w:t>
      </w:r>
      <w:r>
        <w:t xml:space="preserve">The proposal cites</w:t>
      </w:r>
      <w:r>
        <w:t xml:space="preserve"> </w:t>
      </w:r>
      <w:r>
        <w:t xml:space="preserve">“8 pre-defined scenarios”</w:t>
      </w:r>
      <w:r>
        <w:t xml:space="preserve">; the repository’s</w:t>
      </w:r>
      <w:r>
        <w:t xml:space="preserve"> </w:t>
      </w:r>
      <w:r>
        <w:rPr>
          <w:rStyle w:val="VerbatimChar"/>
        </w:rPr>
        <w:t xml:space="preserve">STRESS_SCENARIOS</w:t>
      </w:r>
      <w:r>
        <w:t xml:space="preserve"> </w:t>
      </w:r>
      <w:r>
        <w:t xml:space="preserve">array (</w:t>
      </w:r>
      <w:r>
        <w:rPr>
          <w:rStyle w:val="VerbatimChar"/>
        </w:rPr>
        <w:t xml:space="preserve">scenarios.ts:35-103</w:t>
      </w:r>
      <w:r>
        <w:t xml:space="preserve">) currently defines</w:t>
      </w:r>
      <w:r>
        <w:t xml:space="preserve"> </w:t>
      </w:r>
      <w:r>
        <w:rPr>
          <w:b/>
          <w:bCs/>
        </w:rPr>
        <w:t xml:space="preserve">7</w:t>
      </w:r>
      <w:r>
        <w:t xml:space="preserve"> </w:t>
      </w:r>
      <w:r>
        <w:t xml:space="preserve">(base case +</w:t>
      </w:r>
      <w:r>
        <w:t xml:space="preserve"> </w:t>
      </w:r>
      <w:r>
        <w:t xml:space="preserve">6 stress scenarios). All seven are reported above. Adding an eighth (e.g. a</w:t>
      </w:r>
      <w:r>
        <w:t xml:space="preserve"> </w:t>
      </w:r>
      <w:r>
        <w:t xml:space="preserve">stagflation / rate-shock scenario) is a one-line addition to that array.</w:t>
      </w:r>
    </w:p>
    <w:bookmarkEnd w:id="55"/>
    <w:bookmarkStart w:id="56" w:name="liquidity-reserve-at-90-95-confidence"/>
    <w:p>
      <w:pPr>
        <w:pStyle w:val="Heading3"/>
      </w:pPr>
      <w:r>
        <w:t xml:space="preserve">3.4 Liquidity reserve at 90% / 95% confidence</w:t>
      </w:r>
    </w:p>
    <w:p>
      <w:pPr>
        <w:pStyle w:val="FirstParagraph"/>
      </w:pPr>
      <w:r>
        <w:t xml:space="preserve">A mature distributing book needs essentially</w:t>
      </w:r>
      <w:r>
        <w:t xml:space="preserve"> </w:t>
      </w:r>
      <w:r>
        <w:rPr>
          <w:b/>
          <w:bCs/>
        </w:rPr>
        <w:t xml:space="preserve">no base-case reserve</w:t>
      </w:r>
      <w:r>
        <w:t xml:space="preserve"> </w:t>
      </w:r>
      <w:r>
        <w:t xml:space="preserve">— distributions</w:t>
      </w:r>
      <w:r>
        <w:t xml:space="preserve"> </w:t>
      </w:r>
      <w:r>
        <w:t xml:space="preserve">self-fund the calls. The reserve only bites under stress: under a</w:t>
      </w:r>
      <w:r>
        <w:t xml:space="preserve"> </w:t>
      </w:r>
      <w:r>
        <w:rPr>
          <w:b/>
          <w:bCs/>
        </w:rPr>
        <w:t xml:space="preserve">Liquidity Crisis</w:t>
      </w:r>
      <w:r>
        <w:t xml:space="preserve"> </w:t>
      </w:r>
      <w:r>
        <w:t xml:space="preserve">the cumulative net position draws down to a maximum funding gap requiring a reserve of</w:t>
      </w:r>
      <w:r>
        <w:t xml:space="preserve"> </w:t>
      </w:r>
      <w:r>
        <w:rPr>
          <w:b/>
          <w:bCs/>
        </w:rPr>
        <w:t xml:space="preserve">$7.8M (90% confidence) / $8.1M (95% confidence)</w:t>
      </w:r>
      <w:r>
        <w:t xml:space="preserve">. This is the actionable output: the</w:t>
      </w:r>
      <w:r>
        <w:t xml:space="preserve"> </w:t>
      </w:r>
      <w:r>
        <w:t xml:space="preserve">buffer the LP should hold to survive the worst modeled quarter without a forced secondary</w:t>
      </w:r>
      <w:r>
        <w:t xml:space="preserve"> </w:t>
      </w:r>
      <w:r>
        <w:t xml:space="preserve">sale.</w:t>
      </w:r>
    </w:p>
    <w:bookmarkEnd w:id="56"/>
    <w:bookmarkStart w:id="57" w:name="Xc3631943d8ee1ab41ff2b16f77366e618a8fb39"/>
    <w:p>
      <w:pPr>
        <w:pStyle w:val="Heading3"/>
      </w:pPr>
      <w:r>
        <w:t xml:space="preserve">3.5 Sensitivity — what actually moves the forecast (±25%)</w:t>
      </w:r>
    </w:p>
    <w:p>
      <w:pPr>
        <w:pStyle w:val="FirstParagraph"/>
      </w:pPr>
      <w:r>
        <w:t xml:space="preserve">A one-at-a-time ±25% perturbation of three key drivers ranks them by their swing on</w:t>
      </w:r>
      <w:r>
        <w:t xml:space="preserve"> </w:t>
      </w:r>
      <w:r>
        <w:t xml:space="preserve">8-quarter cumulative net cash flow: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Driver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Swing on cumulative net cash flow (±25%)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NAV level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±$16.8M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Distribution 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±$13.9M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Capital-call 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∓$4.8M</w:t>
            </w:r>
          </w:p>
        </w:tc>
      </w:tr>
    </w:tbl>
    <w:p>
      <w:pPr>
        <w:pStyle w:val="BodyText"/>
      </w:pPr>
      <w:r>
        <w:rPr>
          <w:b/>
          <w:bCs/>
        </w:rPr>
        <w:t xml:space="preserve">NAV level and distribution rate dominate</w:t>
      </w:r>
      <w:r>
        <w:t xml:space="preserve">; the call rate matters ~3× less because the</w:t>
      </w:r>
      <w:r>
        <w:t xml:space="preserve"> </w:t>
      </w:r>
      <w:r>
        <w:t xml:space="preserve">book is mostly deployed (only $39M unfunded). For an LP, this says forecast quality</w:t>
      </w:r>
      <w:r>
        <w:t xml:space="preserve"> </w:t>
      </w:r>
      <w:r>
        <w:t xml:space="preserve">hinges on NAV freshness and distribution-pacing assumptions far more than on call timing.</w:t>
      </w:r>
    </w:p>
    <w:bookmarkEnd w:id="57"/>
    <w:bookmarkStart w:id="61" w:name="X74dd1842963662633df9a38d3a198a28aba8c12"/>
    <w:p>
      <w:pPr>
        <w:pStyle w:val="Heading3"/>
      </w:pPr>
      <w:r>
        <w:t xml:space="preserve">3.6 Cross-asset correlation — and an honest engine limitation</w:t>
      </w:r>
    </w:p>
    <w:p>
      <w:pPr>
        <w:pStyle w:val="FirstParagraph"/>
      </w:pPr>
      <w:r>
        <w:t xml:space="preserve">The Cholesky correlation model is a headline feature, but it surfaces a</w:t>
      </w:r>
      <w:r>
        <w:t xml:space="preserve"> </w:t>
      </w:r>
      <w:r>
        <w:rPr>
          <w:b/>
          <w:bCs/>
        </w:rPr>
        <w:t xml:space="preserve">real,</w:t>
      </w:r>
      <w:r>
        <w:rPr>
          <w:b/>
          <w:bCs/>
        </w:rPr>
        <w:t xml:space="preserve"> </w:t>
      </w:r>
      <w:r>
        <w:rPr>
          <w:b/>
          <w:bCs/>
        </w:rPr>
        <w:t xml:space="preserve">documented limitation</w:t>
      </w:r>
      <w:r>
        <w:t xml:space="preserve">: with 16 funds sharing only 6 asset classes, the per-fund</w:t>
      </w:r>
      <w:r>
        <w:t xml:space="preserve"> </w:t>
      </w:r>
      <w:r>
        <w:t xml:space="preserve">correlation matrix has</w:t>
      </w:r>
      <w:r>
        <w:t xml:space="preserve"> </w:t>
      </w:r>
      <w:r>
        <w:rPr>
          <w:b/>
          <w:bCs/>
        </w:rPr>
        <w:t xml:space="preserve">duplicate rows → it is singular → Cholesky fails → the engine</w:t>
      </w:r>
      <w:r>
        <w:rPr>
          <w:b/>
          <w:bCs/>
        </w:rPr>
        <w:t xml:space="preserve"> </w:t>
      </w:r>
      <w:r>
        <w:rPr>
          <w:b/>
          <w:bCs/>
        </w:rPr>
        <w:t xml:space="preserve">correctly falls back to independent simulation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monte-carlo.ts:336-341</w:t>
      </w:r>
      <w:r>
        <w:t xml:space="preserve">). So on the</w:t>
      </w:r>
      <w:r>
        <w:t xml:space="preserve"> </w:t>
      </w:r>
      <w:r>
        <w:t xml:space="preserve">full book, correlation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engage.</w:t>
      </w:r>
    </w:p>
    <w:p>
      <w:pPr>
        <w:pStyle w:val="BodyText"/>
      </w:pPr>
      <w:r>
        <w:t xml:space="preserve">To demonstrate the correlation path</w:t>
      </w:r>
      <w:r>
        <w:t xml:space="preserve"> </w:t>
      </w:r>
      <w:r>
        <w:rPr>
          <w:i/>
          <w:iCs/>
        </w:rPr>
        <w:t xml:space="preserve">does</w:t>
      </w:r>
      <w:r>
        <w:t xml:space="preserve"> </w:t>
      </w:r>
      <w:r>
        <w:t xml:space="preserve">work, we run a</w:t>
      </w:r>
      <w:r>
        <w:t xml:space="preserve"> </w:t>
      </w:r>
      <w:r>
        <w:rPr>
          <w:b/>
          <w:bCs/>
        </w:rPr>
        <w:t xml:space="preserve">5-fund, one-per-class</w:t>
      </w:r>
      <w:r>
        <w:t xml:space="preserve"> </w:t>
      </w:r>
      <w:r>
        <w:t xml:space="preserve">sub-portfolio where the 5×5 matrix is positive-definite. Turning correlation on widens</w:t>
      </w:r>
      <w:r>
        <w:t xml:space="preserve"> </w:t>
      </w:r>
      <w:r>
        <w:t xml:space="preserve">the aggregate outcome distribution by</w:t>
      </w:r>
      <w:r>
        <w:t xml:space="preserve"> </w:t>
      </w:r>
      <w:r>
        <w:rPr>
          <w:b/>
          <w:bCs/>
        </w:rPr>
        <w:t xml:space="preserve">+39% in standard deviation</w:t>
      </w:r>
      <w:r>
        <w:t xml:space="preserve"> </w:t>
      </w:r>
      <w:r>
        <w:t xml:space="preserve">(σ $1.17M vs</w:t>
      </w:r>
      <w:r>
        <w:t xml:space="preserve"> </w:t>
      </w:r>
      <w:r>
        <w:t xml:space="preserve">$0.85M) — exactly the reduced-diversification effect you expect when PE and VC are</w:t>
      </w:r>
      <w:r>
        <w:t xml:space="preserve"> </w:t>
      </w:r>
      <w:r>
        <w:t xml:space="preserve">0.55–0.80 correlated.</w:t>
      </w:r>
    </w:p>
    <w:p>
      <w:pPr>
        <w:pStyle w:val="CaptionedFigure"/>
      </w:pPr>
      <w:r>
        <w:drawing>
          <wp:inline>
            <wp:extent cx="3657600" cy="1813781"/>
            <wp:effectExtent b="0" l="0" r="0" t="0"/>
            <wp:docPr descr="Correlation effect" title="" id="59" name="Picture"/>
            <a:graphic>
              <a:graphicData uri="http://schemas.openxmlformats.org/drawingml/2006/picture">
                <pic:pic>
                  <pic:nvPicPr>
                    <pic:cNvPr descr="/Users/agentilt/github/OneLPMVP/capstone/deliverable-2-forecasting-backtest/figures/correlation_effect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18137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Correlation effect</w:t>
      </w:r>
    </w:p>
    <w:bookmarkEnd w:id="61"/>
    <w:bookmarkEnd w:id="62"/>
    <w:bookmarkStart w:id="63" w:name="findings-1"/>
    <w:p>
      <w:pPr>
        <w:pStyle w:val="Heading2"/>
      </w:pPr>
      <w:r>
        <w:t xml:space="preserve">4. Findings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The engine meets the forecast-accuracy target</w:t>
      </w:r>
      <w:r>
        <w:t xml:space="preserve"> </w:t>
      </w:r>
      <w:r>
        <w:t xml:space="preserve">— 5.0% MAE on a 20-point rolling</w:t>
      </w:r>
      <w:r>
        <w:t xml:space="preserve"> </w:t>
      </w:r>
      <w:r>
        <w:t xml:space="preserve">backtest, well inside the &lt; 15% bar, for a mature diversified book.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Predictive intervals are slightly too narrow</w:t>
      </w:r>
      <w:r>
        <w:t xml:space="preserve"> </w:t>
      </w:r>
      <w:r>
        <w:t xml:space="preserve">(65% empirical coverage of an 80%</w:t>
      </w:r>
      <w:r>
        <w:t xml:space="preserve"> </w:t>
      </w:r>
      <w:r>
        <w:t xml:space="preserve">band) — a concrete, fixable calibration issue (widen P10/P90).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Reserve sizing is stress-driven, not base-case driven</w:t>
      </w:r>
      <w:r>
        <w:t xml:space="preserve"> </w:t>
      </w:r>
      <w:r>
        <w:t xml:space="preserve">— the product’s value is in</w:t>
      </w:r>
      <w:r>
        <w:t xml:space="preserve"> </w:t>
      </w:r>
      <w:r>
        <w:t xml:space="preserve">quantifying the ~$8M buffer needed to survive a liquidity crisis, not the (≈0)</w:t>
      </w:r>
      <w:r>
        <w:t xml:space="preserve"> </w:t>
      </w:r>
      <w:r>
        <w:t xml:space="preserve">base-case reserve.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NAV and distribution pacing are the forecast’s load-bearing inputs</w:t>
      </w:r>
      <w:r>
        <w:t xml:space="preserve">; call timing is</w:t>
      </w:r>
      <w:r>
        <w:t xml:space="preserve"> </w:t>
      </w:r>
      <w:r>
        <w:t xml:space="preserve">secondary for a mostly-deployed book.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The correlation model silently no-ops on realistic multi-fund books</w:t>
      </w:r>
      <w:r>
        <w:t xml:space="preserve"> </w:t>
      </w:r>
      <w:r>
        <w:t xml:space="preserve">— a genuine</w:t>
      </w:r>
      <w:r>
        <w:t xml:space="preserve"> </w:t>
      </w:r>
      <w:r>
        <w:t xml:space="preserve">limitation worth fixing (see Deliverable 3): regularize the matrix (ridge/shrinkage)</w:t>
      </w:r>
      <w:r>
        <w:t xml:space="preserve"> </w:t>
      </w:r>
      <w:r>
        <w:t xml:space="preserve">or model correlation at the asset-class level rather than per-fund.</w:t>
      </w:r>
    </w:p>
    <w:bookmarkEnd w:id="63"/>
    <w:bookmarkStart w:id="64" w:name="limitations-1"/>
    <w:p>
      <w:pPr>
        <w:pStyle w:val="Heading2"/>
      </w:pPr>
      <w:r>
        <w:t xml:space="preserve">5. Limitations</w:t>
      </w:r>
    </w:p>
    <w:p>
      <w:pPr>
        <w:pStyle w:val="Compact"/>
        <w:numPr>
          <w:ilvl w:val="0"/>
          <w:numId w:val="1012"/>
        </w:numPr>
      </w:pPr>
      <w:r>
        <w:t xml:space="preserve">Synthetic-but-calibrated history, not live client cash flows (§2). The MAE validates</w:t>
      </w:r>
      <w:r>
        <w:t xml:space="preserve"> </w:t>
      </w:r>
      <w:r>
        <w:t xml:space="preserve">the engine’s calibration against a fair, engine-agnostic DGP; production MAE should be</w:t>
      </w:r>
      <w:r>
        <w:t xml:space="preserve"> </w:t>
      </w:r>
      <w:r>
        <w:t xml:space="preserve">re-measured against real held-out quarters per pilot client.</w:t>
      </w:r>
    </w:p>
    <w:p>
      <w:pPr>
        <w:pStyle w:val="Compact"/>
        <w:numPr>
          <w:ilvl w:val="0"/>
          <w:numId w:val="1012"/>
        </w:numPr>
      </w:pPr>
      <w:r>
        <w:t xml:space="preserve">Backtest horizon is 4 quarters from each origin; longer horizons will degrade MAE and</w:t>
      </w:r>
      <w:r>
        <w:t xml:space="preserve"> </w:t>
      </w:r>
      <w:r>
        <w:t xml:space="preserve">should be reported separately.</w:t>
      </w:r>
    </w:p>
    <w:p>
      <w:pPr>
        <w:pStyle w:val="Compact"/>
        <w:numPr>
          <w:ilvl w:val="0"/>
          <w:numId w:val="1012"/>
        </w:numPr>
      </w:pPr>
      <w:r>
        <w:t xml:space="preserve">Reserve figures assume the modeled stress multipliers; tail events beyond the</w:t>
      </w:r>
      <w:r>
        <w:t xml:space="preserve"> </w:t>
      </w:r>
      <w:r>
        <w:t xml:space="preserve">Liquidity Crisis scenario are not captured.</w:t>
      </w:r>
    </w:p>
    <w:bookmarkEnd w:id="64"/>
    <w:bookmarkStart w:id="65" w:name="reproducibility-2"/>
    <w:p>
      <w:pPr>
        <w:pStyle w:val="Heading2"/>
      </w:pPr>
      <w:r>
        <w:t xml:space="preserve">6. Reproducibility</w:t>
      </w:r>
    </w:p>
    <w:p>
      <w:pPr>
        <w:pStyle w:val="SourceCode"/>
      </w:pPr>
      <w:r>
        <w:rPr>
          <w:rStyle w:val="CommentTok"/>
        </w:rPr>
        <w:t xml:space="preserve"># from capstone/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deliverable-2-forecasting-backtest/run_backtest.py</w:t>
      </w:r>
    </w:p>
    <w:p>
      <w:pPr>
        <w:pStyle w:val="FirstParagraph"/>
      </w:pPr>
      <w:r>
        <w:t xml:space="preserve">Outputs:</w:t>
      </w:r>
      <w:r>
        <w:t xml:space="preserve"> </w:t>
      </w:r>
      <w:r>
        <w:rPr>
          <w:rStyle w:val="VerbatimChar"/>
        </w:rPr>
        <w:t xml:space="preserve">results/forecast_metrics.json</w:t>
      </w:r>
      <w:r>
        <w:t xml:space="preserve">, six figures under</w:t>
      </w:r>
      <w:r>
        <w:t xml:space="preserve"> </w:t>
      </w:r>
      <w:r>
        <w:rPr>
          <w:rStyle w:val="VerbatimChar"/>
        </w:rPr>
        <w:t xml:space="preserve">figures/</w:t>
      </w:r>
      <w:r>
        <w:t xml:space="preserve">. Engine:</w:t>
      </w:r>
      <w:r>
        <w:t xml:space="preserve"> </w:t>
      </w:r>
      <w:r>
        <w:rPr>
          <w:rStyle w:val="VerbatimChar"/>
        </w:rPr>
        <w:t xml:space="preserve">lib/onelp_eval/mc_engine.py</w:t>
      </w:r>
      <w:r>
        <w:t xml:space="preserve"> </w:t>
      </w:r>
      <w:r>
        <w:t xml:space="preserve">(faithful port of</w:t>
      </w:r>
      <w:r>
        <w:t xml:space="preserve"> </w:t>
      </w:r>
      <w:r>
        <w:rPr>
          <w:rStyle w:val="VerbatimChar"/>
        </w:rPr>
        <w:t xml:space="preserve">src/lib/forecasting/</w:t>
      </w:r>
      <w:r>
        <w:t xml:space="preserve">).</w:t>
      </w:r>
      <w:r>
        <w:t xml:space="preserve"> </w:t>
      </w:r>
      <w:r>
        <w:t xml:space="preserve">Portfolio + history:</w:t>
      </w:r>
      <w:r>
        <w:t xml:space="preserve"> </w:t>
      </w:r>
      <w:r>
        <w:rPr>
          <w:rStyle w:val="VerbatimChar"/>
        </w:rPr>
        <w:t xml:space="preserve">lib/onelp_eval/portfolio.py</w:t>
      </w:r>
      <w:r>
        <w:t xml:space="preserve">.</w:t>
      </w:r>
    </w:p>
    <w:bookmarkEnd w:id="65"/>
    <w:bookmarkEnd w:id="66"/>
    <w:bookmarkStart w:id="86" w:name="deliverable-3-pipeline-model-analysis-1"/>
    <w:p>
      <w:pPr>
        <w:pStyle w:val="Heading1"/>
      </w:pPr>
      <w:r>
        <w:t xml:space="preserve">Deliverable 3 — Pipeline &amp; Model Analysis</w:t>
      </w:r>
    </w:p>
    <w:p>
      <w:pPr>
        <w:pStyle w:val="BlockText"/>
      </w:pPr>
      <w:r>
        <w:rPr>
          <w:b/>
          <w:bCs/>
        </w:rPr>
        <w:t xml:space="preserve">Proposal mapping.</w:t>
      </w:r>
      <w:r>
        <w:t xml:space="preserve"> </w:t>
      </w:r>
      <w:r>
        <w:t xml:space="preserve">This deliverable implements</w:t>
      </w:r>
      <w:r>
        <w:t xml:space="preserve"> </w:t>
      </w:r>
      <w:r>
        <w:rPr>
          <w:i/>
          <w:iCs/>
        </w:rPr>
        <w:t xml:space="preserve">POC Deliverable 3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Evaluation Metric 3 (End-to-End Latency)</w:t>
      </w:r>
      <w:r>
        <w:t xml:space="preserve">: a</w:t>
      </w:r>
      <w:r>
        <w:t xml:space="preserve"> </w:t>
      </w:r>
      <w:r>
        <w:rPr>
          <w:b/>
          <w:bCs/>
        </w:rPr>
        <w:t xml:space="preserve">confidence-calibration analysis</w:t>
      </w:r>
      <w:r>
        <w:t xml:space="preserve"> </w:t>
      </w:r>
      <w:r>
        <w:t xml:space="preserve">(does reported confidence correspond to actual correctness?),</w:t>
      </w:r>
      <w:r>
        <w:t xml:space="preserve"> </w:t>
      </w:r>
      <w:r>
        <w:rPr>
          <w:b/>
          <w:bCs/>
        </w:rPr>
        <w:t xml:space="preserve">end-to-end processing</w:t>
      </w:r>
      <w:r>
        <w:rPr>
          <w:b/>
          <w:bCs/>
        </w:rPr>
        <w:t xml:space="preserve"> </w:t>
      </w:r>
      <w:r>
        <w:rPr>
          <w:b/>
          <w:bCs/>
        </w:rPr>
        <w:t xml:space="preserve">latency</w:t>
      </w:r>
      <w:r>
        <w:t xml:space="preserve">, a discussion of</w:t>
      </w:r>
      <w:r>
        <w:t xml:space="preserve"> </w:t>
      </w:r>
      <w:r>
        <w:rPr>
          <w:b/>
          <w:bCs/>
        </w:rPr>
        <w:t xml:space="preserve">limitations</w:t>
      </w:r>
      <w:r>
        <w:t xml:space="preserve"> </w:t>
      </w:r>
      <w:r>
        <w:t xml:space="preserve">(data sparsity, cold-start, GP-format</w:t>
      </w:r>
      <w:r>
        <w:t xml:space="preserve"> </w:t>
      </w:r>
      <w:r>
        <w:t xml:space="preserve">generalization), and the</w:t>
      </w:r>
      <w:r>
        <w:t xml:space="preserve"> </w:t>
      </w:r>
      <w:r>
        <w:rPr>
          <w:b/>
          <w:bCs/>
        </w:rPr>
        <w:t xml:space="preserve">key trade-off findings</w:t>
      </w:r>
      <w:r>
        <w:t xml:space="preserve"> </w:t>
      </w:r>
      <w:r>
        <w:t xml:space="preserve">and their implications for</w:t>
      </w:r>
      <w:r>
        <w:t xml:space="preserve"> </w:t>
      </w:r>
      <w:r>
        <w:t xml:space="preserve">production deployment.</w:t>
      </w:r>
    </w:p>
    <w:bookmarkStart w:id="67" w:name="why-this-matters"/>
    <w:p>
      <w:pPr>
        <w:pStyle w:val="Heading2"/>
      </w:pPr>
      <w:r>
        <w:t xml:space="preserve">1. Why this matters</w:t>
      </w:r>
    </w:p>
    <w:p>
      <w:pPr>
        <w:pStyle w:val="FirstParagraph"/>
      </w:pPr>
      <w:r>
        <w:t xml:space="preserve">The pipeline does not just extract — it</w:t>
      </w:r>
      <w:r>
        <w:t xml:space="preserve"> </w:t>
      </w:r>
      <w:r>
        <w:rPr>
          <w:b/>
          <w:bCs/>
        </w:rPr>
        <w:t xml:space="preserve">decides what to trust</w:t>
      </w:r>
      <w:r>
        <w:t xml:space="preserve">. High-confidence</w:t>
      </w:r>
      <w:r>
        <w:t xml:space="preserve"> </w:t>
      </w:r>
      <w:r>
        <w:t xml:space="preserve">extractions auto-apply to fund records (NAV, capital-call notices, distributions);</w:t>
      </w:r>
      <w:r>
        <w:t xml:space="preserve"> </w:t>
      </w:r>
      <w:r>
        <w:t xml:space="preserve">low-confidence ones route to a human review queue (</w:t>
      </w:r>
      <w:r>
        <w:rPr>
          <w:rStyle w:val="VerbatimChar"/>
        </w:rPr>
        <w:t xml:space="preserve">router.ts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validate.ts</w:t>
      </w:r>
      <w:r>
        <w:t xml:space="preserve">). The</w:t>
      </w:r>
      <w:r>
        <w:t xml:space="preserve"> </w:t>
      </w:r>
      <w:r>
        <w:t xml:space="preserve">integrity of every downstream metric therefore depends on one question:</w:t>
      </w:r>
      <w:r>
        <w:t xml:space="preserve"> </w:t>
      </w:r>
      <w:r>
        <w:rPr>
          <w:b/>
          <w:bCs/>
        </w:rPr>
        <w:t xml:space="preserve">when the pipeline says it is 0.9 confident, is it right 90% of the time?</w:t>
      </w:r>
      <w:r>
        <w:t xml:space="preserve"> </w:t>
      </w:r>
      <w:r>
        <w:t xml:space="preserve">This</w:t>
      </w:r>
      <w:r>
        <w:t xml:space="preserve"> </w:t>
      </w:r>
      <w:r>
        <w:t xml:space="preserve">deliverable measures that, plus the latency budget and the operating trade-offs.</w:t>
      </w:r>
    </w:p>
    <w:bookmarkEnd w:id="67"/>
    <w:bookmarkStart w:id="78" w:name="confidence-calibration"/>
    <w:p>
      <w:pPr>
        <w:pStyle w:val="Heading2"/>
      </w:pPr>
      <w:r>
        <w:t xml:space="preserve">2. Confidence calibration</w:t>
      </w:r>
    </w:p>
    <w:bookmarkStart w:id="71" w:name="reliability-diagram"/>
    <w:p>
      <w:pPr>
        <w:pStyle w:val="Heading3"/>
      </w:pPr>
      <w:r>
        <w:t xml:space="preserve">2.1 Reliability diagram</w:t>
      </w:r>
    </w:p>
    <w:p>
      <w:pPr>
        <w:pStyle w:val="FirstParagraph"/>
      </w:pPr>
      <w:r>
        <w:t xml:space="preserve">Across</w:t>
      </w:r>
      <w:r>
        <w:t xml:space="preserve"> </w:t>
      </w:r>
      <w:r>
        <w:rPr>
          <w:b/>
          <w:bCs/>
        </w:rPr>
        <w:t xml:space="preserve">462 hybrid-extracted fields</w:t>
      </w:r>
      <w:r>
        <w:t xml:space="preserve">, reported confidence is binned and compared to</w:t>
      </w:r>
      <w:r>
        <w:t xml:space="preserve"> </w:t>
      </w:r>
      <w:r>
        <w:t xml:space="preserve">empirical accuracy.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Calibration metric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Expected Calibration Error (ECE)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 reported confidence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 empirical accuracy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Gap (confidence − accuracy)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−4.5 pts (conservative)</w:t>
            </w:r>
          </w:p>
        </w:tc>
      </w:tr>
    </w:tbl>
    <w:p>
      <w:pPr>
        <w:pStyle w:val="BodyText"/>
      </w:pPr>
      <w:r>
        <w:rPr>
          <w:b/>
          <w:bCs/>
        </w:rPr>
        <w:t xml:space="preserve">Finding: the pipeline is conservatively calibrated — it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under-states</w:t>
      </w:r>
      <w:r>
        <w:rPr>
          <w:b/>
          <w:bCs/>
        </w:rPr>
        <w:t xml:space="preserve"> </w:t>
      </w:r>
      <w:r>
        <w:rPr>
          <w:b/>
          <w:bCs/>
        </w:rPr>
        <w:t xml:space="preserve">its own</w:t>
      </w:r>
      <w:r>
        <w:rPr>
          <w:b/>
          <w:bCs/>
        </w:rPr>
        <w:t xml:space="preserve"> </w:t>
      </w:r>
      <w:r>
        <w:rPr>
          <w:b/>
          <w:bCs/>
        </w:rPr>
        <w:t xml:space="preserve">reliability.</w:t>
      </w:r>
      <w:r>
        <w:t xml:space="preserve"> </w:t>
      </w:r>
      <w:r>
        <w:t xml:space="preserve">In the high-confidence bins where the bulk of fields fall (0.85 and 0.95),</w:t>
      </w:r>
      <w:r>
        <w:t xml:space="preserve"> </w:t>
      </w:r>
      <w:r>
        <w:t xml:space="preserve">empirical accuracy sits</w:t>
      </w:r>
      <w:r>
        <w:t xml:space="preserve"> </w:t>
      </w:r>
      <w:r>
        <w:rPr>
          <w:i/>
          <w:iCs/>
        </w:rPr>
        <w:t xml:space="preserve">above</w:t>
      </w:r>
      <w:r>
        <w:t xml:space="preserve"> </w:t>
      </w:r>
      <w:r>
        <w:t xml:space="preserve">the diagonal: the model is right more often than it</w:t>
      </w:r>
      <w:r>
        <w:t xml:space="preserve"> </w:t>
      </w:r>
      <w:r>
        <w:t xml:space="preserve">claims. This is the safe direction to be wrong in for financial data, but it has a cost:</w:t>
      </w:r>
      <w:r>
        <w:t xml:space="preserve"> </w:t>
      </w:r>
      <w:r>
        <w:t xml:space="preserve">it routes more documents to human review than necessary.</w:t>
      </w:r>
    </w:p>
    <w:p>
      <w:pPr>
        <w:pStyle w:val="CaptionedFigure"/>
      </w:pPr>
      <w:r>
        <w:drawing>
          <wp:inline>
            <wp:extent cx="3657600" cy="2557324"/>
            <wp:effectExtent b="0" l="0" r="0" t="0"/>
            <wp:docPr descr="Reliability diagram" title="" id="69" name="Picture"/>
            <a:graphic>
              <a:graphicData uri="http://schemas.openxmlformats.org/drawingml/2006/picture">
                <pic:pic>
                  <pic:nvPicPr>
                    <pic:cNvPr descr="/Users/agentilt/github/OneLPMVP/capstone/deliverable-3-pipeline-analysis/figures/reliability_diagram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5573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Reliability diagram</w:t>
      </w:r>
    </w:p>
    <w:bookmarkEnd w:id="71"/>
    <w:bookmarkStart w:id="72" w:name="the-confidently-wrong-tail"/>
    <w:p>
      <w:pPr>
        <w:pStyle w:val="Heading3"/>
      </w:pPr>
      <w:r>
        <w:t xml:space="preserve">2.2 The confidently-wrong tail</w:t>
      </w:r>
    </w:p>
    <w:p>
      <w:pPr>
        <w:pStyle w:val="FirstParagraph"/>
      </w:pPr>
      <w:r>
        <w:t xml:space="preserve">Conservatism is not the whole story. A small cohort of fields are</w:t>
      </w:r>
      <w:r>
        <w:t xml:space="preserve"> </w:t>
      </w:r>
      <w:r>
        <w:rPr>
          <w:b/>
          <w:bCs/>
        </w:rPr>
        <w:t xml:space="preserve">wrong but reported</w:t>
      </w:r>
      <w:r>
        <w:rPr>
          <w:b/>
          <w:bCs/>
        </w:rPr>
        <w:t xml:space="preserve"> </w:t>
      </w:r>
      <w:r>
        <w:rPr>
          <w:b/>
          <w:bCs/>
        </w:rPr>
        <w:t xml:space="preserve">with high confidence</w:t>
      </w:r>
      <w:r>
        <w:t xml:space="preserve"> </w:t>
      </w:r>
      <w:r>
        <w:t xml:space="preserve">(the ~0.75 bin sits well below the diagonal at ~0.55 accuracy).</w:t>
      </w:r>
      <w:r>
        <w:t xml:space="preserve"> </w:t>
      </w:r>
      <w:r>
        <w:t xml:space="preserve">These are the dangerous cases — errors that look trustworthy — and they are precisely</w:t>
      </w:r>
      <w:r>
        <w:t xml:space="preserve"> </w:t>
      </w:r>
      <w:r>
        <w:t xml:space="preserve">what the per-type confidence thresholds and review queue exist to catch.</w:t>
      </w:r>
    </w:p>
    <w:bookmarkEnd w:id="72"/>
    <w:bookmarkStart w:id="73" w:name="calibration-by-field-category"/>
    <w:p>
      <w:pPr>
        <w:pStyle w:val="Heading3"/>
      </w:pPr>
      <w:r>
        <w:t xml:space="preserve">2.3 Calibration by field category</w:t>
      </w:r>
    </w:p>
    <w:p>
      <w:pPr>
        <w:pStyle w:val="FirstParagraph"/>
      </w:pPr>
      <w:r>
        <w:t xml:space="preserve">Calibration is not uniform. Structured categories the model handles near-perfectly</w:t>
      </w:r>
      <w:r>
        <w:t xml:space="preserve"> </w:t>
      </w:r>
      <w:r>
        <w:t xml:space="preserve">(dates, table-derived fields, monetary values) are the</w:t>
      </w:r>
      <w:r>
        <w:t xml:space="preserve"> </w:t>
      </w:r>
      <w:r>
        <w:rPr>
          <w:b/>
          <w:bCs/>
        </w:rPr>
        <w:t xml:space="preserve">most under-confident</w:t>
      </w:r>
      <w:r>
        <w:t xml:space="preserve"> </w:t>
      </w:r>
      <w:r>
        <w:t xml:space="preserve">— the</w:t>
      </w:r>
      <w:r>
        <w:t xml:space="preserve"> </w:t>
      </w:r>
      <w:r>
        <w:t xml:space="preserve">model is ~6–9 points too humble exactly where it is most reliable: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 category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 confidence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Actual accuracy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Gap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−8.6 pts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Table-derived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−8.1 pts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Monetary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−5.8 pts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Narrative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−3.0 pts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−2.3 pts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+1.6 pts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</w:tr>
    </w:tbl>
    <w:p>
      <w:pPr>
        <w:pStyle w:val="BodyText"/>
      </w:pPr>
      <w:r>
        <w:t xml:space="preserve">Only</w:t>
      </w:r>
      <w:r>
        <w:t xml:space="preserve"> </w:t>
      </w:r>
      <w:r>
        <w:rPr>
          <w:b/>
          <w:bCs/>
        </w:rPr>
        <w:t xml:space="preserve">enum</w:t>
      </w:r>
      <w:r>
        <w:t xml:space="preserve"> </w:t>
      </w:r>
      <w:r>
        <w:t xml:space="preserve">fields (e.g. distribution-type classification) are mildly</w:t>
      </w:r>
      <w:r>
        <w:t xml:space="preserve"> </w:t>
      </w:r>
      <w:r>
        <w:rPr>
          <w:i/>
          <w:iCs/>
        </w:rPr>
        <w:t xml:space="preserve">over</w:t>
      </w:r>
      <w:r>
        <w:t xml:space="preserve">-confident.</w:t>
      </w:r>
    </w:p>
    <w:bookmarkEnd w:id="73"/>
    <w:bookmarkStart w:id="77" w:name="X34ed96198f80c2be2f73c0b80e6248b365045e9"/>
    <w:p>
      <w:pPr>
        <w:pStyle w:val="Heading3"/>
      </w:pPr>
      <w:r>
        <w:t xml:space="preserve">2.4 Implication: thresholds can be safely relaxed</w:t>
      </w:r>
    </w:p>
    <w:p>
      <w:pPr>
        <w:pStyle w:val="FirstParagraph"/>
      </w:pPr>
      <w:r>
        <w:t xml:space="preserve">Because confidence under-states accuracy, the per-type auto-apply thresholds</w:t>
      </w:r>
      <w:r>
        <w:t xml:space="preserve"> </w:t>
      </w:r>
      <w:r>
        <w:t xml:space="preserve">(</w:t>
      </w:r>
      <w:r>
        <w:rPr>
          <w:rStyle w:val="VerbatimChar"/>
        </w:rPr>
        <w:t xml:space="preserve">router.ts:82-106</w:t>
      </w:r>
      <w:r>
        <w:t xml:space="preserve">, 0.70–0.95) are leaving auto-apply capacity on the table. The</w:t>
      </w:r>
      <w:r>
        <w:t xml:space="preserve"> </w:t>
      </w:r>
      <w:r>
        <w:t xml:space="preserve">operating curve quantifies the trade-off: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Auto-apply 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Error leakage (wrong fields auto-applied)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1.3%</w:t>
            </w:r>
          </w:p>
        </w:tc>
      </w:tr>
    </w:tbl>
    <w:p>
      <w:pPr>
        <w:pStyle w:val="BodyText"/>
      </w:pPr>
      <w:r>
        <w:t xml:space="preserve">The current</w:t>
      </w:r>
      <w:r>
        <w:t xml:space="preserve"> </w:t>
      </w:r>
      <w:r>
        <w:rPr>
          <w:b/>
          <w:bCs/>
        </w:rPr>
        <w:t xml:space="preserve">0.85 threshold for capital calls / distributions</w:t>
      </w:r>
      <w:r>
        <w:t xml:space="preserve"> </w:t>
      </w:r>
      <w:r>
        <w:t xml:space="preserve">auto-applies 90% of</w:t>
      </w:r>
      <w:r>
        <w:t xml:space="preserve"> </w:t>
      </w:r>
      <w:r>
        <w:t xml:space="preserve">fields at 1.9% leakage; the</w:t>
      </w:r>
      <w:r>
        <w:t xml:space="preserve"> </w:t>
      </w:r>
      <w:r>
        <w:rPr>
          <w:b/>
          <w:bCs/>
        </w:rPr>
        <w:t xml:space="preserve">0.80 threshold for reports</w:t>
      </w:r>
      <w:r>
        <w:t xml:space="preserve"> </w:t>
      </w:r>
      <w:r>
        <w:t xml:space="preserve">auto-applies 98% at 2.4%.</w:t>
      </w:r>
      <w:r>
        <w:t xml:space="preserve"> </w:t>
      </w:r>
      <w:r>
        <w:t xml:space="preserve">Given the conservative calibration, these are defensible: raising thresholds cuts leakage</w:t>
      </w:r>
      <w:r>
        <w:t xml:space="preserve"> </w:t>
      </w:r>
      <w:r>
        <w:t xml:space="preserve">into fund records at a steep cost in review burden. The per-type differentiation (0.85</w:t>
      </w:r>
      <w:r>
        <w:t xml:space="preserve"> </w:t>
      </w:r>
      <w:r>
        <w:t xml:space="preserve">for financial-risk documents, 0.70–0.80 for reports) is the right shape.</w:t>
      </w:r>
    </w:p>
    <w:p>
      <w:pPr>
        <w:pStyle w:val="CaptionedFigure"/>
      </w:pPr>
      <w:r>
        <w:drawing>
          <wp:inline>
            <wp:extent cx="3657600" cy="2420516"/>
            <wp:effectExtent b="0" l="0" r="0" t="0"/>
            <wp:docPr descr="Threshold operating curve" title="" id="75" name="Picture"/>
            <a:graphic>
              <a:graphicData uri="http://schemas.openxmlformats.org/drawingml/2006/picture">
                <pic:pic>
                  <pic:nvPicPr>
                    <pic:cNvPr descr="/Users/agentilt/github/OneLPMVP/capstone/deliverable-3-pipeline-analysis/figures/threshold_operating_curve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4205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Threshold operating curve</w:t>
      </w:r>
    </w:p>
    <w:bookmarkEnd w:id="77"/>
    <w:bookmarkEnd w:id="78"/>
    <w:bookmarkStart w:id="82" w:name="end-to-end-processing-latency-metric-3"/>
    <w:p>
      <w:pPr>
        <w:pStyle w:val="Heading2"/>
      </w:pPr>
      <w:r>
        <w:t xml:space="preserve">3. End-to-end processing latency (Metric 3)</w:t>
      </w:r>
    </w:p>
    <w:p>
      <w:pPr>
        <w:pStyle w:val="FirstParagraph"/>
      </w:pPr>
      <w:r>
        <w:t xml:space="preserve">Per-stage timings across the 54 documents (detection → parallel Document AI + LLM</w:t>
      </w:r>
      <w:r>
        <w:t xml:space="preserve"> </w:t>
      </w:r>
      <w:r>
        <w:t xml:space="preserve">extraction → merge → validation), excluding the optional summarization stage and queue</w:t>
      </w:r>
      <w:r>
        <w:t xml:space="preserve"> </w:t>
      </w:r>
      <w:r>
        <w:t xml:space="preserve">wait: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Latency metric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P50 (median)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23.9 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&lt; 30 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P95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29.4 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&lt; 90 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</w:t>
            </w:r>
          </w:p>
        </w:tc>
      </w:tr>
    </w:tbl>
    <w:p>
      <w:pPr>
        <w:pStyle w:val="BodyText"/>
      </w:pPr>
      <w:r>
        <w:t xml:space="preserve">Stage breakdown (mean): detection</w:t>
      </w:r>
      <w:r>
        <w:t xml:space="preserve"> </w:t>
      </w:r>
      <w:r>
        <w:rPr>
          <w:b/>
          <w:bCs/>
        </w:rPr>
        <w:t xml:space="preserve">2.2 s</w:t>
      </w:r>
      <w:r>
        <w:t xml:space="preserve">, extraction (parallel)</w:t>
      </w:r>
      <w:r>
        <w:t xml:space="preserve"> </w:t>
      </w:r>
      <w:r>
        <w:rPr>
          <w:b/>
          <w:bCs/>
        </w:rPr>
        <w:t xml:space="preserve">18.9 s</w:t>
      </w:r>
      <w:r>
        <w:t xml:space="preserve">, merge</w:t>
      </w:r>
      <w:r>
        <w:t xml:space="preserve"> </w:t>
      </w:r>
      <w:r>
        <w:rPr>
          <w:b/>
          <w:bCs/>
        </w:rPr>
        <w:t xml:space="preserve">1.3 s</w:t>
      </w:r>
      <w:r>
        <w:t xml:space="preserve">, validation</w:t>
      </w:r>
      <w:r>
        <w:t xml:space="preserve"> </w:t>
      </w:r>
      <w:r>
        <w:rPr>
          <w:b/>
          <w:bCs/>
        </w:rPr>
        <w:t xml:space="preserve">0.8 s</w:t>
      </w:r>
      <w:r>
        <w:t xml:space="preserve">. Extraction dominates the budget — and because Document</w:t>
      </w:r>
      <w:r>
        <w:t xml:space="preserve"> </w:t>
      </w:r>
      <w:r>
        <w:t xml:space="preserve">AI and the LLM run</w:t>
      </w:r>
      <w:r>
        <w:t xml:space="preserve"> </w:t>
      </w:r>
      <w:r>
        <w:rPr>
          <w:b/>
          <w:bCs/>
        </w:rPr>
        <w:t xml:space="preserve">in parallel</w:t>
      </w:r>
      <w:r>
        <w:t xml:space="preserve">, the extraction cost is the</w:t>
      </w:r>
      <w:r>
        <w:t xml:space="preserve"> </w:t>
      </w:r>
      <w:r>
        <w:rPr>
          <w:i/>
          <w:iCs/>
        </w:rPr>
        <w:t xml:space="preserve">slower</w:t>
      </w:r>
      <w:r>
        <w:t xml:space="preserve"> </w:t>
      </w:r>
      <w:r>
        <w:t xml:space="preserve">of the two, not</w:t>
      </w:r>
      <w:r>
        <w:t xml:space="preserve"> </w:t>
      </w:r>
      <w:r>
        <w:t xml:space="preserve">their sum, which is the single most important latency design choice. Both targets are met</w:t>
      </w:r>
      <w:r>
        <w:t xml:space="preserve"> </w:t>
      </w:r>
      <w:r>
        <w:t xml:space="preserve">for standard (&lt;20-page) documents.</w:t>
      </w:r>
    </w:p>
    <w:p>
      <w:pPr>
        <w:pStyle w:val="CaptionedFigure"/>
      </w:pPr>
      <w:r>
        <w:drawing>
          <wp:inline>
            <wp:extent cx="3657600" cy="1815902"/>
            <wp:effectExtent b="0" l="0" r="0" t="0"/>
            <wp:docPr descr="Latency breakdown" title="" id="80" name="Picture"/>
            <a:graphic>
              <a:graphicData uri="http://schemas.openxmlformats.org/drawingml/2006/picture">
                <pic:pic>
                  <pic:nvPicPr>
                    <pic:cNvPr descr="/Users/agentilt/github/OneLPMVP/capstone/deliverable-3-pipeline-analysis/figures/latency_breakdown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18159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Latency breakdown</w:t>
      </w:r>
    </w:p>
    <w:p>
      <w:pPr>
        <w:pStyle w:val="BlockText"/>
      </w:pPr>
      <w:r>
        <w:t xml:space="preserve">The architecture doc cites a</w:t>
      </w:r>
      <w:r>
        <w:t xml:space="preserve"> </w:t>
      </w:r>
      <w:r>
        <w:t xml:space="preserve">“typical 2–5 minute”</w:t>
      </w:r>
      <w:r>
        <w:t xml:space="preserve"> </w:t>
      </w:r>
      <w:r>
        <w:t xml:space="preserve">end-to-end time; that figure includes</w:t>
      </w:r>
      <w:r>
        <w:t xml:space="preserve"> </w:t>
      </w:r>
      <w:r>
        <w:t xml:space="preserve">the async Cloud Tasks</w:t>
      </w:r>
      <w:r>
        <w:t xml:space="preserve"> </w:t>
      </w:r>
      <w:r>
        <w:rPr>
          <w:b/>
          <w:bCs/>
        </w:rPr>
        <w:t xml:space="preserve">queue wait</w:t>
      </w:r>
      <w:r>
        <w:t xml:space="preserve"> </w:t>
      </w:r>
      <w:r>
        <w:t xml:space="preserve">and the optional</w:t>
      </w:r>
      <w:r>
        <w:t xml:space="preserve"> </w:t>
      </w:r>
      <w:r>
        <w:rPr>
          <w:b/>
          <w:bCs/>
        </w:rPr>
        <w:t xml:space="preserve">summarization</w:t>
      </w:r>
      <w:r>
        <w:t xml:space="preserve"> </w:t>
      </w:r>
      <w:r>
        <w:t xml:space="preserve">stage (60 s</w:t>
      </w:r>
      <w:r>
        <w:t xml:space="preserve"> </w:t>
      </w:r>
      <w:r>
        <w:t xml:space="preserve">timeout). The Metric-3 target measures</w:t>
      </w:r>
      <w:r>
        <w:t xml:space="preserve"> </w:t>
      </w:r>
      <w:r>
        <w:rPr>
          <w:i/>
          <w:iCs/>
        </w:rPr>
        <w:t xml:space="preserve">upload → structured data available</w:t>
      </w:r>
      <w:r>
        <w:t xml:space="preserve">, i.e. the</w:t>
      </w:r>
      <w:r>
        <w:t xml:space="preserve"> </w:t>
      </w:r>
      <w:r>
        <w:t xml:space="preserve">compute path measured here.</w:t>
      </w:r>
    </w:p>
    <w:bookmarkEnd w:id="82"/>
    <w:bookmarkStart w:id="83" w:name="limitations-private-markets-reality"/>
    <w:p>
      <w:pPr>
        <w:pStyle w:val="Heading2"/>
      </w:pPr>
      <w:r>
        <w:t xml:space="preserve">4. Limitations (private-markets reality)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Data sparsity &amp; cold-start.</w:t>
      </w:r>
      <w:r>
        <w:t xml:space="preserve"> </w:t>
      </w:r>
      <w:r>
        <w:t xml:space="preserve">A new fund has no NAV/cash-flow history, so the Monte</w:t>
      </w:r>
      <w:r>
        <w:t xml:space="preserve"> </w:t>
      </w:r>
      <w:r>
        <w:t xml:space="preserve">Carlo engine falls back to age-band deployment/distribution rates</w:t>
      </w:r>
      <w:r>
        <w:t xml:space="preserve"> </w:t>
      </w:r>
      <w:r>
        <w:t xml:space="preserve">(</w:t>
      </w:r>
      <w:r>
        <w:rPr>
          <w:rStyle w:val="VerbatimChar"/>
        </w:rPr>
        <w:t xml:space="preserve">historical.ts:290-345</w:t>
      </w:r>
      <w:r>
        <w:t xml:space="preserve">) and the J-curve profile templates — forecasts are</w:t>
      </w:r>
      <w:r>
        <w:t xml:space="preserve"> </w:t>
      </w:r>
      <w:r>
        <w:t xml:space="preserve">profile-driven until ~8 quarters of history accrue. The proposal’s MAE target is</w:t>
      </w:r>
      <w:r>
        <w:t xml:space="preserve"> </w:t>
      </w:r>
      <w:r>
        <w:t xml:space="preserve">explicitly scoped to</w:t>
      </w:r>
      <w:r>
        <w:t xml:space="preserve"> </w:t>
      </w:r>
      <w:r>
        <w:t xml:space="preserve">“funds with 8+ quarters of history”</w:t>
      </w:r>
      <w:r>
        <w:t xml:space="preserve"> </w:t>
      </w:r>
      <w:r>
        <w:t xml:space="preserve">for this reason.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GP-format generalization.</w:t>
      </w:r>
      <w:r>
        <w:t xml:space="preserve"> </w:t>
      </w:r>
      <w:r>
        <w:t xml:space="preserve">Extraction accuracy is measured across five format tags,</w:t>
      </w:r>
      <w:r>
        <w:t xml:space="preserve"> </w:t>
      </w:r>
      <w:r>
        <w:t xml:space="preserve">but the long tail of bespoke GP layouts (scanned legacy PDFs, non-standard tables) is</w:t>
      </w:r>
      <w:r>
        <w:t xml:space="preserve"> </w:t>
      </w:r>
      <w:r>
        <w:t xml:space="preserve">where production accuracy will be lost; the labeled set should grow toward those.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Correlation model fragility (from Deliverable 2).</w:t>
      </w:r>
      <w:r>
        <w:t xml:space="preserve"> </w:t>
      </w:r>
      <w:r>
        <w:t xml:space="preserve">On realistic multi-fund books the</w:t>
      </w:r>
      <w:r>
        <w:t xml:space="preserve"> </w:t>
      </w:r>
      <w:r>
        <w:t xml:space="preserve">per-fund correlation matrix is singular and the engine silently falls back to</w:t>
      </w:r>
      <w:r>
        <w:t xml:space="preserve"> </w:t>
      </w:r>
      <w:r>
        <w:t xml:space="preserve">independent simulation (</w:t>
      </w:r>
      <w:r>
        <w:rPr>
          <w:rStyle w:val="VerbatimChar"/>
        </w:rPr>
        <w:t xml:space="preserve">monte-carlo.ts:336-341</w:t>
      </w:r>
      <w:r>
        <w:t xml:space="preserve">). Fix: shrink/regularize the matrix or</w:t>
      </w:r>
      <w:r>
        <w:t xml:space="preserve"> </w:t>
      </w:r>
      <w:r>
        <w:t xml:space="preserve">model correlation at the asset-class level. Until then, headline forecasts understate</w:t>
      </w:r>
      <w:r>
        <w:t xml:space="preserve"> </w:t>
      </w:r>
      <w:r>
        <w:t xml:space="preserve">tail co-movement.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Calibration is conservative, not perfect (ECE 0.056).</w:t>
      </w:r>
      <w:r>
        <w:t xml:space="preserve"> </w:t>
      </w:r>
      <w:r>
        <w:t xml:space="preserve">Under-confidence wastes</w:t>
      </w:r>
      <w:r>
        <w:t xml:space="preserve"> </w:t>
      </w:r>
      <w:r>
        <w:t xml:space="preserve">review capacity; a post-hoc calibration map (temperature/isotonic) on real labeled</w:t>
      </w:r>
      <w:r>
        <w:t xml:space="preserve"> </w:t>
      </w:r>
      <w:r>
        <w:t xml:space="preserve">output would let thresholds auto-apply more without raising leakage.</w:t>
      </w:r>
    </w:p>
    <w:bookmarkEnd w:id="83"/>
    <w:bookmarkStart w:id="84" w:name="Xec2b8c0397d122dd46a75e12bb6e760d137b633"/>
    <w:p>
      <w:pPr>
        <w:pStyle w:val="Heading2"/>
      </w:pPr>
      <w:r>
        <w:t xml:space="preserve">5. Key trade-off findings &amp; production implications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Trade-off</w:t>
            </w:r>
          </w:p>
        </w:tc>
        <w:tc>
          <w:tcPr/>
          <w:p>
            <w:pPr>
              <w:pStyle w:val="Compact"/>
            </w:pPr>
            <w:r>
              <w:t xml:space="preserve">Finding</w:t>
            </w:r>
          </w:p>
        </w:tc>
        <w:tc>
          <w:tcPr/>
          <w:p>
            <w:pPr>
              <w:pStyle w:val="Compact"/>
            </w:pPr>
            <w:r>
              <w:t xml:space="preserve">Production implication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Extraction engine (D1)</w:t>
            </w:r>
          </w:p>
        </w:tc>
        <w:tc>
          <w:tcPr/>
          <w:p>
            <w:pPr>
              <w:pStyle w:val="Compact"/>
            </w:pPr>
            <w:r>
              <w:t xml:space="preserve">Hybrid is the only config meeting both F1 bars</w:t>
            </w:r>
          </w:p>
        </w:tc>
        <w:tc>
          <w:tcPr/>
          <w:p>
            <w:pPr>
              <w:pStyle w:val="Compact"/>
            </w:pPr>
            <w:r>
              <w:t xml:space="preserve">Keep hybrid for financial docs; LLM-only is acceptable for narrative-only types to save latency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Auto-apply threshold</w:t>
            </w:r>
          </w:p>
        </w:tc>
        <w:tc>
          <w:tcPr/>
          <w:p>
            <w:pPr>
              <w:pStyle w:val="Compact"/>
            </w:pPr>
            <w:r>
              <w:t xml:space="preserve">Conservative calibration → low leakage but high review burden</w:t>
            </w:r>
          </w:p>
        </w:tc>
        <w:tc>
          <w:tcPr/>
          <w:p>
            <w:pPr>
              <w:pStyle w:val="Compact"/>
            </w:pPr>
            <w:r>
              <w:t xml:space="preserve">Recalibrate confidence, then consider lowering report thresholds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Simulation engine (D2)</w:t>
            </w:r>
          </w:p>
        </w:tc>
        <w:tc>
          <w:tcPr/>
          <w:p>
            <w:pPr>
              <w:pStyle w:val="Compact"/>
            </w:pPr>
            <w:r>
              <w:t xml:space="preserve">Monte Carlo captures tail risk; MAE 6.3%</w:t>
            </w:r>
          </w:p>
        </w:tc>
        <w:tc>
          <w:tcPr/>
          <w:p>
            <w:pPr>
              <w:pStyle w:val="Compact"/>
            </w:pPr>
            <w:r>
              <w:t xml:space="preserve">Justified vs closed-form; widen P10/P90 (65% coverage of 80% band)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Correlation model (D2)</w:t>
            </w:r>
          </w:p>
        </w:tc>
        <w:tc>
          <w:tcPr/>
          <w:p>
            <w:pPr>
              <w:pStyle w:val="Compact"/>
            </w:pPr>
            <w:r>
              <w:t xml:space="preserve">Engages only when asset classes are distinct</w:t>
            </w:r>
          </w:p>
        </w:tc>
        <w:tc>
          <w:tcPr/>
          <w:p>
            <w:pPr>
              <w:pStyle w:val="Compact"/>
            </w:pPr>
            <w:r>
              <w:t xml:space="preserve">Regularize matrix before relying on correlated 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Latency</w:t>
            </w:r>
          </w:p>
        </w:tc>
        <w:tc>
          <w:tcPr/>
          <w:p>
            <w:pPr>
              <w:pStyle w:val="Compact"/>
            </w:pPr>
            <w:r>
              <w:t xml:space="preserve">Parallel extraction meets P50&lt;30s / P95&lt;90s</w:t>
            </w:r>
          </w:p>
        </w:tc>
        <w:tc>
          <w:tcPr/>
          <w:p>
            <w:pPr>
              <w:pStyle w:val="Compact"/>
            </w:pPr>
            <w:r>
              <w:t xml:space="preserve">Preserve parallelism; summarization stays async/optional</w:t>
            </w:r>
          </w:p>
        </w:tc>
      </w:tr>
    </w:tbl>
    <w:bookmarkEnd w:id="84"/>
    <w:bookmarkStart w:id="85" w:name="reproducibility-3"/>
    <w:p>
      <w:pPr>
        <w:pStyle w:val="Heading2"/>
      </w:pPr>
      <w:r>
        <w:t xml:space="preserve">6. Reproducibility</w:t>
      </w:r>
    </w:p>
    <w:p>
      <w:pPr>
        <w:pStyle w:val="SourceCode"/>
      </w:pPr>
      <w:r>
        <w:rPr>
          <w:rStyle w:val="CommentTok"/>
        </w:rPr>
        <w:t xml:space="preserve"># from capstone/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deliverable-3-pipeline-analysis/run_analysis.py</w:t>
      </w:r>
    </w:p>
    <w:p>
      <w:pPr>
        <w:pStyle w:val="FirstParagraph"/>
      </w:pPr>
      <w:r>
        <w:t xml:space="preserve">Outputs:</w:t>
      </w:r>
      <w:r>
        <w:t xml:space="preserve"> </w:t>
      </w:r>
      <w:r>
        <w:rPr>
          <w:rStyle w:val="VerbatimChar"/>
        </w:rPr>
        <w:t xml:space="preserve">results/pipeline_analysis.json</w:t>
      </w:r>
      <w:r>
        <w:t xml:space="preserve">, five figures under</w:t>
      </w:r>
      <w:r>
        <w:t xml:space="preserve"> </w:t>
      </w:r>
      <w:r>
        <w:rPr>
          <w:rStyle w:val="VerbatimChar"/>
        </w:rPr>
        <w:t xml:space="preserve">figures/</w:t>
      </w:r>
      <w:r>
        <w:t xml:space="preserve">. Calibration +</w:t>
      </w:r>
      <w:r>
        <w:t xml:space="preserve"> </w:t>
      </w:r>
      <w:r>
        <w:t xml:space="preserve">latency code:</w:t>
      </w:r>
      <w:r>
        <w:t xml:space="preserve"> </w:t>
      </w:r>
      <w:r>
        <w:rPr>
          <w:rStyle w:val="VerbatimChar"/>
        </w:rPr>
        <w:t xml:space="preserve">run_analysis.py</w:t>
      </w:r>
      <w:r>
        <w:t xml:space="preserve">; confidence/latency records:</w:t>
      </w:r>
      <w:r>
        <w:t xml:space="preserve"> </w:t>
      </w:r>
      <w:r>
        <w:rPr>
          <w:rStyle w:val="VerbatimChar"/>
        </w:rPr>
        <w:t xml:space="preserve">data/extraction/</w:t>
      </w:r>
      <w:r>
        <w:t xml:space="preserve">.</w:t>
      </w:r>
    </w:p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240" w:lineRule="auto"/>
    </w:pPr>
    <w:rPr>
      <w:rFonts w:ascii="Times New Roman" w:cs="Times New Roman" w:hAnsi="Times New Roman"/>
      <w:b w:val="0"/>
      <w:color w:val="000000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 w:line="240" w:lineRule="auto"/>
    </w:pPr>
    <w:rPr>
      <w:rFonts w:ascii="Times New Roman" w:cs="Times New Roman" w:hAnsi="Times New Roman"/>
      <w:b w:val="0"/>
      <w:color w:val="000000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line="240" w:lineRule="auto"/>
    </w:pPr>
    <w:rPr>
      <w:rFonts w:ascii="Times New Roman" w:cs="Times New Roman" w:hAnsi="Times New Roman"/>
      <w:color w:val="000000"/>
      <w:sz w:val="24"/>
    </w:rPr>
  </w:style>
  <w:style w:customStyle="1" w:styleId="Compact" w:type="paragraph">
    <w:name w:val="Compact"/>
    <w:basedOn w:val="BodyText"/>
    <w:qFormat/>
    <w:pPr>
      <w:spacing w:after="36" w:before="36" w:line="240" w:lineRule="auto"/>
    </w:pPr>
    <w:rPr>
      <w:rFonts w:ascii="Times New Roman" w:cs="Times New Roman" w:hAnsi="Times New Roman"/>
      <w:color w:val="000000"/>
      <w:sz w:val="24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asciiTheme="majorHAnsi" w:cs="Times New Roman" w:cstheme="majorBidi" w:eastAsiaTheme="majorEastAsia" w:hAnsi="Times New Roman" w:hAnsiTheme="majorHAnsi"/>
      <w:b/>
      <w:color w:val="000000"/>
      <w:sz w:val="3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asciiTheme="majorHAnsi" w:cs="Times New Roman" w:cstheme="majorBidi" w:eastAsiaTheme="majorEastAsia" w:hAnsi="Times New Roman" w:hAnsiTheme="majorHAnsi"/>
      <w:color w:val="000000"/>
      <w:sz w:val="24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line="240" w:lineRule="auto"/>
    </w:pPr>
    <w:rPr>
      <w:rFonts w:ascii="Times New Roman" w:cs="Times New Roman" w:cstheme="majorBidi" w:eastAsiaTheme="majorEastAsia" w:hAnsi="Times New Roman"/>
      <w:color w:val="000000"/>
      <w:spacing w:val="15"/>
      <w:sz w:val="24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cs="Times New Roman" w:cstheme="majorBidi" w:eastAsiaTheme="majorEastAsia" w:hAnsi="Times New Roman"/>
      <w:color w:val="000000"/>
      <w:spacing w:val="15"/>
      <w:sz w:val="24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  <w:spacing w:line="240" w:lineRule="auto"/>
    </w:pPr>
    <w:rPr>
      <w:rFonts w:ascii="Times New Roman" w:cs="Times New Roman" w:hAnsi="Times New Roman"/>
      <w:color w:val="000000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  <w:spacing w:line="240" w:lineRule="auto"/>
    </w:pPr>
    <w:rPr>
      <w:rFonts w:ascii="Times New Roman" w:cs="Times New Roman" w:hAnsi="Times New Roman"/>
      <w:color w:val="000000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 w:line="240" w:lineRule="auto"/>
      <w:jc w:val="center"/>
    </w:pPr>
    <w:rPr>
      <w:rFonts w:ascii="Times New Roman" w:cs="Times New Roman" w:hAnsi="Times New Roman"/>
      <w:b/>
      <w:color w:val="000000"/>
      <w:sz w:val="24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 w:line="240" w:lineRule="auto"/>
    </w:pPr>
    <w:rPr>
      <w:rFonts w:ascii="Times New Roman" w:cs="Times New Roman" w:hAnsi="Times New Roman"/>
      <w:color w:val="000000"/>
      <w:sz w:val="24"/>
      <w:szCs w:val="20"/>
    </w:rPr>
  </w:style>
  <w:style w:styleId="Bibliography" w:type="paragraph">
    <w:name w:val="Bibliography"/>
    <w:basedOn w:val="Normal"/>
    <w:next w:val="Bibliography"/>
    <w:qFormat/>
    <w:pPr>
      <w:spacing w:line="240" w:lineRule="auto"/>
    </w:pPr>
    <w:rPr>
      <w:rFonts w:ascii="Times New Roman" w:cs="Times New Roman" w:hAnsi="Times New Roman"/>
      <w:color w:val="000000"/>
      <w:sz w:val="24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 w:line="240" w:lineRule="auto"/>
      <w:outlineLvl w:val="0"/>
    </w:pPr>
    <w:rPr>
      <w:rFonts w:ascii="Times New Roman" w:asciiTheme="majorHAnsi" w:cs="Times New Roman" w:cstheme="majorBidi" w:eastAsiaTheme="majorEastAsia" w:hAnsi="Times New Roman" w:hAnsiTheme="majorHAnsi"/>
      <w:b/>
      <w:color w:val="000000"/>
      <w:sz w:val="3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 w:line="240" w:lineRule="auto"/>
      <w:outlineLvl w:val="1"/>
    </w:pPr>
    <w:rPr>
      <w:rFonts w:ascii="Times New Roman" w:asciiTheme="majorHAnsi" w:cs="Times New Roman" w:cstheme="majorBidi" w:eastAsiaTheme="majorEastAsia" w:hAnsi="Times New Roman" w:hAnsiTheme="majorHAnsi"/>
      <w:b/>
      <w:color w:val="000000"/>
      <w:sz w:val="26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 w:line="240" w:lineRule="auto"/>
      <w:outlineLvl w:val="2"/>
    </w:pPr>
    <w:rPr>
      <w:rFonts w:ascii="Times New Roman" w:cs="Times New Roman" w:cstheme="majorBidi" w:eastAsiaTheme="majorEastAsia" w:hAnsi="Times New Roman"/>
      <w:b/>
      <w:color w:val="000000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 w:line="240" w:lineRule="auto"/>
      <w:outlineLvl w:val="3"/>
    </w:pPr>
    <w:rPr>
      <w:rFonts w:ascii="Times New Roman" w:cs="Times New Roman" w:cstheme="majorBidi" w:eastAsiaTheme="majorEastAsia" w:hAnsi="Times New Roman"/>
      <w:i/>
      <w:iCs/>
      <w:color w:val="000000"/>
      <w:sz w:val="24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 w:line="240" w:lineRule="auto"/>
      <w:outlineLvl w:val="4"/>
    </w:pPr>
    <w:rPr>
      <w:rFonts w:ascii="Times New Roman" w:cs="Times New Roman" w:cstheme="majorBidi" w:eastAsiaTheme="majorEastAsia" w:hAnsi="Times New Roman"/>
      <w:color w:val="000000"/>
      <w:sz w:val="24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 w:line="240" w:lineRule="auto"/>
      <w:outlineLvl w:val="5"/>
    </w:pPr>
    <w:rPr>
      <w:rFonts w:ascii="Times New Roman" w:cs="Times New Roman" w:cstheme="majorBidi" w:eastAsiaTheme="majorEastAsia" w:hAnsi="Times New Roman"/>
      <w:i/>
      <w:iCs/>
      <w:color w:val="000000"/>
      <w:sz w:val="24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 w:line="240" w:lineRule="auto"/>
      <w:outlineLvl w:val="6"/>
    </w:pPr>
    <w:rPr>
      <w:rFonts w:ascii="Times New Roman" w:cs="Times New Roman" w:cstheme="majorBidi" w:eastAsiaTheme="majorEastAsia" w:hAnsi="Times New Roman"/>
      <w:color w:val="000000"/>
      <w:sz w:val="24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 w:line="240" w:lineRule="auto"/>
      <w:outlineLvl w:val="7"/>
    </w:pPr>
    <w:rPr>
      <w:rFonts w:ascii="Times New Roman" w:cs="Times New Roman" w:cstheme="majorBidi" w:eastAsiaTheme="majorEastAsia" w:hAnsi="Times New Roman"/>
      <w:i/>
      <w:iCs/>
      <w:color w:val="000000"/>
      <w:sz w:val="24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 w:line="240" w:lineRule="auto"/>
      <w:outlineLvl w:val="8"/>
    </w:pPr>
    <w:rPr>
      <w:rFonts w:ascii="Times New Roman" w:cs="Times New Roman" w:cstheme="majorBidi" w:eastAsiaTheme="majorEastAsia" w:hAnsi="Times New Roman"/>
      <w:color w:val="000000"/>
      <w:sz w:val="24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asciiTheme="majorHAnsi" w:cs="Times New Roman" w:cstheme="majorBidi" w:eastAsiaTheme="majorEastAsia" w:hAnsi="Times New Roman" w:hAnsiTheme="majorHAnsi"/>
      <w:color w:val="000000"/>
      <w:sz w:val="24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asciiTheme="majorHAnsi" w:cs="Times New Roman" w:cstheme="majorBidi" w:eastAsiaTheme="majorEastAsia" w:hAnsi="Times New Roman" w:hAnsiTheme="majorHAnsi"/>
      <w:color w:val="000000"/>
      <w:sz w:val="24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cs="Times New Roman" w:cstheme="majorBidi" w:eastAsiaTheme="majorEastAsia" w:hAnsi="Times New Roman"/>
      <w:color w:val="000000"/>
      <w:sz w:val="24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cs="Times New Roman" w:cstheme="majorBidi" w:eastAsiaTheme="majorEastAsia" w:hAnsi="Times New Roman"/>
      <w:i/>
      <w:iCs/>
      <w:color w:val="000000"/>
      <w:sz w:val="24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cs="Times New Roman" w:cstheme="majorBidi" w:eastAsiaTheme="majorEastAsia" w:hAnsi="Times New Roman"/>
      <w:color w:val="000000"/>
      <w:sz w:val="24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cs="Times New Roman" w:cstheme="majorBidi" w:eastAsiaTheme="majorEastAsia" w:hAnsi="Times New Roman"/>
      <w:i/>
      <w:iCs/>
      <w:color w:val="000000"/>
      <w:sz w:val="24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cs="Times New Roman" w:cstheme="majorBidi" w:eastAsiaTheme="majorEastAsia" w:hAnsi="Times New Roman"/>
      <w:color w:val="000000"/>
      <w:sz w:val="24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cs="Times New Roman" w:cstheme="majorBidi" w:eastAsiaTheme="majorEastAsia" w:hAnsi="Times New Roman"/>
      <w:i/>
      <w:iCs/>
      <w:color w:val="000000"/>
      <w:sz w:val="24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cs="Times New Roman" w:cstheme="majorBidi" w:eastAsiaTheme="majorEastAsia" w:hAnsi="Times New Roman"/>
      <w:color w:val="000000"/>
      <w:sz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 w:line="240" w:lineRule="auto"/>
      <w:ind w:firstLine="0" w:left="480" w:right="480"/>
    </w:pPr>
    <w:rPr>
      <w:rFonts w:ascii="Times New Roman" w:cs="Times New Roman" w:hAnsi="Times New Roman"/>
      <w:color w:val="000000"/>
      <w:sz w:val="24"/>
    </w:rPr>
  </w:style>
  <w:style w:styleId="FootnoteText" w:type="paragraph">
    <w:name w:val="Footnote Text"/>
    <w:basedOn w:val="Normal"/>
    <w:next w:val="FootnoteText"/>
    <w:uiPriority w:val="9"/>
    <w:unhideWhenUsed/>
    <w:qFormat/>
    <w:pPr>
      <w:spacing w:line="240" w:lineRule="auto"/>
    </w:pPr>
    <w:rPr>
      <w:rFonts w:ascii="Times New Roman" w:cs="Times New Roman" w:hAnsi="Times New Roman"/>
      <w:color w:val="000000"/>
      <w:sz w:val="24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 w:line="240" w:lineRule="auto"/>
      <w:ind w:firstLine="0" w:left="480" w:right="480"/>
    </w:pPr>
    <w:rPr>
      <w:rFonts w:ascii="Times New Roman" w:cs="Times New Roman" w:hAnsi="Times New Roman"/>
      <w:color w:val="000000"/>
      <w:sz w:val="24"/>
    </w:rPr>
  </w:style>
  <w:style w:default="1" w:styleId="DefaultParagraphFont" w:type="character">
    <w:name w:val="Default Paragraph Font"/>
    <w:semiHidden/>
    <w:unhideWhenUsed/>
    <w:rPr>
      <w:rFonts w:ascii="Times New Roman" w:cs="Times New Roman" w:hAnsi="Times New Roman"/>
      <w:color w:val="000000"/>
      <w:sz w:val="24"/>
    </w:rPr>
  </w:style>
  <w:style w:default="1" w:styleId="Table" w:type="table">
    <w:name w:val="Table"/>
    <w:basedOn w:val="TableNormal"/>
    <w:semiHidden/>
    <w:unhideWhenUsed/>
    <w:qFormat/>
    <w:pPr>
      <w:spacing w:line="240" w:lineRule="auto"/>
    </w:pPr>
    <w:rPr>
      <w:rFonts w:ascii="Times New Roman" w:cs="Times New Roman" w:hAnsi="Times New Roman"/>
      <w:color w:val="000000"/>
      <w:sz w:val="24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 w:line="240" w:lineRule="auto"/>
    </w:pPr>
    <w:rPr>
      <w:rFonts w:ascii="Times New Roman" w:cs="Times New Roman" w:hAnsi="Times New Roman"/>
      <w:b/>
      <w:color w:val="000000"/>
      <w:sz w:val="24"/>
    </w:rPr>
  </w:style>
  <w:style w:customStyle="1" w:styleId="Definition" w:type="paragraph">
    <w:name w:val="Definition"/>
    <w:basedOn w:val="Normal"/>
    <w:pPr>
      <w:spacing w:line="240" w:lineRule="auto"/>
    </w:pPr>
    <w:rPr>
      <w:rFonts w:ascii="Times New Roman" w:cs="Times New Roman" w:hAnsi="Times New Roman"/>
      <w:color w:val="000000"/>
      <w:sz w:val="24"/>
    </w:rPr>
  </w:style>
  <w:style w:styleId="Caption" w:type="paragraph">
    <w:name w:val="Caption"/>
    <w:basedOn w:val="Normal"/>
    <w:link w:val="BodyTextChar"/>
    <w:pPr>
      <w:spacing w:after="120" w:before="0" w:line="240" w:lineRule="auto"/>
    </w:pPr>
    <w:rPr>
      <w:rFonts w:ascii="Times New Roman" w:cs="Times New Roman" w:hAnsi="Times New Roman"/>
      <w:i/>
      <w:color w:val="000000"/>
      <w:sz w:val="24"/>
    </w:rPr>
  </w:style>
  <w:style w:customStyle="1" w:styleId="TableCaption" w:type="paragraph">
    <w:name w:val="Table Caption"/>
    <w:basedOn w:val="Caption"/>
    <w:pPr>
      <w:keepNext/>
      <w:spacing w:line="240" w:lineRule="auto"/>
    </w:pPr>
    <w:rPr>
      <w:rFonts w:ascii="Times New Roman" w:cs="Times New Roman" w:hAnsi="Times New Roman"/>
      <w:color w:val="000000"/>
      <w:sz w:val="24"/>
    </w:rPr>
  </w:style>
  <w:style w:customStyle="1" w:styleId="ImageCaption" w:type="paragraph">
    <w:name w:val="Image Caption"/>
    <w:basedOn w:val="Caption"/>
    <w:pPr>
      <w:spacing w:line="240" w:lineRule="auto"/>
    </w:pPr>
    <w:rPr>
      <w:rFonts w:ascii="Times New Roman" w:cs="Times New Roman" w:hAnsi="Times New Roman"/>
      <w:color w:val="000000"/>
      <w:sz w:val="24"/>
    </w:rPr>
  </w:style>
  <w:style w:customStyle="1" w:styleId="Figure" w:type="paragraph">
    <w:name w:val="Figure"/>
    <w:basedOn w:val="Normal"/>
    <w:pPr>
      <w:spacing w:line="240" w:lineRule="auto"/>
    </w:pPr>
    <w:rPr>
      <w:rFonts w:ascii="Times New Roman" w:cs="Times New Roman" w:hAnsi="Times New Roman"/>
      <w:color w:val="000000"/>
      <w:sz w:val="24"/>
    </w:rPr>
  </w:style>
  <w:style w:customStyle="1" w:styleId="CaptionedFigure" w:type="paragraph">
    <w:name w:val="Captioned Figure"/>
    <w:basedOn w:val="Figure"/>
    <w:pPr>
      <w:keepNext/>
      <w:spacing w:line="240" w:lineRule="auto"/>
    </w:pPr>
    <w:rPr>
      <w:rFonts w:ascii="Times New Roman" w:cs="Times New Roman" w:hAnsi="Times New Roman"/>
      <w:color w:val="000000"/>
      <w:sz w:val="24"/>
    </w:rPr>
  </w:style>
  <w:style w:customStyle="1" w:styleId="BodyTextChar" w:type="character">
    <w:name w:val="Body Text Char"/>
    <w:basedOn w:val="DefaultParagraphFont"/>
    <w:link w:val="BodyText"/>
    <w:rPr>
      <w:rFonts w:ascii="Times New Roman" w:cs="Times New Roman" w:hAnsi="Times New Roman"/>
      <w:color w:val="000000"/>
      <w:sz w:val="24"/>
    </w:rPr>
  </w:style>
  <w:style w:customStyle="1" w:styleId="VerbatimChar" w:type="character">
    <w:name w:val="Verbatim Char"/>
    <w:basedOn w:val="BodyTextChar"/>
    <w:rPr>
      <w:rFonts w:ascii="Times New Roman" w:cs="Times New Roman" w:hAnsi="Times New Roman"/>
      <w:color w:val="000000"/>
      <w:sz w:val="24"/>
    </w:rPr>
  </w:style>
  <w:style w:customStyle="1" w:styleId="SectionNumber" w:type="character">
    <w:name w:val="Section Number"/>
    <w:basedOn w:val="BodyTextChar"/>
    <w:rPr>
      <w:rFonts w:ascii="Times New Roman" w:cs="Times New Roman" w:hAnsi="Times New Roman"/>
      <w:color w:val="000000"/>
      <w:sz w:val="24"/>
    </w:rPr>
  </w:style>
  <w:style w:styleId="FootnoteReference" w:type="character">
    <w:name w:val="Footnote Reference"/>
    <w:basedOn w:val="BodyTextChar"/>
    <w:rPr>
      <w:rFonts w:ascii="Times New Roman" w:cs="Times New Roman" w:hAnsi="Times New Roman"/>
      <w:color w:val="000000"/>
      <w:sz w:val="24"/>
      <w:vertAlign w:val="superscript"/>
    </w:rPr>
  </w:style>
  <w:style w:styleId="Hyperlink" w:type="character">
    <w:name w:val="Hyperlink"/>
    <w:basedOn w:val="BodyTextChar"/>
    <w:rPr>
      <w:rFonts w:ascii="Times New Roman" w:cs="Times New Roman" w:hAnsi="Times New Roman"/>
      <w:color w:val="000000"/>
      <w:sz w:val="2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40" w:lineRule="auto"/>
      <w:outlineLvl w:val="9"/>
    </w:pPr>
    <w:rPr>
      <w:rFonts w:ascii="Times New Roman" w:asciiTheme="majorHAnsi" w:cs="Times New Roman" w:cstheme="majorBidi" w:eastAsiaTheme="majorEastAsia" w:hAnsi="Times New Roman" w:hAnsiTheme="majorHAnsi"/>
      <w:b w:val="0"/>
      <w:bCs w:val="0"/>
      <w:color w:val="000000"/>
      <w:sz w:val="24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" Target="media/rId28.png" /><Relationship Type="http://schemas.openxmlformats.org/officeDocument/2006/relationships/image" Id="rId23" Target="media/rId23.png" /><Relationship Type="http://schemas.openxmlformats.org/officeDocument/2006/relationships/image" Id="rId32" Target="media/rId32.png" /><Relationship Type="http://schemas.openxmlformats.org/officeDocument/2006/relationships/image" Id="rId48" Target="media/rId48.png" /><Relationship Type="http://schemas.openxmlformats.org/officeDocument/2006/relationships/image" Id="rId58" Target="media/rId58.png" /><Relationship Type="http://schemas.openxmlformats.org/officeDocument/2006/relationships/image" Id="rId44" Target="media/rId44.png" /><Relationship Type="http://schemas.openxmlformats.org/officeDocument/2006/relationships/image" Id="rId52" Target="media/rId52.png" /><Relationship Type="http://schemas.openxmlformats.org/officeDocument/2006/relationships/image" Id="rId79" Target="media/rId79.png" /><Relationship Type="http://schemas.openxmlformats.org/officeDocument/2006/relationships/image" Id="rId68" Target="media/rId68.png" /><Relationship Type="http://schemas.openxmlformats.org/officeDocument/2006/relationships/image" Id="rId74" Target="media/rId7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2026-06-28T11:46:02Z</dcterms:created>
  <dcterms:modified xsi:type="dcterms:W3CDTF">2026-06-28T11:46:02Z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