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4A0D8" w14:textId="77777777" w:rsidR="00563FB1" w:rsidRPr="00563FB1" w:rsidRDefault="00563FB1" w:rsidP="00563FB1">
      <w:r w:rsidRPr="00563FB1">
        <w:t xml:space="preserve">The beginning was 1979 when I found the “Dino” vein for </w:t>
      </w:r>
      <w:proofErr w:type="spellStart"/>
      <w:r w:rsidRPr="00563FB1">
        <w:t>Cusac</w:t>
      </w:r>
      <w:proofErr w:type="spellEnd"/>
      <w:r w:rsidRPr="00563FB1">
        <w:t xml:space="preserve"> Industries in the </w:t>
      </w:r>
      <w:proofErr w:type="spellStart"/>
      <w:r w:rsidRPr="00563FB1">
        <w:t>Cassiar</w:t>
      </w:r>
      <w:proofErr w:type="spellEnd"/>
      <w:r w:rsidRPr="00563FB1">
        <w:t xml:space="preserve"> region. That vein was small but very rich, the first sample ran 80 oz/ton gold over two feet—</w:t>
      </w:r>
      <w:proofErr w:type="spellStart"/>
      <w:r w:rsidRPr="00563FB1">
        <w:t>Cusac</w:t>
      </w:r>
      <w:proofErr w:type="spellEnd"/>
      <w:r w:rsidRPr="00563FB1">
        <w:t xml:space="preserve"> stock subsequently rose from $0.20 to over $10.00 a share. After that I was hooked on prospecting, but I didn’t want to work for anyone, I wanted to find things on my own.</w:t>
      </w:r>
    </w:p>
    <w:p w14:paraId="120B3B2A" w14:textId="77777777" w:rsidR="00563FB1" w:rsidRPr="00563FB1" w:rsidRDefault="00563FB1" w:rsidP="00563FB1">
      <w:r w:rsidRPr="00563FB1">
        <w:t>The first thing I did was extensive “research”, lots of it. I went to the library and read everything: geological reports, government publications, periodicals, maps, even microfiche copies of old newspapers. That told me where to look. Then I went out in the field and staked some properties based on what I had read. Two of the properties became major gold discoveries.</w:t>
      </w:r>
    </w:p>
    <w:p w14:paraId="53E972AE" w14:textId="1A510616" w:rsidR="00563FB1" w:rsidRPr="00563FB1" w:rsidRDefault="00563FB1" w:rsidP="00563FB1">
      <w:r w:rsidRPr="00563FB1">
        <w:t xml:space="preserve">Exploration always started with taking stream sediment (silt) samples. Back in 1984-1985 at Treaty Creek (70 km north of Stewart, BC) the first thing I did after staking was the collection of a large silt sample at the base of Treaty Glacier. It ran 0.51 g/t gold, a very anomalous result suggesting a gold source up-glacier. It took a while before we got any kind of gold values in rocks to explain that highly anomalous silt sample--the property was farmed-out five different times—but it eventually happened. In 2016, the property was joint ventured to Tudor Gold, headed by Walter Storm, the German financier who had had outstanding success at </w:t>
      </w:r>
      <w:proofErr w:type="spellStart"/>
      <w:r w:rsidRPr="00563FB1">
        <w:t>Osisko</w:t>
      </w:r>
      <w:proofErr w:type="spellEnd"/>
      <w:r w:rsidRPr="00563FB1">
        <w:t xml:space="preserve"> Gold. In 2019 he hired Ken </w:t>
      </w:r>
      <w:proofErr w:type="spellStart"/>
      <w:r w:rsidRPr="00563FB1">
        <w:t>Konkin</w:t>
      </w:r>
      <w:proofErr w:type="spellEnd"/>
      <w:r w:rsidRPr="00563FB1">
        <w:t xml:space="preserve">, award-winning geologist, to head up his program. </w:t>
      </w:r>
      <w:r w:rsidR="00635984">
        <w:t xml:space="preserve"> In 2023 a third resource estimate was published by Tudor Gold showing </w:t>
      </w:r>
      <w:r w:rsidR="00635984" w:rsidRPr="00635984">
        <w:t>an Indicated Mineral Resource of 23.37 million ounces (</w:t>
      </w:r>
      <w:proofErr w:type="spellStart"/>
      <w:r w:rsidR="00635984" w:rsidRPr="00635984">
        <w:t>Moz</w:t>
      </w:r>
      <w:proofErr w:type="spellEnd"/>
      <w:r w:rsidR="00635984" w:rsidRPr="00635984">
        <w:t>) of gold equivalent (</w:t>
      </w:r>
      <w:proofErr w:type="spellStart"/>
      <w:r w:rsidR="00635984" w:rsidRPr="00635984">
        <w:t>AuEq</w:t>
      </w:r>
      <w:proofErr w:type="spellEnd"/>
      <w:r w:rsidR="00635984" w:rsidRPr="00635984">
        <w:t xml:space="preserve">) within 641.93 million tonnes (Mt) at a grade of 1.13 g/t </w:t>
      </w:r>
      <w:proofErr w:type="spellStart"/>
      <w:r w:rsidR="00635984" w:rsidRPr="00635984">
        <w:t>AuEq</w:t>
      </w:r>
      <w:proofErr w:type="spellEnd"/>
      <w:r w:rsidR="00635984" w:rsidRPr="00635984">
        <w:t xml:space="preserve">; comprised of 18.75 </w:t>
      </w:r>
      <w:proofErr w:type="spellStart"/>
      <w:r w:rsidR="00635984" w:rsidRPr="00635984">
        <w:t>Moz</w:t>
      </w:r>
      <w:proofErr w:type="spellEnd"/>
      <w:r w:rsidR="00635984" w:rsidRPr="00635984">
        <w:t xml:space="preserve"> of gold (Au) at 0.91 g/t, 112.44 </w:t>
      </w:r>
      <w:proofErr w:type="spellStart"/>
      <w:r w:rsidR="00635984" w:rsidRPr="00635984">
        <w:t>Moz</w:t>
      </w:r>
      <w:proofErr w:type="spellEnd"/>
      <w:r w:rsidR="00635984" w:rsidRPr="00635984">
        <w:t xml:space="preserve"> of silver (Ag) at 5.45 g/t, and 2.18 billion pounds (</w:t>
      </w:r>
      <w:proofErr w:type="spellStart"/>
      <w:r w:rsidR="00635984" w:rsidRPr="00635984">
        <w:t>Blbs</w:t>
      </w:r>
      <w:proofErr w:type="spellEnd"/>
      <w:r w:rsidR="00635984" w:rsidRPr="00635984">
        <w:t>) of copper (Cu) at 0.15 %</w:t>
      </w:r>
      <w:r w:rsidR="00635984">
        <w:rPr>
          <w:vertAlign w:val="superscript"/>
        </w:rPr>
        <w:t>1</w:t>
      </w:r>
      <w:r w:rsidR="00635984">
        <w:t xml:space="preserve">. This is considered one of the largest </w:t>
      </w:r>
      <w:r w:rsidRPr="00563FB1">
        <w:t xml:space="preserve">gold discoveries in the </w:t>
      </w:r>
      <w:r w:rsidR="00635984">
        <w:t xml:space="preserve">world during the </w:t>
      </w:r>
      <w:r w:rsidRPr="00563FB1">
        <w:t>last ten years.</w:t>
      </w:r>
    </w:p>
    <w:p w14:paraId="3DE14E6F" w14:textId="75E4862F" w:rsidR="00563FB1" w:rsidRPr="00563FB1" w:rsidRDefault="00563FB1" w:rsidP="00563FB1">
      <w:r w:rsidRPr="00563FB1">
        <w:t>A similar thing happened at Red Mountain, 15 km east of Stewart. I staked that property in 1988 and then took a number of samples from a creek draining a large gossan at higher elevation. The samples all registered very high values in gold, silver, copper and zinc, suggesting a large mineralized source upstream. That source was discovered next year in 1989 and now, 3</w:t>
      </w:r>
      <w:r w:rsidR="00346810">
        <w:t>6</w:t>
      </w:r>
      <w:r w:rsidRPr="00563FB1">
        <w:t xml:space="preserve"> years and over $60 million later, Red Mountain is awaiting a start-up decision from owner Ascot Resources. The deposit received provincial and federal approval for production in 2019 and has a measured and indicated resource of 783,000 ounces gold. It is smaller than Treaty Creek but higher in grade.</w:t>
      </w:r>
    </w:p>
    <w:p w14:paraId="76BDC45B" w14:textId="426F54DD" w:rsidR="00346810" w:rsidRPr="006F3BA8" w:rsidRDefault="00346810" w:rsidP="00346810">
      <w:pPr>
        <w:pStyle w:val="docxbody"/>
        <w:shd w:val="clear" w:color="auto" w:fill="FFFFFF"/>
        <w:spacing w:before="0" w:beforeAutospacing="0" w:after="0" w:afterAutospacing="0"/>
        <w:jc w:val="both"/>
        <w:rPr>
          <w:rFonts w:ascii="Aptos" w:hAnsi="Aptos"/>
          <w:color w:val="000000"/>
          <w:bdr w:val="none" w:sz="0" w:space="0" w:color="auto" w:frame="1"/>
          <w:lang w:val="en-US"/>
        </w:rPr>
      </w:pPr>
      <w:r>
        <w:rPr>
          <w:rFonts w:asciiTheme="minorHAnsi" w:hAnsiTheme="minorHAnsi"/>
        </w:rPr>
        <w:t xml:space="preserve">Serendipitously, </w:t>
      </w:r>
      <w:r w:rsidR="001A7918" w:rsidRPr="001A7918">
        <w:rPr>
          <w:rFonts w:asciiTheme="minorHAnsi" w:hAnsiTheme="minorHAnsi"/>
        </w:rPr>
        <w:t xml:space="preserve">I am now back in the Red Mountain area </w:t>
      </w:r>
      <w:r w:rsidR="001A7918">
        <w:rPr>
          <w:rFonts w:asciiTheme="minorHAnsi" w:hAnsiTheme="minorHAnsi"/>
        </w:rPr>
        <w:t>drilling</w:t>
      </w:r>
      <w:r w:rsidR="001A7918" w:rsidRPr="001A7918">
        <w:rPr>
          <w:rFonts w:asciiTheme="minorHAnsi" w:hAnsiTheme="minorHAnsi"/>
        </w:rPr>
        <w:t xml:space="preserve"> a property that adjoins directly south called the “Ram”, jointly owned by Silver Grail and sister company Teuton Resources.  As of</w:t>
      </w:r>
      <w:r w:rsidR="001A7918">
        <w:rPr>
          <w:rFonts w:asciiTheme="minorHAnsi" w:hAnsiTheme="minorHAnsi"/>
        </w:rPr>
        <w:t xml:space="preserve"> late</w:t>
      </w:r>
      <w:r w:rsidR="001A7918" w:rsidRPr="001A7918">
        <w:rPr>
          <w:rFonts w:asciiTheme="minorHAnsi" w:hAnsiTheme="minorHAnsi"/>
        </w:rPr>
        <w:t xml:space="preserve"> August, 2025 we </w:t>
      </w:r>
      <w:r w:rsidR="001A7918">
        <w:rPr>
          <w:rFonts w:asciiTheme="minorHAnsi" w:hAnsiTheme="minorHAnsi"/>
        </w:rPr>
        <w:t xml:space="preserve">have drilled close to 1,000m on the Malachite Porphyry and Mitch </w:t>
      </w:r>
      <w:proofErr w:type="gramStart"/>
      <w:r w:rsidR="001A7918">
        <w:rPr>
          <w:rFonts w:asciiTheme="minorHAnsi" w:hAnsiTheme="minorHAnsi"/>
        </w:rPr>
        <w:t xml:space="preserve">zones </w:t>
      </w:r>
      <w:r w:rsidR="001A7918" w:rsidRPr="001A7918">
        <w:rPr>
          <w:rFonts w:asciiTheme="minorHAnsi" w:hAnsiTheme="minorHAnsi"/>
        </w:rPr>
        <w:t xml:space="preserve"> which</w:t>
      </w:r>
      <w:proofErr w:type="gramEnd"/>
      <w:r w:rsidR="001A7918" w:rsidRPr="001A7918">
        <w:rPr>
          <w:rFonts w:asciiTheme="minorHAnsi" w:hAnsiTheme="minorHAnsi"/>
        </w:rPr>
        <w:t xml:space="preserve"> have features of both porphyry deposits and VMS deposits.  Earlier surface sampling showed good grades in copper and gold and one could say there are definite similarities to the situation at Red Mountain itself.  Red Mountain</w:t>
      </w:r>
      <w:r w:rsidR="00525645">
        <w:rPr>
          <w:rFonts w:asciiTheme="minorHAnsi" w:hAnsiTheme="minorHAnsi"/>
        </w:rPr>
        <w:t xml:space="preserve">’s </w:t>
      </w:r>
      <w:proofErr w:type="gramStart"/>
      <w:r w:rsidR="00525645">
        <w:rPr>
          <w:rFonts w:asciiTheme="minorHAnsi" w:hAnsiTheme="minorHAnsi"/>
        </w:rPr>
        <w:t xml:space="preserve">orebodies </w:t>
      </w:r>
      <w:r w:rsidR="001A7918" w:rsidRPr="001A7918">
        <w:rPr>
          <w:rFonts w:asciiTheme="minorHAnsi" w:hAnsiTheme="minorHAnsi"/>
        </w:rPr>
        <w:t xml:space="preserve"> </w:t>
      </w:r>
      <w:r w:rsidR="001A7918" w:rsidRPr="001A7918">
        <w:rPr>
          <w:rFonts w:asciiTheme="minorHAnsi" w:hAnsiTheme="minorHAnsi"/>
        </w:rPr>
        <w:lastRenderedPageBreak/>
        <w:t>ha</w:t>
      </w:r>
      <w:r w:rsidR="00525645">
        <w:rPr>
          <w:rFonts w:asciiTheme="minorHAnsi" w:hAnsiTheme="minorHAnsi"/>
        </w:rPr>
        <w:t>ve</w:t>
      </w:r>
      <w:proofErr w:type="gramEnd"/>
      <w:r w:rsidR="001A7918" w:rsidRPr="001A7918">
        <w:rPr>
          <w:rFonts w:asciiTheme="minorHAnsi" w:hAnsiTheme="minorHAnsi"/>
        </w:rPr>
        <w:t xml:space="preserve"> been described as </w:t>
      </w:r>
      <w:r>
        <w:rPr>
          <w:rFonts w:asciiTheme="minorHAnsi" w:hAnsiTheme="minorHAnsi"/>
        </w:rPr>
        <w:t xml:space="preserve">hosting </w:t>
      </w:r>
      <w:r w:rsidR="001A7918" w:rsidRPr="001A7918">
        <w:rPr>
          <w:rFonts w:asciiTheme="minorHAnsi" w:hAnsiTheme="minorHAnsi"/>
        </w:rPr>
        <w:t>“</w:t>
      </w:r>
      <w:r w:rsidR="001A7918" w:rsidRPr="001A7918">
        <w:rPr>
          <w:rFonts w:asciiTheme="minorHAnsi" w:hAnsiTheme="minorHAnsi"/>
          <w:color w:val="000000"/>
          <w:bdr w:val="none" w:sz="0" w:space="0" w:color="auto" w:frame="1"/>
          <w:lang w:val="en-US"/>
        </w:rPr>
        <w:t>high-grade (3 g/t to 20 g/t) gold mineralization in semi-tabular pyrite + pyrrhotite stockworks 5m to 29m thick with intense sericite alteration surrounded by disseminated sphalerite + pyrrhotite</w:t>
      </w:r>
      <w:r>
        <w:rPr>
          <w:rFonts w:asciiTheme="minorHAnsi" w:hAnsiTheme="minorHAnsi"/>
          <w:color w:val="000000"/>
          <w:bdr w:val="none" w:sz="0" w:space="0" w:color="auto" w:frame="1"/>
          <w:lang w:val="en-US"/>
        </w:rPr>
        <w:t>{</w:t>
      </w:r>
      <w:r w:rsidRPr="00346810">
        <w:rPr>
          <w:color w:val="000000"/>
          <w:bdr w:val="none" w:sz="0" w:space="0" w:color="auto" w:frame="1"/>
          <w:lang w:val="en-US"/>
        </w:rPr>
        <w:t xml:space="preserve"> </w:t>
      </w:r>
      <w:r w:rsidRPr="00EA7480">
        <w:rPr>
          <w:color w:val="000000"/>
          <w:bdr w:val="none" w:sz="0" w:space="0" w:color="auto" w:frame="1"/>
          <w:lang w:val="en-US"/>
        </w:rPr>
        <w:t xml:space="preserve">high-grade (3 g/t to 20 g/t) gold </w:t>
      </w:r>
      <w:r w:rsidRPr="006F3BA8">
        <w:rPr>
          <w:rFonts w:ascii="Aptos" w:hAnsi="Aptos"/>
          <w:color w:val="000000"/>
          <w:bdr w:val="none" w:sz="0" w:space="0" w:color="auto" w:frame="1"/>
          <w:lang w:val="en-US"/>
        </w:rPr>
        <w:t xml:space="preserve">mineralization in semi-tabular pyrite + pyrrhotite stockworks 5m to 29m thick with intense sericite alteration surrounded by disseminated sphalerite + pyrrhotite”.  </w:t>
      </w:r>
    </w:p>
    <w:p w14:paraId="58B5BF59" w14:textId="77777777" w:rsidR="00346810" w:rsidRPr="006F3BA8" w:rsidRDefault="00346810" w:rsidP="001C6FB4">
      <w:pPr>
        <w:pStyle w:val="docxbody"/>
        <w:shd w:val="clear" w:color="auto" w:fill="FFFFFF"/>
        <w:spacing w:before="0" w:beforeAutospacing="0" w:after="0" w:afterAutospacing="0"/>
        <w:rPr>
          <w:rFonts w:ascii="Aptos" w:hAnsi="Aptos"/>
          <w:color w:val="000000"/>
          <w:bdr w:val="none" w:sz="0" w:space="0" w:color="auto" w:frame="1"/>
          <w:lang w:val="en-US"/>
        </w:rPr>
      </w:pPr>
    </w:p>
    <w:p w14:paraId="078ACE45" w14:textId="13829BE8" w:rsidR="00563FB1" w:rsidRDefault="00525645" w:rsidP="001C6FB4">
      <w:pPr>
        <w:pStyle w:val="docxbody"/>
        <w:shd w:val="clear" w:color="auto" w:fill="FFFFFF"/>
        <w:spacing w:before="0" w:beforeAutospacing="0" w:after="0" w:afterAutospacing="0"/>
        <w:rPr>
          <w:rFonts w:asciiTheme="minorHAnsi" w:hAnsiTheme="minorHAnsi"/>
          <w:color w:val="000000"/>
          <w:bdr w:val="none" w:sz="0" w:space="0" w:color="auto" w:frame="1"/>
          <w:lang w:val="en-US"/>
        </w:rPr>
      </w:pPr>
      <w:r>
        <w:rPr>
          <w:rFonts w:asciiTheme="minorHAnsi" w:hAnsiTheme="minorHAnsi"/>
          <w:color w:val="000000"/>
          <w:bdr w:val="none" w:sz="0" w:space="0" w:color="auto" w:frame="1"/>
          <w:lang w:val="en-US"/>
        </w:rPr>
        <w:t xml:space="preserve">Although we have no assay data yet, early indications </w:t>
      </w:r>
      <w:r w:rsidR="002B7B52">
        <w:rPr>
          <w:rFonts w:asciiTheme="minorHAnsi" w:hAnsiTheme="minorHAnsi"/>
          <w:color w:val="000000"/>
          <w:bdr w:val="none" w:sz="0" w:space="0" w:color="auto" w:frame="1"/>
          <w:lang w:val="en-US"/>
        </w:rPr>
        <w:t xml:space="preserve">from observing core </w:t>
      </w:r>
      <w:r>
        <w:rPr>
          <w:rFonts w:asciiTheme="minorHAnsi" w:hAnsiTheme="minorHAnsi"/>
          <w:color w:val="000000"/>
          <w:bdr w:val="none" w:sz="0" w:space="0" w:color="auto" w:frame="1"/>
          <w:lang w:val="en-US"/>
        </w:rPr>
        <w:t xml:space="preserve">are that the </w:t>
      </w:r>
      <w:r w:rsidR="00346810">
        <w:rPr>
          <w:rFonts w:asciiTheme="minorHAnsi" w:hAnsiTheme="minorHAnsi"/>
          <w:color w:val="000000"/>
          <w:bdr w:val="none" w:sz="0" w:space="0" w:color="auto" w:frame="1"/>
          <w:lang w:val="en-US"/>
        </w:rPr>
        <w:t xml:space="preserve">two </w:t>
      </w:r>
      <w:r>
        <w:rPr>
          <w:rFonts w:asciiTheme="minorHAnsi" w:hAnsiTheme="minorHAnsi"/>
          <w:color w:val="000000"/>
          <w:bdr w:val="none" w:sz="0" w:space="0" w:color="auto" w:frame="1"/>
          <w:lang w:val="en-US"/>
        </w:rPr>
        <w:t xml:space="preserve">Malachite Porphyry holes drilled to date both have pyrite and pyrrhotite mineralization occurring in numerous quartz veinlets in zones which sometimes have red sphalerite on their boundaries.  The two Mitch zone holes have abundant massive sulfide intervals consistent with, and occasionally stronger </w:t>
      </w:r>
      <w:proofErr w:type="gramStart"/>
      <w:r>
        <w:rPr>
          <w:rFonts w:asciiTheme="minorHAnsi" w:hAnsiTheme="minorHAnsi"/>
          <w:color w:val="000000"/>
          <w:bdr w:val="none" w:sz="0" w:space="0" w:color="auto" w:frame="1"/>
          <w:lang w:val="en-US"/>
        </w:rPr>
        <w:t>than,  what</w:t>
      </w:r>
      <w:proofErr w:type="gramEnd"/>
      <w:r>
        <w:rPr>
          <w:rFonts w:asciiTheme="minorHAnsi" w:hAnsiTheme="minorHAnsi"/>
          <w:color w:val="000000"/>
          <w:bdr w:val="none" w:sz="0" w:space="0" w:color="auto" w:frame="1"/>
          <w:lang w:val="en-US"/>
        </w:rPr>
        <w:t xml:space="preserve"> has been observed on surface.  Whether these intersections return values within an economic range will depend upon assays and a host of other factors. </w:t>
      </w:r>
    </w:p>
    <w:p w14:paraId="6D344E24" w14:textId="77777777" w:rsidR="001C6FB4" w:rsidRPr="00563FB1" w:rsidRDefault="001C6FB4" w:rsidP="001C6FB4">
      <w:pPr>
        <w:pStyle w:val="docxbody"/>
        <w:shd w:val="clear" w:color="auto" w:fill="FFFFFF"/>
        <w:spacing w:before="0" w:beforeAutospacing="0" w:after="0" w:afterAutospacing="0"/>
        <w:rPr>
          <w:rFonts w:asciiTheme="minorHAnsi" w:hAnsiTheme="minorHAnsi"/>
          <w:color w:val="000000"/>
          <w:bdr w:val="none" w:sz="0" w:space="0" w:color="auto" w:frame="1"/>
          <w:lang w:val="en-US"/>
        </w:rPr>
      </w:pPr>
    </w:p>
    <w:p w14:paraId="7317EDA7" w14:textId="6E71C059" w:rsidR="00563FB1" w:rsidRPr="00563FB1" w:rsidRDefault="00525645" w:rsidP="001A7918">
      <w:r>
        <w:rPr>
          <w:rFonts w:cs="Times New Roman"/>
        </w:rPr>
        <w:t>Our many other</w:t>
      </w:r>
      <w:r w:rsidR="00563FB1" w:rsidRPr="00563FB1">
        <w:rPr>
          <w:rFonts w:cs="Times New Roman"/>
        </w:rPr>
        <w:t xml:space="preserve"> properties in the Golden Triangle region</w:t>
      </w:r>
      <w:r w:rsidR="001C6FB4">
        <w:rPr>
          <w:rFonts w:cs="Times New Roman"/>
        </w:rPr>
        <w:t xml:space="preserve"> have a variety of mineralized zones all of which contain significant potential</w:t>
      </w:r>
      <w:r w:rsidR="00563FB1" w:rsidRPr="00563FB1">
        <w:rPr>
          <w:rFonts w:cs="Times New Roman"/>
        </w:rPr>
        <w:t xml:space="preserve">. </w:t>
      </w:r>
      <w:r w:rsidR="001C6FB4">
        <w:rPr>
          <w:rFonts w:cs="Times New Roman"/>
        </w:rPr>
        <w:t xml:space="preserve"> On the </w:t>
      </w:r>
      <w:proofErr w:type="spellStart"/>
      <w:r w:rsidR="001C6FB4">
        <w:rPr>
          <w:rFonts w:cs="Times New Roman"/>
        </w:rPr>
        <w:t>Konkin</w:t>
      </w:r>
      <w:proofErr w:type="spellEnd"/>
      <w:r w:rsidR="001C6FB4">
        <w:rPr>
          <w:rFonts w:cs="Times New Roman"/>
        </w:rPr>
        <w:t xml:space="preserve"> Silver, for instance, a number of high-grade silver intervals were trenched in previous years, several of which will soon be revisited because of the recent increases in the price of silver.  Perhaps the most promising is the Clone property situated west of the Ram.  A new area on this property has been explored during the last two years revealing a number of </w:t>
      </w:r>
      <w:r w:rsidR="00346810">
        <w:rPr>
          <w:rFonts w:cs="Times New Roman"/>
        </w:rPr>
        <w:t xml:space="preserve">high-grade, gold-bearing </w:t>
      </w:r>
      <w:r w:rsidR="001C6FB4">
        <w:rPr>
          <w:rFonts w:cs="Times New Roman"/>
        </w:rPr>
        <w:t xml:space="preserve">cross structures </w:t>
      </w:r>
      <w:r w:rsidR="00346810">
        <w:rPr>
          <w:rFonts w:cs="Times New Roman"/>
        </w:rPr>
        <w:t>occurring within</w:t>
      </w:r>
      <w:r w:rsidR="002B7B52">
        <w:rPr>
          <w:rFonts w:cs="Times New Roman"/>
        </w:rPr>
        <w:t xml:space="preserve"> a wide area containing anomalous </w:t>
      </w:r>
      <w:r w:rsidR="001C6FB4">
        <w:rPr>
          <w:rFonts w:cs="Times New Roman"/>
        </w:rPr>
        <w:t xml:space="preserve">copper rock geochemical </w:t>
      </w:r>
      <w:r w:rsidR="002B7B52">
        <w:rPr>
          <w:rFonts w:cs="Times New Roman"/>
        </w:rPr>
        <w:t>samples</w:t>
      </w:r>
      <w:r w:rsidR="001C6FB4">
        <w:rPr>
          <w:rFonts w:cs="Times New Roman"/>
        </w:rPr>
        <w:t>.   Tertiary age dykes in this area, along with anomalous bismuth</w:t>
      </w:r>
      <w:r w:rsidR="006F3BA8">
        <w:rPr>
          <w:rFonts w:cs="Times New Roman"/>
        </w:rPr>
        <w:t xml:space="preserve"> and molybdenum</w:t>
      </w:r>
      <w:r w:rsidR="001C6FB4">
        <w:rPr>
          <w:rFonts w:cs="Times New Roman"/>
        </w:rPr>
        <w:t xml:space="preserve">, suggest similarities with the Eocene gold-bearing dykes which were recently found at Goliath Resources’ </w:t>
      </w:r>
      <w:proofErr w:type="spellStart"/>
      <w:r w:rsidR="001C6FB4">
        <w:rPr>
          <w:rFonts w:cs="Times New Roman"/>
        </w:rPr>
        <w:t>Golddigger</w:t>
      </w:r>
      <w:proofErr w:type="spellEnd"/>
      <w:r w:rsidR="001C6FB4">
        <w:rPr>
          <w:rFonts w:cs="Times New Roman"/>
        </w:rPr>
        <w:t xml:space="preserve"> property. Both the Ram and the Clone (as well as the </w:t>
      </w:r>
      <w:proofErr w:type="spellStart"/>
      <w:r w:rsidR="001C6FB4">
        <w:rPr>
          <w:rFonts w:cs="Times New Roman"/>
        </w:rPr>
        <w:t>Golddigger</w:t>
      </w:r>
      <w:proofErr w:type="spellEnd"/>
      <w:r w:rsidR="001C6FB4">
        <w:rPr>
          <w:rFonts w:cs="Times New Roman"/>
        </w:rPr>
        <w:t xml:space="preserve"> zones) are all found in close proximity to the “Red Line”, a contact zone between Triassic and Jurassic age rocks which has been shown to be an important marker for large-scale porphyry deposits in the Golden Triangle.   Jeff Kya, former government geologist who first published the Red Line theory, is also a director of Teuton Resources, sister company to Silver Grail. </w:t>
      </w:r>
    </w:p>
    <w:p w14:paraId="78050F88" w14:textId="77777777" w:rsidR="00563FB1" w:rsidRPr="00563FB1" w:rsidRDefault="00563FB1" w:rsidP="001A7918">
      <w:r w:rsidRPr="00563FB1">
        <w:t xml:space="preserve">-Dino Cremonese, </w:t>
      </w:r>
      <w:proofErr w:type="spellStart"/>
      <w:proofErr w:type="gramStart"/>
      <w:r w:rsidRPr="00563FB1">
        <w:t>P.Eng</w:t>
      </w:r>
      <w:proofErr w:type="spellEnd"/>
      <w:proofErr w:type="gramEnd"/>
      <w:r w:rsidRPr="00563FB1">
        <w:t>, President &amp; CEO</w:t>
      </w:r>
    </w:p>
    <w:p w14:paraId="3EDBFE81" w14:textId="429AD522" w:rsidR="001A7918" w:rsidRPr="001A7918" w:rsidRDefault="001A7918" w:rsidP="001A7918">
      <w:pPr>
        <w:rPr>
          <w:sz w:val="20"/>
          <w:szCs w:val="20"/>
        </w:rPr>
      </w:pPr>
      <w:r w:rsidRPr="001A7918">
        <w:rPr>
          <w:sz w:val="20"/>
          <w:szCs w:val="20"/>
          <w:vertAlign w:val="superscript"/>
        </w:rPr>
        <w:t>1</w:t>
      </w:r>
      <w:r w:rsidRPr="001A7918">
        <w:rPr>
          <w:sz w:val="20"/>
          <w:szCs w:val="20"/>
        </w:rPr>
        <w:t>AuEq g/t = Au g/t + (Ag g/t*0.0098765) + (Cu ppm*0.0001185)</w:t>
      </w:r>
    </w:p>
    <w:p w14:paraId="30E12903" w14:textId="661A71C4" w:rsidR="008C0B28" w:rsidRPr="001A7918" w:rsidRDefault="008C0B28" w:rsidP="001A7918"/>
    <w:sectPr w:rsidR="008C0B28" w:rsidRPr="001A79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C5041"/>
    <w:multiLevelType w:val="multilevel"/>
    <w:tmpl w:val="3B80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F52C2C"/>
    <w:multiLevelType w:val="multilevel"/>
    <w:tmpl w:val="83B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2060810">
    <w:abstractNumId w:val="1"/>
  </w:num>
  <w:num w:numId="2" w16cid:durableId="10801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FB1"/>
    <w:rsid w:val="00007633"/>
    <w:rsid w:val="001A7918"/>
    <w:rsid w:val="001C6FB4"/>
    <w:rsid w:val="002B7B52"/>
    <w:rsid w:val="00346810"/>
    <w:rsid w:val="004C79E1"/>
    <w:rsid w:val="00525645"/>
    <w:rsid w:val="00563FB1"/>
    <w:rsid w:val="00635984"/>
    <w:rsid w:val="006F3BA8"/>
    <w:rsid w:val="008C0B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8D4FB"/>
  <w15:chartTrackingRefBased/>
  <w15:docId w15:val="{BEE0A798-4BA8-4554-B634-60569473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3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3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FB1"/>
    <w:rPr>
      <w:rFonts w:eastAsiaTheme="majorEastAsia" w:cstheme="majorBidi"/>
      <w:color w:val="272727" w:themeColor="text1" w:themeTint="D8"/>
    </w:rPr>
  </w:style>
  <w:style w:type="paragraph" w:styleId="Title">
    <w:name w:val="Title"/>
    <w:basedOn w:val="Normal"/>
    <w:next w:val="Normal"/>
    <w:link w:val="TitleChar"/>
    <w:uiPriority w:val="10"/>
    <w:qFormat/>
    <w:rsid w:val="00563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FB1"/>
    <w:pPr>
      <w:spacing w:before="160"/>
      <w:jc w:val="center"/>
    </w:pPr>
    <w:rPr>
      <w:i/>
      <w:iCs/>
      <w:color w:val="404040" w:themeColor="text1" w:themeTint="BF"/>
    </w:rPr>
  </w:style>
  <w:style w:type="character" w:customStyle="1" w:styleId="QuoteChar">
    <w:name w:val="Quote Char"/>
    <w:basedOn w:val="DefaultParagraphFont"/>
    <w:link w:val="Quote"/>
    <w:uiPriority w:val="29"/>
    <w:rsid w:val="00563FB1"/>
    <w:rPr>
      <w:i/>
      <w:iCs/>
      <w:color w:val="404040" w:themeColor="text1" w:themeTint="BF"/>
    </w:rPr>
  </w:style>
  <w:style w:type="paragraph" w:styleId="ListParagraph">
    <w:name w:val="List Paragraph"/>
    <w:basedOn w:val="Normal"/>
    <w:uiPriority w:val="34"/>
    <w:qFormat/>
    <w:rsid w:val="00563FB1"/>
    <w:pPr>
      <w:ind w:left="720"/>
      <w:contextualSpacing/>
    </w:pPr>
  </w:style>
  <w:style w:type="character" w:styleId="IntenseEmphasis">
    <w:name w:val="Intense Emphasis"/>
    <w:basedOn w:val="DefaultParagraphFont"/>
    <w:uiPriority w:val="21"/>
    <w:qFormat/>
    <w:rsid w:val="00563FB1"/>
    <w:rPr>
      <w:i/>
      <w:iCs/>
      <w:color w:val="0F4761" w:themeColor="accent1" w:themeShade="BF"/>
    </w:rPr>
  </w:style>
  <w:style w:type="paragraph" w:styleId="IntenseQuote">
    <w:name w:val="Intense Quote"/>
    <w:basedOn w:val="Normal"/>
    <w:next w:val="Normal"/>
    <w:link w:val="IntenseQuoteChar"/>
    <w:uiPriority w:val="30"/>
    <w:qFormat/>
    <w:rsid w:val="00563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FB1"/>
    <w:rPr>
      <w:i/>
      <w:iCs/>
      <w:color w:val="0F4761" w:themeColor="accent1" w:themeShade="BF"/>
    </w:rPr>
  </w:style>
  <w:style w:type="character" w:styleId="IntenseReference">
    <w:name w:val="Intense Reference"/>
    <w:basedOn w:val="DefaultParagraphFont"/>
    <w:uiPriority w:val="32"/>
    <w:qFormat/>
    <w:rsid w:val="00563FB1"/>
    <w:rPr>
      <w:b/>
      <w:bCs/>
      <w:smallCaps/>
      <w:color w:val="0F4761" w:themeColor="accent1" w:themeShade="BF"/>
      <w:spacing w:val="5"/>
    </w:rPr>
  </w:style>
  <w:style w:type="paragraph" w:customStyle="1" w:styleId="docxbody">
    <w:name w:val="docx_body"/>
    <w:basedOn w:val="Normal"/>
    <w:rsid w:val="001A7918"/>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1637959">
      <w:bodyDiv w:val="1"/>
      <w:marLeft w:val="0"/>
      <w:marRight w:val="0"/>
      <w:marTop w:val="0"/>
      <w:marBottom w:val="0"/>
      <w:divBdr>
        <w:top w:val="none" w:sz="0" w:space="0" w:color="auto"/>
        <w:left w:val="none" w:sz="0" w:space="0" w:color="auto"/>
        <w:bottom w:val="none" w:sz="0" w:space="0" w:color="auto"/>
        <w:right w:val="none" w:sz="0" w:space="0" w:color="auto"/>
      </w:divBdr>
      <w:divsChild>
        <w:div w:id="613487930">
          <w:marLeft w:val="0"/>
          <w:marRight w:val="0"/>
          <w:marTop w:val="0"/>
          <w:marBottom w:val="0"/>
          <w:divBdr>
            <w:top w:val="none" w:sz="0" w:space="0" w:color="auto"/>
            <w:left w:val="none" w:sz="0" w:space="0" w:color="auto"/>
            <w:bottom w:val="none" w:sz="0" w:space="0" w:color="auto"/>
            <w:right w:val="none" w:sz="0" w:space="0" w:color="auto"/>
          </w:divBdr>
          <w:divsChild>
            <w:div w:id="1480489393">
              <w:marLeft w:val="0"/>
              <w:marRight w:val="0"/>
              <w:marTop w:val="0"/>
              <w:marBottom w:val="0"/>
              <w:divBdr>
                <w:top w:val="none" w:sz="0" w:space="0" w:color="auto"/>
                <w:left w:val="none" w:sz="0" w:space="0" w:color="auto"/>
                <w:bottom w:val="none" w:sz="0" w:space="0" w:color="auto"/>
                <w:right w:val="none" w:sz="0" w:space="0" w:color="auto"/>
              </w:divBdr>
              <w:divsChild>
                <w:div w:id="206573084">
                  <w:marLeft w:val="0"/>
                  <w:marRight w:val="0"/>
                  <w:marTop w:val="0"/>
                  <w:marBottom w:val="0"/>
                  <w:divBdr>
                    <w:top w:val="none" w:sz="0" w:space="0" w:color="auto"/>
                    <w:left w:val="none" w:sz="0" w:space="0" w:color="auto"/>
                    <w:bottom w:val="none" w:sz="0" w:space="0" w:color="auto"/>
                    <w:right w:val="none" w:sz="0" w:space="0" w:color="auto"/>
                  </w:divBdr>
                  <w:divsChild>
                    <w:div w:id="21070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2047">
          <w:marLeft w:val="0"/>
          <w:marRight w:val="0"/>
          <w:marTop w:val="0"/>
          <w:marBottom w:val="0"/>
          <w:divBdr>
            <w:top w:val="none" w:sz="0" w:space="0" w:color="auto"/>
            <w:left w:val="none" w:sz="0" w:space="0" w:color="auto"/>
            <w:bottom w:val="none" w:sz="0" w:space="0" w:color="auto"/>
            <w:right w:val="none" w:sz="0" w:space="0" w:color="auto"/>
          </w:divBdr>
          <w:divsChild>
            <w:div w:id="1592545745">
              <w:marLeft w:val="0"/>
              <w:marRight w:val="0"/>
              <w:marTop w:val="0"/>
              <w:marBottom w:val="0"/>
              <w:divBdr>
                <w:top w:val="none" w:sz="0" w:space="0" w:color="auto"/>
                <w:left w:val="none" w:sz="0" w:space="0" w:color="auto"/>
                <w:bottom w:val="none" w:sz="0" w:space="0" w:color="auto"/>
                <w:right w:val="none" w:sz="0" w:space="0" w:color="auto"/>
              </w:divBdr>
              <w:divsChild>
                <w:div w:id="446780704">
                  <w:marLeft w:val="0"/>
                  <w:marRight w:val="0"/>
                  <w:marTop w:val="0"/>
                  <w:marBottom w:val="0"/>
                  <w:divBdr>
                    <w:top w:val="none" w:sz="0" w:space="0" w:color="auto"/>
                    <w:left w:val="none" w:sz="0" w:space="0" w:color="auto"/>
                    <w:bottom w:val="none" w:sz="0" w:space="0" w:color="auto"/>
                    <w:right w:val="none" w:sz="0" w:space="0" w:color="auto"/>
                  </w:divBdr>
                  <w:divsChild>
                    <w:div w:id="1675717170">
                      <w:marLeft w:val="0"/>
                      <w:marRight w:val="0"/>
                      <w:marTop w:val="0"/>
                      <w:marBottom w:val="0"/>
                      <w:divBdr>
                        <w:top w:val="none" w:sz="0" w:space="30" w:color="auto"/>
                        <w:left w:val="none" w:sz="0" w:space="0" w:color="auto"/>
                        <w:bottom w:val="none" w:sz="0" w:space="0" w:color="auto"/>
                        <w:right w:val="none" w:sz="0" w:space="14" w:color="auto"/>
                      </w:divBdr>
                    </w:div>
                  </w:divsChild>
                </w:div>
              </w:divsChild>
            </w:div>
          </w:divsChild>
        </w:div>
      </w:divsChild>
    </w:div>
    <w:div w:id="789595972">
      <w:bodyDiv w:val="1"/>
      <w:marLeft w:val="0"/>
      <w:marRight w:val="0"/>
      <w:marTop w:val="0"/>
      <w:marBottom w:val="0"/>
      <w:divBdr>
        <w:top w:val="none" w:sz="0" w:space="0" w:color="auto"/>
        <w:left w:val="none" w:sz="0" w:space="0" w:color="auto"/>
        <w:bottom w:val="none" w:sz="0" w:space="0" w:color="auto"/>
        <w:right w:val="none" w:sz="0" w:space="0" w:color="auto"/>
      </w:divBdr>
    </w:div>
    <w:div w:id="117900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Cremonese</dc:creator>
  <cp:keywords/>
  <dc:description/>
  <cp:lastModifiedBy>Dino Cremonese</cp:lastModifiedBy>
  <cp:revision>3</cp:revision>
  <dcterms:created xsi:type="dcterms:W3CDTF">2025-08-27T19:38:00Z</dcterms:created>
  <dcterms:modified xsi:type="dcterms:W3CDTF">2025-08-28T01:21:00Z</dcterms:modified>
</cp:coreProperties>
</file>