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RTX / ART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3366"/>
          <w:sz w:val="56"/>
          <w:szCs w:val="56"/>
        </w:rPr>
        <w:t xml:space="preserve">CLARITY</w:t>
      </w:r>
    </w:p>
    <w:p>
      <w:pPr>
        <w:spacing w:after="600"/>
        <w:jc w:val="center"/>
      </w:pPr>
      <w:r>
        <w:rPr>
          <w:rFonts w:ascii="Arial" w:cs="Arial" w:eastAsia="Arial" w:hAnsi="Arial"/>
          <w:color w:val="0066CC"/>
          <w:sz w:val="32"/>
          <w:szCs w:val="32"/>
        </w:rPr>
        <w:t xml:space="preserve">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Production Deployment on Microsoft Azure</w:t>
      </w:r>
    </w:p>
    <w:p>
      <w:pPr>
        <w:pBdr>
          <w:bottom w:val="single" w:color="003366" w:sz="6" w:space="1"/>
        </w:pBdr>
        <w:spacing w:before="1200"/>
      </w:pPr>
    </w:p>
    <w:p>
      <w:pPr>
        <w:spacing w:before="4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3,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Michael Cave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Organization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RTX Advanced Research &amp; 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RTX Internal – Restricted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Clarity is RTX’s AI-powered Governance, Risk, and Compliance (GRC) platform designed to streamline the Information Risk Assessment and Management Process (IRAMP). The platform connects AI interfaces to a common data model, automating GRC workflows that currently require extensive manual effort across RTX’s four business units: hRTN, hUTC, Collins Aerospace, and Pratt &amp; Whitney.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PRD defines the requirements for migrating Clarity from its current local Docker-based development environment to a production-grade deployment on Microsoft Azure, with full enterprise authentication, high availability, compliance with NIST 800-37, DFARS, ITAR, and FedRAMP standards, and integration with RTX’s XETA Model Hub Gateway for AI model access.</w:t>
      </w:r>
    </w:p>
    <w:p>
      <w:pPr>
        <w:pStyle w:val="Heading2"/>
      </w:pPr>
      <w:r>
        <w:t xml:space="preserve">1.1 Product Vision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Clarity aims to reduce IRAMP assessment intake time by 75%, decrease incorrect service and control selection from 40% to below 6%, and provide a unified AI-assisted interface for navigating complex GRC requirements across all RTX business units.</w:t>
      </w:r>
    </w:p>
    <w:p>
      <w:pPr>
        <w:pStyle w:val="Heading2"/>
      </w:pPr>
      <w:r>
        <w:t xml:space="preserve">1.2 Key Business Outcomes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Reduce average assessment intake from 45–60 minutes to under 10 minutes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Automate LOE classification (A through D) and DFARS control selection using AI decision trees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Provide a single pane of glass connecting Archer, CMDB, Active Directory, and data catalogs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Deliver estimated annual savings of $380K through automation and error reduction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Support continuous compliance monitoring and real-time risk scoring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Recommended Hosting Model: Azure Container Apps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After evaluating Azure Kubernetes Service (AKS), Azure Container Apps (ACA), and Azure App Service, Azure Container Apps is recommended as the production hosting model for the following reasons: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Native Docker container support aligns with Clarity’s existing containerized architecture without requiring Kubernetes expertise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Built-in autoscaling (scale-to-zero capable) optimizes cost for variable GRC workloads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Dapr sidecar support for service-to-service invocation, state management, and pub/sub messaging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Managed HTTPS ingress with custom domains and TLS termination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Seamless integration with Azure Container Registry, Azure Monitor, and Azure Key Vault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Lower operational overhead than AKS while providing more flexibility than App Service</w:t>
      </w:r>
    </w:p>
    <w:p>
      <w:pPr>
        <w:pStyle w:val="Heading2"/>
      </w:pPr>
      <w:r>
        <w:t xml:space="preserve">2.2 High-Level Architecture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production architecture consists of five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Azure 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Azure Container Apps + Azure CDN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Nuxt.js frontend with SSR, static asset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Azure Container Apps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 backend (Clarity API), Swagger/OpenAPI 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AI/ML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XETA Model Hub Gateway (APIM)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GPT-4o access via RTX managed API gateway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Azure Database for PostgreSQL Flexible Server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data store, replacing Docker 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Azure AD / Entra 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Enterprise SSO, replacing local Keycloak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Network Architecture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services deploy within an Azure Virtual Network with the following isolation: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Azure Container Apps Environment within a dedicated subnet with NSG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Azure Database for PostgreSQL on a private endpoint (no public access)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XETA Model Hub Gateway accessed via Azure API Management private link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Azure Front Door for global edge delivery with WAF policies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east-west traffic encrypted via mTLS between container apps</w:t>
      </w:r>
    </w:p>
    <w:p>
      <w:pPr>
        <w:pStyle w:val="Heading2"/>
      </w:pPr>
      <w:r>
        <w:t xml:space="preserve">2.4 Repository and CI/CD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Source code is hosted on the RTX GitHub Enterprise instance (github.devops.utc.com) under the Type-C-Lite organization. The two primary repositories are ART-clarity-api (FastAPI backend) and ART-CLARA-Copilot (Nuxt.js frontend).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CI/CD via GitHub Actions with self-hosted runners inside the RTX network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Container images pushed to Azure Container Registry (ACR) with vulnerability scanning via Microsoft Defender for Containers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Environment promotion: dev, staging, production with manual approval gates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Infrastructure as Code using Terraform with state stored in Azure Storage Account</w:t>
      </w:r>
    </w:p>
    <w:p>
      <w:r>
        <w:br w:type="page"/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IRAMP/GRC Decision Automation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core value proposition of Clarity is automating the IRAMP intake and LOE classification process. The system must support the full NIST 800-37 lifecycle: Categorize, Select, Implement, Assess, Authorize, and Monitor.</w:t>
      </w:r>
    </w:p>
    <w:p>
      <w:pPr>
        <w:pStyle w:val="Heading3"/>
      </w:pPr>
      <w:r>
        <w:t xml:space="preserve">3.1.1 AI-Powered LOE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 a conversational intake flow that guides users through system categorization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Automatically determine the appropriate Level of Effort classification based on user responses: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LOE A (Pilot Systems): 20 controls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LOE B (Public Data): 38 controls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LOE C (Internal RTX Data): 56 controls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LOE D (Externally Accessible): 70 controls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DFARS (CUI/CDI/ITAR/EAR): 110 controls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Generate the appropriate control checklist and pre-populate fields from connected data 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Provide confidence scoring for each classification recommendation with explainability</w:t>
      </w:r>
    </w:p>
    <w:p>
      <w:pPr>
        <w:pStyle w:val="Heading3"/>
      </w:pPr>
      <w:r>
        <w:t xml:space="preserve">3.1.2 Automated Intake Form Population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Query CMDB, Active Directory, Archer GRC, and Data Catalog upon system name entry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Auto-populate a minimum of 85% of intake form fields from existing enterprise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Present pre-filled form for user review and completion of remaining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 all fields against business rules before submission</w:t>
      </w:r>
    </w:p>
    <w:p>
      <w:pPr>
        <w:pStyle w:val="Heading3"/>
      </w:pPr>
      <w:r>
        <w:t xml:space="preserve">3.1.3 Decision Tree Engine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 the RTX IRAMP decision tree: Pilot System check, RTX Managed check, Connectivity type (Internal/External), and Data Type (Public/RTX/DFARS)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Support branching logic with 500+ decision rules derived from historical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Allow GRC administrators to update decision rules without code deployment</w:t>
      </w:r>
    </w:p>
    <w:p>
      <w:pPr>
        <w:pStyle w:val="Heading2"/>
      </w:pPr>
      <w:r>
        <w:t xml:space="preserve">3.2 XETA Model Hub AI Integration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Clarity must integrate with the RTX XETA Model Hub Gateway for access to enterprise-approved AI models.</w:t>
      </w:r>
    </w:p>
    <w:p>
      <w:pPr>
        <w:pStyle w:val="Heading3"/>
      </w:pPr>
      <w:r>
        <w:t xml:space="preserve">3.2.1 Model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Connect to the XETA APIM gateway at model-hub-gateway.apim.xeta.rtx.com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Support GPT-4o as the primary model for conversational AI and classification tasks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Authenticate using JWT tokens acquired from the RTX Azure AD tenant (login.microsoftonline.us)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Include APIM subscription key in all requests via the Ocp-Apim-Subscription-Key header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Handle 60-minute JWT token expiration with automatic refresh</w:t>
      </w:r>
    </w:p>
    <w:p>
      <w:pPr>
        <w:pStyle w:val="Heading3"/>
      </w:pPr>
      <w:r>
        <w:t xml:space="preserve">3.2.2 AI Capabilities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Natural language understanding for GRC intake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Control recommendation generation based on system categorization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Document summarization for uploaded compliance artifacts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 scoring and narrative generation for assessment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Anomaly detection in continuous monitoring data streams</w:t>
      </w:r>
    </w:p>
    <w:p>
      <w:pPr>
        <w:pStyle w:val="Heading2"/>
      </w:pPr>
      <w:r>
        <w:t xml:space="preserve">3.3 Authentication and Authorization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production system must migrate from local Keycloak to Azure AD / Entra ID for enterprise single sign-on.</w:t>
      </w:r>
    </w:p>
    <w:p>
      <w:pPr>
        <w:pStyle w:val="Heading3"/>
      </w:pPr>
      <w:r>
        <w:t xml:space="preserve">3.3.1 Keycloak to Azure AD Migration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Replace local Keycloak with Azure AD as the OIDC identity provider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Map existing Keycloak realm “clarity” roles and permissions to Azure AD groups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Support the existing NUXT OAuth flow using Azure AD endpoints (authorization, token, JWKS, userinfo)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Maintain backward compatibility with the nuxt-frontend client ID pattern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 CORP_OIDC configuration using RTX’s Azure AD tenant discovery endpoint</w:t>
      </w:r>
    </w:p>
    <w:p>
      <w:pPr>
        <w:pStyle w:val="Heading3"/>
      </w:pPr>
      <w:r>
        <w:t xml:space="preserve">3.3.2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Permissions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Azure AD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assessments, dashboards, reports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SG-Clarity-Viewers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Create/edit assessments, run AI classification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SG-Clarity-Analysts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Assessor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Approve assessments, issue ATOs, manage POAMs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SG-Clarity-Assessors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 users, configure decision rules, system settings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SG-Clarity-Admins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Archer API Integration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Clarity must integrate bidirectionally with RSA Archer for assessment and authorization data exchange.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Connect to Archer REST APIs (SOAP fallback via ARCHER_SOAP_GENERAL_URI for legacy endpoints)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Synchronize assessment records, control responses, and artifact metadata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Push completed assessments and ATO decisions back to Archer for system of record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Pull existing control inheritance mappings (SSO/AD, SIEM/SOC, Network Services)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 retry logic with exponential backoff for Archer API rate limits</w:t>
      </w:r>
    </w:p>
    <w:p>
      <w:pPr>
        <w:pStyle w:val="Heading2"/>
      </w:pPr>
      <w:r>
        <w:t xml:space="preserve">3.5 RAG / Document Ingestion Pipeline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Clarity requires a Retrieval-Augmented Generation pipeline to provide contextual AI responses grounded in RTX GRC documentation.</w:t>
      </w:r>
    </w:p>
    <w:p>
      <w:pPr>
        <w:pStyle w:val="Heading3"/>
      </w:pPr>
      <w:r>
        <w:t xml:space="preserve">3.5.1 Document 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Ingest IRAMP policy documents, control frameworks, and historical assessment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Support PDF, DOCX, XLSX, and plain text file formats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Chunk documents using semantic boundaries with configurable overlap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Generate embeddings using the XETA Model Hub embedding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Store vector embeddings in Azure AI Search (formerly Azure Cognitive Search) or pgvector extension on PostgreSQL</w:t>
      </w:r>
    </w:p>
    <w:p>
      <w:pPr>
        <w:pStyle w:val="Heading3"/>
      </w:pPr>
      <w:r>
        <w:t xml:space="preserve">3.5.2 Retrieval and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Perform hybrid search (semantic + keyword) for user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Apply confidence thresholds: high confidence (above 0.4) returns KB response; moderate confidence (0.2 to 0.4) blends KB with general knowledge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Include source attribution for all RAG-generated responses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Support document-scoped search (e.g., search only within DFARS controls)</w:t>
      </w:r>
    </w:p>
    <w:p>
      <w:r>
        <w:br w:type="page"/>
      </w:r>
    </w:p>
    <w:p>
      <w:pPr>
        <w:pStyle w:val="Heading1"/>
      </w:pPr>
      <w:r>
        <w:t xml:space="preserve">4. Non-Functional Requirements</w:t>
      </w:r>
    </w:p>
    <w:p>
      <w:pPr>
        <w:pStyle w:val="Heading2"/>
      </w:pPr>
      <w:r>
        <w:t xml:space="preserve">4.1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Measurement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Response Time (p95)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500ms (non-AI endpoints)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Azure Application Insights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Classification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8 seconds end-to-end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 telemetry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Load Time (LCP)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2.5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Azure Front Door analytics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Concurrent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500+ simultaneous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 testing (k6/Locust)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Query Time (p95)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slow query log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Availability and Reliability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uptime: 99.9% (approximately 8.7 hours downtime per year)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Multi-zone deployment within a single Azure region (East US / Azure Gov Virginia)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Automated health probes and container restart policies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Recovery Time Objective (RTO): less than 15 minutes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Recovery Point Objective (RPO): less than 5 minutes via PostgreSQL point-in-time restore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Circuit breaker pattern for XETA Model Hub and Archer API dependencies</w:t>
      </w:r>
    </w:p>
    <w:p>
      <w:pPr>
        <w:pStyle w:val="Heading2"/>
      </w:pPr>
      <w:r>
        <w:t xml:space="preserve">4.3 Scalability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Horizontal autoscaling based on HTTP request concurrency (min 2, max 10 replicas)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Azure Container Apps revision-based scaling with zero-downtime deployments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Database connection pooling via PgBouncer sidecar (max 100 connections per replica)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CDN caching for static frontend assets with 24-hour TTL</w:t>
      </w:r>
    </w:p>
    <w:p>
      <w:pPr>
        <w:pStyle w:val="Heading2"/>
      </w:pPr>
      <w:r>
        <w:t xml:space="preserve">4.4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data encrypted at rest using Azure Storage Service Encryption (AES-256)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data encrypted in transit using TLS 1.3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Secrets managed via Azure Key Vault with managed identity access (no hardcoded credentials)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isolation using Azure Virtual Network with private endpoints for all data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Azure Sentinel integration for SIEM and threat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Vulnerability scanning of container images via Microsoft Defender for Containers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Penetration testing required before production go-live</w:t>
      </w:r>
    </w:p>
    <w:p>
      <w:r>
        <w:br w:type="page"/>
      </w:r>
    </w:p>
    <w:p>
      <w:pPr>
        <w:pStyle w:val="Heading1"/>
      </w:pPr>
      <w:r>
        <w:t xml:space="preserve">5. Compliance Requirements</w:t>
      </w:r>
    </w:p>
    <w:p>
      <w:pPr>
        <w:pStyle w:val="Heading2"/>
      </w:pPr>
      <w:r>
        <w:t xml:space="preserve">5.1 NIST 800-37 / IRAMP Alignment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Clarity itself must be assessed through the IRAMP process it automates. As a system processing internal RTX data with external accessibility, Clarity is categorized as LOE D, requiring 70 controls.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IRAMP LOE D assessment for Clarity as a production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Maintain current ATO with continuous monitoring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 all 70 LOE D controls with evidence artifacts stored in Archer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Support the six-step IRAMP lifecycle natively within the platform</w:t>
      </w:r>
    </w:p>
    <w:p>
      <w:pPr>
        <w:pStyle w:val="Heading2"/>
      </w:pPr>
      <w:r>
        <w:t xml:space="preserve">5.2 DFARS / ITAR Data Handling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Clarity must support assessments involving Controlled Unclassified Information (CUI), Controlled Defense Information (CDI), and ITAR/EAR data, even if Clarity itself does not store this data directly.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 data classification tagging for all assessment records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Enforce DFARS 252.204-7012 requirements for systems that handle CUI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Support 110-control DFARS assessments with full audit trail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Ensure no CUI/CDI/ITAR data is transmitted to external AI models without explicit approval and data loss prevention controls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Maintain separation of assessment data by classification level</w:t>
      </w:r>
    </w:p>
    <w:p>
      <w:pPr>
        <w:pStyle w:val="Heading2"/>
      </w:pPr>
      <w:r>
        <w:t xml:space="preserve">5.3 FedRAMP (Azure Government)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If deployed to Azure Government regions, Clarity must align with FedRAMP High baseline controls.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Deploy to Azure Government (e.g., USGov Virginia) if required by RTX security policy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 FedRAMP-authorized Azure services exclusively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XETA Model Hub token endpoint (login.microsoftonline.us) already uses the US government Azure AD tenant, supporting this path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 continuous monitoring per FedRAMP ConMon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Maintain System Security Plan (SSP) and Plan of Action and Milestones (POA&amp;M)</w:t>
      </w:r>
    </w:p>
    <w:p>
      <w:pPr>
        <w:pStyle w:val="Heading2"/>
      </w:pPr>
      <w:r>
        <w:t xml:space="preserve">5.4 RTX Internal Security Standards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Comply with RTX Cybersecurity policy for all internal applications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 with RTX corporate proxy (devproxy.utc.com) for outbound connections where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Support RTX corporate certificate chain for TLS inspection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Register in RTX’s CMDB and application inventory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RTX privacy impact assessment if processing employee PII</w:t>
      </w:r>
    </w:p>
    <w:p>
      <w:r>
        <w:br w:type="page"/>
      </w:r>
    </w:p>
    <w:p>
      <w:pPr>
        <w:pStyle w:val="Heading1"/>
      </w:pPr>
      <w:r>
        <w:t xml:space="preserve">6. Data Architecture</w:t>
      </w:r>
    </w:p>
    <w:p>
      <w:pPr>
        <w:pStyle w:val="Heading2"/>
      </w:pPr>
      <w:r>
        <w:t xml:space="preserve">6.1 Database Design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production database migrates from the Docker-hosted PostgreSQL container to Azure Database for PostgreSQL Flexible Server. The existing schema remains largely intact with additions for production features.</w:t>
      </w:r>
    </w:p>
    <w:p>
      <w:pPr>
        <w:pStyle w:val="Heading3"/>
      </w:pPr>
      <w:r>
        <w:t xml:space="preserve">6.1.1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Relationships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assessments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IRAMP assessment records with LOE classification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Links to controls, users, systems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 control library (LOE A–D, DFARS)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Many-to-many with assessments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Registered information systems under assessment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Links to CMDB, Archer records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chat_sessions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conversation history for intake flows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Links to assessments,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Uploaded compliance artifacts and policies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Links to assessments, vector store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decision_rules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Configurable GRC decision tree rules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Used by classification engine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audit_log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Immutable record of all user and system actions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Links to users, assessments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6.1.2 Vector Store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Document embeddings are stored using the pgvector extension on the same PostgreSQL instance for operational simplicity, with the option to migrate to Azure AI Search if scale demands it.</w:t>
      </w:r>
    </w:p>
    <w:p>
      <w:pPr>
        <w:pStyle w:val="Heading2"/>
      </w:pPr>
      <w:r>
        <w:t xml:space="preserve">6.2 Data Migration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Export existing development data using pg_dump from Docker container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Transform and load into Azure PostgreSQL using Azure Database Migration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 data integrity with row counts and checksum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Seed production with reference data: control libraries, decision rules, and inheritance mappings</w:t>
      </w:r>
    </w:p>
    <w:p>
      <w:r>
        <w:br w:type="page"/>
      </w:r>
    </w:p>
    <w:p>
      <w:pPr>
        <w:pStyle w:val="Heading1"/>
      </w:pPr>
      <w:r>
        <w:t xml:space="preserve">7. Environment Configuration</w:t>
      </w:r>
    </w:p>
    <w:p>
      <w:pPr>
        <w:pStyle w:val="Heading2"/>
      </w:pPr>
      <w:r>
        <w:t xml:space="preserve">7.1 Environment Variables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following environment variables must be configured in Azure Container Apps, sourced from Azure Key Vault. This extends the current .env file pattern used in development.</w:t>
      </w:r>
    </w:p>
    <w:p>
      <w:pPr>
        <w:pStyle w:val="Heading3"/>
      </w:pPr>
      <w:r>
        <w:t xml:space="preserve">7.1.1 Database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CLARITY_SQL_DB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CLARITY_SQL_USER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clarity_admin (managed identity preferred)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CLARITY_SQL_PASSWORD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Vault reference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CLARITY_SQL_HOST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clarity-db.postgres.database.azure.com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CLARITY_SQL_PORT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5432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7.1.2 Identity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CORP_OIDC_CLIENT_ID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Azure AD App Registration Client 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CORP_OIDC_CLIENT_SECRET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Vault reference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CORP_OIDC_DISCOVERY_ENDPOINT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https://login.microsoftonline.us/{tenant}/.well-known/openid-configuration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CORP_OIDC_ISSUER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https://login.microsoftonline.us/{tenant}/v2.0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7.1.3 XETA Model Hub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XETA_OPENAI_URL_BASE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https://model-hub-gateway.apim.xeta.rtx.com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APIM_SUBSCRIPTION_KEY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Vault reference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XETA_GPT4_URL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https://model-hub-gateway.apim.xeta.rtx.com/openai/deployments/gpt-4o/chat/completions?api-version=2024-10-21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API Specification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Clarity API is built on FastAPI and exposes the following endpoint groups. Full OpenAPI documentation is available at /docs (Swagger UI) and /redoc.</w:t>
      </w:r>
    </w:p>
    <w:p>
      <w:pPr>
        <w:pStyle w:val="Heading2"/>
      </w:pPr>
      <w:r>
        <w:t xml:space="preserve">8.1 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4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/api/v1/assessments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new IRAMP assessment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/api/v1/assessments/{id}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Retrieve assessment with controls and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/api/v1/chat/classify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AI-powered LOE classification from intake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/api/v1/chat/message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 message to GRC chat assistant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/api/v1/controls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controls filtered by LOE level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/api/v1/documents/ingest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 and process document for RAG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/api/v1/documents/search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Semantic search across ingested documents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/api/v1/systems/{id}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Retrieve system info with CMDB/Archer sync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/health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Health check for load balancer probes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/docs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Swagger UI (dev/staging only)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9. Observability and Monitoring</w:t>
      </w:r>
    </w:p>
    <w:p>
      <w:pPr>
        <w:pStyle w:val="Heading2"/>
      </w:pPr>
      <w:r>
        <w:t xml:space="preserve">9.1 Logging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Structured JSON logging from FastAPI and Nuxt.js to Azure Monitor Log Analytics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Correlation IDs across frontend, API, XETA, and Archer for distributed tracing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Log retention: 90 days hot (Log Analytics), 1 year cold (Azure Storage)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PII and credential scrubbing in all log outputs</w:t>
      </w:r>
    </w:p>
    <w:p>
      <w:pPr>
        <w:pStyle w:val="Heading2"/>
      </w:pPr>
      <w:r>
        <w:t xml:space="preserve">9.2 Metrics and Alerting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Azure Application Insights for APM: request rates, response times, failure rates, dependency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Custom metrics: AI classification accuracy, intake completion rate, form auto-fill 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Azure Monitor alerts for: container health, CPU/memory thresholds, API error rate spikes, XETA token refresh failures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PagerDuty or ServiceNow integration for on-call escalation</w:t>
      </w:r>
    </w:p>
    <w:p>
      <w:pPr>
        <w:pStyle w:val="Heading2"/>
      </w:pPr>
      <w:r>
        <w:t xml:space="preserve">9.3 Dashboards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Azure Dashboard for infrastructure health (container replicas, DB connections, network latency)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Power BI dashboards for GRC operational metrics (assessments completed, LOE distribution, time-to-ATO)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Real-time conversation analytics: intent classification accuracy, user satisfaction, handoff rates</w:t>
      </w:r>
    </w:p>
    <w:p>
      <w:r>
        <w:br w:type="page"/>
      </w:r>
    </w:p>
    <w:p>
      <w:pPr>
        <w:pStyle w:val="Heading1"/>
      </w:pPr>
      <w:r>
        <w:t xml:space="preserve">10.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1–4: Foundation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Azure infra (Terraform), CI/CD pipeline, Azure AD integration, DB migration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Azure subscription, AD tenant access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5–8: Core 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deployment to ACA, frontend deployment, XETA integration, health monitoring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 complete, XETA prod credentials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9–12: GRC Features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Decision tree engine, Archer integration, RAG pipeline, intake automation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 complete, Archer API access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13–16: Hardening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 testing, pen testing, IRAMP self-assessment, documentation, training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 complete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17+: GA Launch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go-live, user onboarding, continuous monitoring activation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ATO granted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11.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XETA Model Hub rate limits or outages block AI classification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 intake workflow degrades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 fallback to rule-based classification; cache common patterns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Azure AD integration delays due to RTX tenant policies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launch delayed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AD app registration in Phase 1; maintain Keycloak as fallback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Archer API changes break sync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Assessment data inconsistency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Version-pinned API client; circuit breaker; manual sync fallback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Corporate proxy (devproxy.utc.com) blocks container egress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and runtime failures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Pre-configure proxy in container env; use private endpoints for Azure services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DFARS data inadvertently sent to AI model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Compliance violation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DLP filter on all AI prompts; data classification tags; admin alerts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Windows/Mac dev parity issues persist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Developer friction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Standardize on devcontainers; document known issues (CRLF, PATH)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12. Appendices</w:t>
      </w:r>
    </w:p>
    <w:p>
      <w:pPr>
        <w:pStyle w:val="Heading2"/>
      </w:pPr>
      <w:r>
        <w:t xml:space="preserve">12.1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Authority to Operate – formal authorization for a system to process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Controlled Unclassified Information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DFARS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Defense Federal Acquisition Regulation Supplement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Governance, Risk, and Compliance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IRAMP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Information Risk Assessment and Management Process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International Traffic in Arms Regulations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 of Effort – risk classification (A through 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POA&amp;M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 of Action and Milestones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Retrieval-Augmented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XETA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RTX’s enterprise API management platform for AI model access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12.2 Reference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NIST SP 800-37 Rev. 2: Risk Management Framework for Information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DFARS 252.204-7012: Safeguarding Covered Defense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RTX IRAMP Process Guide (internal)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RTX XETA Model Hub Developer Guide (internal)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ART-clarity-api README.md (GitHub: Type-C-Lite/ART-clarity-api)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ART-CLARA-Copilot README.md (GitHub: Type-C-Lite/ART-CLARA-Copilot)</w:t>
      </w:r>
    </w:p>
    <w:p>
      <w:pPr>
        <w:pStyle w:val="Heading2"/>
      </w:pPr>
      <w:r>
        <w:t xml:space="preserve">12.3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Engineering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Security/GRC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CLARITY PRD</w:t>
    </w:r>
    <w:r>
      <w:rPr>
        <w:rFonts w:ascii="Arial" w:cs="Arial" w:eastAsia="Arial" w:hAnsi="Arial"/>
        <w:color w:val="999999"/>
        <w:sz w:val="18"/>
        <w:szCs w:val="18"/>
      </w:rPr>
      <w:t xml:space="preserve">	RTX Internal – 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336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0066CC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2026-03-03T20:56:16.599Z</dcterms:created>
  <dcterms:modified xsi:type="dcterms:W3CDTF">2026-03-03T20:56:16.600Z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