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7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Meltwater source regions and the Glas δ¹⁸O record: importance, variability and alignment</w:t>
      </w:r>
    </w:p>
    <w:p>
      <w:pPr>
        <w:pStyle w:val="Author"/>
      </w:pPr>
      <w:r>
        <w:t xml:space="preserve">Laura Endres</w:t>
      </w:r>
    </w:p>
    <w:p>
      <w:pPr>
        <w:pStyle w:val="Date"/>
      </w:pPr>
      <w:r>
        <w:t xml:space="preserve">2026-09-29</w:t>
      </w:r>
    </w:p>
    <w:bookmarkStart w:id="9" w:name="questions"/>
    <w:p>
      <w:pPr>
        <w:pStyle w:val="Heading1"/>
      </w:pPr>
      <w:r>
        <w:t xml:space="preserve">Questions</w:t>
      </w:r>
    </w:p>
    <w:p>
      <w:pPr>
        <w:pStyle w:val="FirstParagraph"/>
      </w:pPr>
      <w:r>
        <w:t xml:space="preserve">At the NISA location, which meltwater source region is the most important, and</w:t>
      </w:r>
      <w:r>
        <w:t xml:space="preserve"> </w:t>
      </w:r>
      <w:r>
        <w:t xml:space="preserve">which is the most variable, contributor to the δ¹⁸O anomaly over time? Is</w:t>
      </w:r>
      <w:r>
        <w:t xml:space="preserve"> </w:t>
      </w:r>
      <w:r>
        <w:t xml:space="preserve">there alignment between abrupt δ¹⁸O changes in the Glas data and the modelled</w:t>
      </w:r>
      <w:r>
        <w:t xml:space="preserve"> </w:t>
      </w:r>
      <w:r>
        <w:t xml:space="preserve">discharge, and how can that alignment be quantified?</w:t>
      </w:r>
    </w:p>
    <w:bookmarkEnd w:id="9"/>
    <w:bookmarkStart w:id="11" w:name="data"/>
    <w:p>
      <w:pPr>
        <w:pStyle w:val="Heading1"/>
      </w:pPr>
      <w:r>
        <w:t xml:space="preserve">Data</w:t>
      </w:r>
    </w:p>
    <w:p>
      <w:pPr>
        <w:pStyle w:val="FirstParagraph"/>
      </w:pPr>
      <w:r>
        <w:rPr>
          <w:b/>
          <w:bCs/>
        </w:rPr>
        <w:t xml:space="preserve">Discharge series.</w:t>
      </w:r>
      <w:r>
        <w:t xml:space="preserve"> </w:t>
      </w:r>
      <w:r>
        <w:rPr>
          <w:rStyle w:val="VerbatimChar"/>
        </w:rPr>
        <w:t xml:space="preserve">data/Discharge_Glac1d_regional-withd18O.csv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data/Discharge_ice6g_regional-withd18O.csv</w:t>
      </w:r>
      <w:r>
        <w:t xml:space="preserve"> </w:t>
      </w:r>
      <w:r>
        <w:t xml:space="preserve">are the meltwater forcing series</w:t>
      </w:r>
      <w:r>
        <w:t xml:space="preserve"> </w:t>
      </w:r>
      <w:r>
        <w:t xml:space="preserve">of the impulse-response (Green’s function) forward model of Endres et al.</w:t>
      </w:r>
      <w:r>
        <w:t xml:space="preserve"> </w:t>
      </w:r>
      <w:r>
        <w:t xml:space="preserve">(in prep.;</w:t>
      </w:r>
      <w:r>
        <w:t xml:space="preserve"> </w:t>
      </w:r>
      <w:r>
        <w:rPr>
          <w:rStyle w:val="VerbatimChar"/>
        </w:rPr>
        <w:t xml:space="preserve">Impulse_Response_Revisions_v1.pdf</w:t>
      </w:r>
      <w:r>
        <w:t xml:space="preserve"> </w:t>
      </w:r>
      <w:r>
        <w:t xml:space="preserve">in this repository, Sect. 5.2.3</w:t>
      </w:r>
      <w:r>
        <w:t xml:space="preserve"> </w:t>
      </w:r>
      <w:r>
        <w:t xml:space="preserve">and 5.3.3). They give river-routed meltwater discharge (in Sv) into nine</w:t>
      </w:r>
      <w:r>
        <w:t xml:space="preserve"> </w:t>
      </w:r>
      <w:r>
        <w:t xml:space="preserve">North Atlantic dye-tracer source regions, computed from the GLAC-1D</w:t>
      </w:r>
      <w:r>
        <w:t xml:space="preserve"> </w:t>
      </w:r>
      <w:r>
        <w:t xml:space="preserve">reconstruction (26–0 ka,</w:t>
      </w:r>
      <w:r>
        <w:t xml:space="preserve"> </w:t>
      </w:r>
      <w:r>
        <w:t xml:space="preserve">100-yr steps) and the ICE-6G reconstruction</w:t>
      </w:r>
      <w:r>
        <w:t xml:space="preserve"> </w:t>
      </w:r>
      <w:r>
        <w:t xml:space="preserve">(28 ka to 2 ka after</w:t>
      </w:r>
      <w:r>
        <w:t xml:space="preserve"> </w:t>
      </w:r>
      <w:r>
        <w:t xml:space="preserve">present, 500-yr steps), following the meltwater protocol</w:t>
      </w:r>
      <w:r>
        <w:t xml:space="preserve"> </w:t>
      </w:r>
      <w:r>
        <w:t xml:space="preserve">described in the draft (after Ivanovic et al., 2018, and Romé et al., 2022,</w:t>
      </w:r>
      <w:r>
        <w:t xml:space="preserve"> </w:t>
      </w:r>
      <w:r>
        <w:t xml:space="preserve">as cited there). Time is taken as years BP</w:t>
      </w:r>
      <w:r>
        <w:t xml:space="preserve"> </w:t>
      </w:r>
      <w:r>
        <w:t xml:space="preserve">(negated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t_adj</w:t>
      </w:r>
      <w:r>
        <w:t xml:space="preserve">); both series place their largest pulse at</w:t>
      </w:r>
      <w:r>
        <w:t xml:space="preserve"> </w:t>
      </w:r>
      <w:r>
        <w:t xml:space="preserve">14.4</w:t>
      </w:r>
      <w:r>
        <w:t xml:space="preserve"> </w:t>
      </w:r>
      <w:r>
        <w:t xml:space="preserve">(GLAC-1D) and</w:t>
      </w:r>
      <w:r>
        <w:t xml:space="preserve"> </w:t>
      </w:r>
      <w:r>
        <w:t xml:space="preserve">14.0</w:t>
      </w:r>
      <w:r>
        <w:t xml:space="preserve"> </w:t>
      </w:r>
      <w:r>
        <w:t xml:space="preserve">ka (ICE-6G), i.e. Meltwater Pulse 1A, which supports this convention. The</w:t>
      </w:r>
      <w:r>
        <w:t xml:space="preserve"> </w:t>
      </w:r>
      <w:r>
        <w:t xml:space="preserve">region codes are those of the forward-model draft (Med, Bri, Fen, EurArc,</w:t>
      </w:r>
      <w:r>
        <w:t xml:space="preserve"> </w:t>
      </w:r>
      <w:r>
        <w:t xml:space="preserve">AmeArc, GIS, NLau, SLau, GoM) and correspond, in the same order, to the</w:t>
      </w:r>
      <w:r>
        <w:t xml:space="preserve"> </w:t>
      </w:r>
      <w:r>
        <w:t xml:space="preserve">input regions of Endres et al. (2026b) (</w:t>
      </w:r>
      <w:hyperlink w:anchor="tbl-regions">
        <w:r>
          <w:rPr>
            <w:rStyle w:val="Hyperlink"/>
          </w:rPr>
          <w:t xml:space="preserve">Table 1</w:t>
        </w:r>
      </w:hyperlink>
      <w:r>
        <w:t xml:space="preserve">). Each file also gives</w:t>
      </w:r>
      <w:r>
        <w:t xml:space="preserve"> </w:t>
      </w:r>
      <w:r>
        <w:t xml:space="preserve">the discharge converted to a δ¹⁸O anomaly per region for three ice-sheet</w:t>
      </w:r>
      <w:r>
        <w:t xml:space="preserve"> </w:t>
      </w:r>
      <w:r>
        <w:t xml:space="preserve">end-members (−30, −35, −40 ‰); this is the forcing that the forward model</w:t>
      </w:r>
      <w:r>
        <w:t xml:space="preserve"> </w:t>
      </w:r>
      <w:r>
        <w:t xml:space="preserve">convolves with the site kernels. Within every region the anomaly is a fixed</w:t>
      </w:r>
      <w:r>
        <w:t xml:space="preserve"> </w:t>
      </w:r>
      <w:r>
        <w:t xml:space="preserve">multiple of the discharge, and that multiple, times the region’s surface</w:t>
      </w:r>
      <w:r>
        <w:t xml:space="preserve"> </w:t>
      </w:r>
      <w:r>
        <w:t xml:space="preserve">volume from Endres et al. (2026b), is the same constant for all nine regions</w:t>
      </w:r>
      <w:r>
        <w:t xml:space="preserve"> </w:t>
      </w:r>
      <w:r>
        <w:t xml:space="preserve">(3.14 ± 0.01 × 10¹³ m³ s⁻¹ yr,</w:t>
      </w:r>
      <w:r>
        <w:t xml:space="preserve"> </w:t>
      </w:r>
      <w:hyperlink w:anchor="tbl-regions">
        <w:r>
          <w:rPr>
            <w:rStyle w:val="Hyperlink"/>
          </w:rPr>
          <w:t xml:space="preserve">Table 1</w:t>
        </w:r>
      </w:hyperlink>
      <w:r>
        <w:t xml:space="preserve">), equal to one year of discharge. The anomaly columns are thus</w:t>
      </w:r>
      <w:r>
        <w:t xml:space="preserve"> </w:t>
      </w:r>
      <w:r>
        <w:t xml:space="preserve">the surface δ¹⁸O anomaly of the</w:t>
      </w:r>
      <w:r>
        <w:t xml:space="preserve"> </w:t>
      </w:r>
      <w:r>
        <w:rPr>
          <w:i/>
          <w:iCs/>
        </w:rPr>
        <w:t xml:space="preserve">source region</w:t>
      </w:r>
      <w:r>
        <w:t xml:space="preserve"> </w:t>
      </w:r>
      <w:r>
        <w:t xml:space="preserve">per year of injection,</w:t>
      </w:r>
      <w:r>
        <w:t xml:space="preserve"> </w:t>
      </w:r>
      <w:r>
        <w:t xml:space="preserve">Δδ¹⁸O = Q · 1 yr · δ¹⁸O</w:t>
      </w:r>
      <w:r>
        <w:rPr>
          <w:vertAlign w:val="subscript"/>
        </w:rPr>
        <w:t xml:space="preserve">ice</w:t>
      </w:r>
      <w:r>
        <w:t xml:space="preserve"> </w:t>
      </w:r>
      <w:r>
        <w:t xml:space="preserve">/ V</w:t>
      </w:r>
      <w:r>
        <w:rPr>
          <w:vertAlign w:val="subscript"/>
        </w:rPr>
        <w:t xml:space="preserve">region</w:t>
      </w:r>
      <w:r>
        <w:t xml:space="preserve">, before propagation to NISA. The</w:t>
      </w:r>
      <w:r>
        <w:t xml:space="preserve"> </w:t>
      </w:r>
      <w:r>
        <w:t xml:space="preserve">convolved anomaly at the NISA site (Fig. 5.13C, E of the draft) is not part</w:t>
      </w:r>
      <w:r>
        <w:t xml:space="preserve"> </w:t>
      </w:r>
      <w:r>
        <w:t xml:space="preserve">of the repository data, so</w:t>
      </w:r>
      <w:r>
        <w:t xml:space="preserve"> </w:t>
      </w:r>
      <w:r>
        <w:t xml:space="preserve">“contribution at NISA”</w:t>
      </w:r>
      <w:r>
        <w:t xml:space="preserve"> </w:t>
      </w:r>
      <w:r>
        <w:t xml:space="preserve">is evaluated here on the</w:t>
      </w:r>
      <w:r>
        <w:t xml:space="preserve"> </w:t>
      </w:r>
      <w:r>
        <w:t xml:space="preserve">forcing side. All results below use the −35 ‰ end-member; the other</w:t>
      </w:r>
      <w:r>
        <w:t xml:space="preserve"> </w:t>
      </w:r>
      <w:r>
        <w:t xml:space="preserve">end-members rescale every anomaly by 6/7 or 8/7 and cannot change any</w:t>
      </w:r>
      <w:r>
        <w:t xml:space="preserve"> </w:t>
      </w:r>
      <w:r>
        <w:t xml:space="preserve">ranking, correlation or event timing.</w:t>
      </w:r>
    </w:p>
    <w:p>
      <w:pPr>
        <w:pStyle w:val="BodyText"/>
      </w:pPr>
      <w:r>
        <w:rPr>
          <w:b/>
          <w:bCs/>
        </w:rPr>
        <w:t xml:space="preserve">Glas.</w:t>
      </w:r>
      <w:r>
        <w:t xml:space="preserve"> </w:t>
      </w:r>
      <w:r>
        <w:t xml:space="preserve">Entity 903 (La Vallina cave, NISA), 532</w:t>
      </w:r>
      <w:r>
        <w:t xml:space="preserve"> </w:t>
      </w:r>
      <w:r>
        <w:t xml:space="preserve">δ¹⁸O samples on the original Bchron chronology, 11.9–23.8</w:t>
      </w:r>
      <w:r>
        <w:t xml:space="preserve"> </w:t>
      </w:r>
      <w:r>
        <w:t xml:space="preserve">ka BP (see the companion manuscript on the Glas age range). Abrupt δ¹⁸O</w:t>
      </w:r>
      <w:r>
        <w:t xml:space="preserve"> </w:t>
      </w:r>
      <w:r>
        <w:t xml:space="preserve">transitions identified by Endres et al. (2026a, Table 1) are used as</w:t>
      </w:r>
      <w:r>
        <w:t xml:space="preserve"> </w:t>
      </w:r>
      <w:r>
        <w:t xml:space="preserve">reference events.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reg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Source-region codes in the discharge files, the corresponding input regions of Endres et al. (2026b), their surface volume V, and the empirical scaling k = anomaly / (Q · δ¹⁸O_ice) in the GLAC-1D file. k · V is constant, showing that the anomaly is the source-region anomaly per year of discharge.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50"/>
              <w:gridCol w:w="1795"/>
              <w:gridCol w:w="1161"/>
              <w:gridCol w:w="1267"/>
              <w:gridCol w:w="1584"/>
              <w:gridCol w:w="116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Input region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Ice sheet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 (10¹² m³)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 (‰ Sv⁻¹ ‰⁻¹)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k·V (10¹³)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EIS_MedSea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European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17.90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EIS_BayOfBiscay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European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4.92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EIS_NorwegianSea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European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EurArc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EIS_Arctic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European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4.47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AmeArc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LAU_Arctic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Laurentide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GIS_GreenlandSea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Greenland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4.49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NLau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LAU_LabradorSea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Laurentide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SLau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LAU_StLawrence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Laurentide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GulofMex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LAU_GulfOfMexico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Laurentide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11.90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2.63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3.13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rPr>
          <w:b/>
          <w:bCs/>
        </w:rPr>
        <w:t xml:space="preserve">Importance and variability.</w:t>
      </w:r>
      <w:r>
        <w:t xml:space="preserve"> </w:t>
      </w:r>
      <w:r>
        <w:t xml:space="preserve">For each reconstruction the per-region</w:t>
      </w:r>
      <w:r>
        <w:t xml:space="preserve"> </w:t>
      </w:r>
      <w:r>
        <w:t xml:space="preserve">anomaly series was summarised over the full series and over the Glas</w:t>
      </w:r>
      <w:r>
        <w:t xml:space="preserve"> </w:t>
      </w:r>
      <w:r>
        <w:t xml:space="preserve">interval (11.9–23.8 ka).</w:t>
      </w:r>
      <w:r>
        <w:t xml:space="preserve"> </w:t>
      </w:r>
      <w:r>
        <w:rPr>
          <w:i/>
          <w:iCs/>
        </w:rPr>
        <w:t xml:space="preserve">Importance</w:t>
      </w:r>
      <w:r>
        <w:t xml:space="preserve"> </w:t>
      </w:r>
      <w:r>
        <w:t xml:space="preserve">is the time-mean</w:t>
      </w:r>
      <w:r>
        <w:t xml:space="preserve"> </w:t>
      </w:r>
      <w:r>
        <w:t xml:space="preserve">anomaly (equivalently the time-integrated contribution) and its share of the</w:t>
      </w:r>
      <w:r>
        <w:t xml:space="preserve"> </w:t>
      </w:r>
      <w:r>
        <w:t xml:space="preserve">summed anomaly of all regions.</w:t>
      </w:r>
      <w:r>
        <w:t xml:space="preserve"> </w:t>
      </w:r>
      <w:r>
        <w:rPr>
          <w:i/>
          <w:iCs/>
        </w:rPr>
        <w:t xml:space="preserve">Variability</w:t>
      </w:r>
      <w:r>
        <w:t xml:space="preserve"> </w:t>
      </w:r>
      <w:r>
        <w:t xml:space="preserve">is the standard deviation of the</w:t>
      </w:r>
      <w:r>
        <w:t xml:space="preserve"> </w:t>
      </w:r>
      <w:r>
        <w:t xml:space="preserve">anomaly over time; the coefficient of variation (SD / |mean|) is given as a</w:t>
      </w:r>
      <w:r>
        <w:t xml:space="preserve"> </w:t>
      </w:r>
      <w:r>
        <w:t xml:space="preserve">scale-free complement. Because the anomaly is proportional to discharge, the</w:t>
      </w:r>
      <w:r>
        <w:t xml:space="preserve"> </w:t>
      </w:r>
      <w:r>
        <w:t xml:space="preserve">same rankings hold for discharge itself.</w:t>
      </w:r>
    </w:p>
    <w:p>
      <w:pPr>
        <w:pStyle w:val="BodyText"/>
      </w:pPr>
      <w:r>
        <w:rPr>
          <w:b/>
          <w:bCs/>
        </w:rPr>
        <w:t xml:space="preserve">Alignment with Glas.</w:t>
      </w:r>
      <w:r>
        <w:t xml:space="preserve"> </w:t>
      </w:r>
      <w:r>
        <w:t xml:space="preserve">Glas δ¹⁸O was averaged into the time bins of each</w:t>
      </w:r>
      <w:r>
        <w:t xml:space="preserve"> </w:t>
      </w:r>
      <w:r>
        <w:t xml:space="preserve">reconstruction (100 yr for GLAC-1D, 500 yr for</w:t>
      </w:r>
      <w:r>
        <w:t xml:space="preserve"> </w:t>
      </w:r>
      <w:r>
        <w:t xml:space="preserve">ICE-6G). Three complementary quantifications were used: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Correlation at lag 0</w:t>
      </w:r>
      <w:r>
        <w:t xml:space="preserve"> </w:t>
      </w:r>
      <w:r>
        <w:t xml:space="preserve">between binned Glas δ¹⁸O and the total and</w:t>
      </w:r>
      <w:r>
        <w:t xml:space="preserve"> </w:t>
      </w:r>
      <w:r>
        <w:t xml:space="preserve">per-region anomalies (Pearson r). A negative anomaly means fresher</w:t>
      </w:r>
      <w:r>
        <w:t xml:space="preserve"> </w:t>
      </w:r>
      <w:r>
        <w:t xml:space="preserve">surface water, and a negative Glas δ¹⁸O shift is read as freshening, so</w:t>
      </w:r>
      <w:r>
        <w:t xml:space="preserve"> </w:t>
      </w:r>
      <w:r>
        <w:t xml:space="preserve">alignment corresponds to positive r. Both series are strongly</w:t>
      </w:r>
      <w:r>
        <w:t xml:space="preserve"> </w:t>
      </w:r>
      <w:r>
        <w:t xml:space="preserve">autocorrelated, so significance was assessed against 2,000 AR(1)</w:t>
      </w:r>
      <w:r>
        <w:t xml:space="preserve"> </w:t>
      </w:r>
      <w:r>
        <w:t xml:space="preserve">surrogates of the Glas series with the same lag-1 autocorrelation.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Lead–lag cross-correlation</w:t>
      </w:r>
      <w:r>
        <w:t xml:space="preserve"> </w:t>
      </w:r>
      <w:r>
        <w:t xml:space="preserve">between binned Glas δ¹⁸O and the GLAC-1D</w:t>
      </w:r>
      <w:r>
        <w:t xml:space="preserve"> </w:t>
      </w:r>
      <w:r>
        <w:t xml:space="preserve">total anomaly for lags of ±2,000 yr, with the same surrogate envelope.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Event matching.</w:t>
      </w:r>
      <w:r>
        <w:t xml:space="preserve"> </w:t>
      </w:r>
      <w:r>
        <w:t xml:space="preserve">Discharge pulses were defined on the GLAC-1D total</w:t>
      </w:r>
      <w:r>
        <w:t xml:space="preserve"> </w:t>
      </w:r>
      <w:r>
        <w:t xml:space="preserve">anomaly as 100-yr steps whose change exceeds one standard</w:t>
      </w:r>
      <w:r>
        <w:t xml:space="preserve"> </w:t>
      </w:r>
      <w:r>
        <w:t xml:space="preserve">deviation of all steps (freshening pulses: anomaly becoming more negative;</w:t>
      </w:r>
      <w:r>
        <w:t xml:space="preserve"> </w:t>
      </w:r>
      <w:r>
        <w:t xml:space="preserve">recoveries: anomaly becoming less negative), merging consecutive steps</w:t>
      </w:r>
      <w:r>
        <w:t xml:space="preserve"> </w:t>
      </w:r>
      <w:r>
        <w:t xml:space="preserve">into one pulse at the largest step. Glas events are the six δ¹⁸O</w:t>
      </w:r>
      <w:r>
        <w:t xml:space="preserve"> </w:t>
      </w:r>
      <w:r>
        <w:t xml:space="preserve">transitions of Endres et al. (2026a, Table 1), plus data-driven steps</w:t>
      </w:r>
      <w:r>
        <w:t xml:space="preserve"> </w:t>
      </w:r>
      <w:r>
        <w:t xml:space="preserve">where the change between consecutive 100-yr bins exceeds</w:t>
      </w:r>
      <w:r>
        <w:t xml:space="preserve"> </w:t>
      </w:r>
      <w:r>
        <w:t xml:space="preserve">two standard deviations. A Glas event is matched if a discharge pulse of</w:t>
      </w:r>
      <w:r>
        <w:t xml:space="preserve"> </w:t>
      </w:r>
      <w:r>
        <w:t xml:space="preserve">the same sign lies within ±300 yr. The number of matches was compared</w:t>
      </w:r>
      <w:r>
        <w:t xml:space="preserve"> </w:t>
      </w:r>
      <w:r>
        <w:t xml:space="preserve">with 5,000 random placements of the same events in the Glas interval.</w:t>
      </w:r>
    </w:p>
    <w:bookmarkEnd w:id="12"/>
    <w:bookmarkStart w:id="32" w:name="results"/>
    <w:p>
      <w:pPr>
        <w:pStyle w:val="Heading1"/>
      </w:pPr>
      <w:r>
        <w:t xml:space="preserve">Results</w:t>
      </w:r>
    </w:p>
    <w:bookmarkStart w:id="19" w:name="X8722f422509ecf9ab9ce80a08db445defda6968"/>
    <w:p>
      <w:pPr>
        <w:pStyle w:val="Heading2"/>
      </w:pPr>
      <w:r>
        <w:t xml:space="preserve">Importance and variability of source regions</w:t>
      </w:r>
    </w:p>
    <w:p>
      <w:pPr>
        <w:pStyle w:val="FirstParagraph"/>
      </w:pPr>
      <w:hyperlink w:anchor="fig-stack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regional anomalies through time and</w:t>
      </w:r>
      <w:r>
        <w:t xml:space="preserve"> </w:t>
      </w:r>
      <w:hyperlink w:anchor="tbl-rank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ranks the</w:t>
      </w:r>
      <w:r>
        <w:t xml:space="preserve"> </w:t>
      </w:r>
      <w:r>
        <w:t xml:space="preserve">regions within the Glas interval. The two reconstructions disagree on the</w:t>
      </w:r>
      <w:r>
        <w:t xml:space="preserve"> </w:t>
      </w:r>
      <w:r>
        <w:t xml:space="preserve">single most important region. In GLAC-1D the three largest contributors are</w:t>
      </w:r>
      <w:r>
        <w:t xml:space="preserve"> </w:t>
      </w:r>
      <w:r>
        <w:t xml:space="preserve">nearly tied:</w:t>
      </w:r>
      <w:r>
        <w:t xml:space="preserve"> </w:t>
      </w:r>
      <w:r>
        <w:rPr>
          <w:b/>
          <w:bCs/>
        </w:rPr>
        <w:t xml:space="preserve">EIS_NorwegianSea</w:t>
      </w:r>
      <w:r>
        <w:t xml:space="preserve"> </w:t>
      </w:r>
      <w:r>
        <w:t xml:space="preserve">(mean -1.28 ‰,</w:t>
      </w:r>
      <w:r>
        <w:t xml:space="preserve"> </w:t>
      </w:r>
      <w:r>
        <w:t xml:space="preserve">20 % of the summed anomaly), followed by EIS_Arctic and</w:t>
      </w:r>
      <w:r>
        <w:t xml:space="preserve"> </w:t>
      </w:r>
      <w:r>
        <w:t xml:space="preserve">LAU_Arctic, and the European sectors together supply 53 %</w:t>
      </w:r>
      <w:r>
        <w:t xml:space="preserve"> </w:t>
      </w:r>
      <w:r>
        <w:t xml:space="preserve">of the anomaly versus 47 % from the Laurentide.</w:t>
      </w:r>
      <w:r>
        <w:t xml:space="preserve"> </w:t>
      </w:r>
      <w:r>
        <w:t xml:space="preserve">In ICE-6G the most important region is</w:t>
      </w:r>
      <w:r>
        <w:t xml:space="preserve"> </w:t>
      </w:r>
      <w:r>
        <w:rPr>
          <w:b/>
          <w:bCs/>
        </w:rPr>
        <w:t xml:space="preserve">LAU_GulfOfMexico</w:t>
      </w:r>
      <w:r>
        <w:t xml:space="preserve"> </w:t>
      </w:r>
      <w:r>
        <w:t xml:space="preserve">(mean -1.38 ‰, 22 %), and the Laurentide</w:t>
      </w:r>
      <w:r>
        <w:t xml:space="preserve"> </w:t>
      </w:r>
      <w:r>
        <w:t xml:space="preserve">sectors dominate (57 % versus</w:t>
      </w:r>
      <w:r>
        <w:t xml:space="preserve"> </w:t>
      </w:r>
      <w:r>
        <w:t xml:space="preserve">39 % European). Over the full series (</w:t>
      </w:r>
      <w:hyperlink w:anchor="tbl-rankfull">
        <w:r>
          <w:rPr>
            <w:rStyle w:val="Hyperlink"/>
          </w:rPr>
          <w:t xml:space="preserve">Table 3</w:t>
        </w:r>
      </w:hyperlink>
      <w:r>
        <w:t xml:space="preserve">)</w:t>
      </w:r>
      <w:r>
        <w:t xml:space="preserve"> </w:t>
      </w:r>
      <w:r>
        <w:t xml:space="preserve">the most important region is LAU_Arctic in GLAC-1D and</w:t>
      </w:r>
      <w:r>
        <w:t xml:space="preserve"> </w:t>
      </w:r>
      <w:r>
        <w:t xml:space="preserve">LAU_Arctic in ICE-6G, because both reconstructions route most of</w:t>
      </w:r>
      <w:r>
        <w:t xml:space="preserve"> </w:t>
      </w:r>
      <w:r>
        <w:t xml:space="preserve">Meltwater Pulse 1A and the Holocene melt through the Laurentide sectors.</w:t>
      </w:r>
    </w:p>
    <w:p>
      <w:pPr>
        <w:pStyle w:val="BodyText"/>
      </w:pPr>
      <w:r>
        <w:t xml:space="preserve">The most variable contribution over the Glas interval is</w:t>
      </w:r>
      <w:r>
        <w:t xml:space="preserve"> </w:t>
      </w:r>
      <w:r>
        <w:rPr>
          <w:b/>
          <w:bCs/>
        </w:rPr>
        <w:t xml:space="preserve">EIS_NorwegianSea</w:t>
      </w:r>
      <w:r>
        <w:t xml:space="preserve"> </w:t>
      </w:r>
      <w:r>
        <w:t xml:space="preserve">in GLAC-1D (SD 1.71 ‰, with EIS_Arctic almost</w:t>
      </w:r>
      <w:r>
        <w:t xml:space="preserve"> </w:t>
      </w:r>
      <w:r>
        <w:t xml:space="preserve">equal) and</w:t>
      </w:r>
      <w:r>
        <w:t xml:space="preserve"> </w:t>
      </w:r>
      <w:r>
        <w:rPr>
          <w:b/>
          <w:bCs/>
        </w:rPr>
        <w:t xml:space="preserve">LAU_Arctic</w:t>
      </w:r>
      <w:r>
        <w:t xml:space="preserve"> </w:t>
      </w:r>
      <w:r>
        <w:t xml:space="preserve">in ICE-6G (SD 1.60 ‰). In both</w:t>
      </w:r>
      <w:r>
        <w:t xml:space="preserve"> </w:t>
      </w:r>
      <w:r>
        <w:t xml:space="preserve">reconstructions the variability is concentrated in a few short pulses rather</w:t>
      </w:r>
      <w:r>
        <w:t xml:space="preserve"> </w:t>
      </w:r>
      <w:r>
        <w:t xml:space="preserve">than in a fluctuating background (</w:t>
      </w:r>
      <w:hyperlink w:anchor="fig-stack">
        <w:r>
          <w:rPr>
            <w:rStyle w:val="Hyperlink"/>
          </w:rPr>
          <w:t xml:space="preserve">Figure 1</w:t>
        </w:r>
      </w:hyperlink>
      <w:r>
        <w:t xml:space="preserve">): the regions with the largest SD</w:t>
      </w:r>
      <w:r>
        <w:t xml:space="preserve"> </w:t>
      </w:r>
      <w:r>
        <w:t xml:space="preserve">also have the most negative single values (</w:t>
      </w:r>
      <w:hyperlink w:anchor="tbl-rank">
        <w:r>
          <w:rPr>
            <w:rStyle w:val="Hyperlink"/>
          </w:rPr>
          <w:t xml:space="preserve">Table 2</w:t>
        </w:r>
      </w:hyperlink>
      <w:r>
        <w:t xml:space="preserve">). GIS_GreenlandSea and</w:t>
      </w:r>
      <w:r>
        <w:t xml:space="preserve"> </w:t>
      </w:r>
      <w:r>
        <w:t xml:space="preserve">EIS_MedSea are negligible in GLAC-1D and small and steady in ICE-6G, so they</w:t>
      </w:r>
      <w:r>
        <w:t xml:space="preserve"> </w:t>
      </w:r>
      <w:r>
        <w:t xml:space="preserve">are the least variable in both cases.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stack"/>
          <w:p>
            <w:pPr>
              <w:pStyle w:val="Compact"/>
              <w:jc w:val="center"/>
            </w:pPr>
            <w:r>
              <w:drawing>
                <wp:inline>
                  <wp:extent cx="5334000" cy="41910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nisa_meltwater_sources_files/figure-docx/fig-stack-1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9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Source-region δ¹⁸O anomalies (−35 ‰ end-member) through time for GLAC-1D (top) and ICE-6G (bottom), stacked so that the envelope is the summed anomaly of all nine regions. Grey shading marks the interval covered by Glas.</w:t>
            </w:r>
          </w:p>
          <w:bookmarkEnd w:id="1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tbl-rank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Source regions within the Glas interval, ranked by mean anomaly (importance). Share is the region’s fraction of the summed anomaly; SD is the temporal standard deviation (variability) and CV = SD / |mean|. Values in ‰ for the −35 ‰ end-member.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97"/>
              <w:gridCol w:w="1923"/>
              <w:gridCol w:w="1018"/>
              <w:gridCol w:w="1131"/>
              <w:gridCol w:w="905"/>
              <w:gridCol w:w="792"/>
              <w:gridCol w:w="45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Reconstruction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(‰)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Share (%)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 (‰)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 (‰)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GLAC-1D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EIS_NorwegianSea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-1.28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-9.30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EIS_Arctic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-1.27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-11.71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LAU_Arctic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-1.22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-6.89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EIS_BayOfBiscay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-0.93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-5.38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LAU_GulfOfMexico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-5.03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LAU_LabradorSea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-0.76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-5.11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LAU_StLawrence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-2.25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GIS_GreenlandSea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EIS_MedSea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ICE-6G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LAU_GulfOfMexico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-1.38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-6.38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EIS_NorwegianSea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-1.24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-3.96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LAU_Arctic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-1.19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-5.73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EIS_Arctic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-3.26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LAU_LabradorSea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-0.56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-1.51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LAU_StLawrence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-1.43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EIS_MedSea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EIS_BayOfBiscay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GIS_GreenlandSea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</w:t>
                  </w:r>
                </w:p>
              </w:tc>
            </w:tr>
          </w:tbl>
          <w:bookmarkEnd w:id="17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rankful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As Table 2, but over the full length of each discharge series.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97"/>
              <w:gridCol w:w="1923"/>
              <w:gridCol w:w="1018"/>
              <w:gridCol w:w="1131"/>
              <w:gridCol w:w="905"/>
              <w:gridCol w:w="792"/>
              <w:gridCol w:w="45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Reconstruction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(‰)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Share (%)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 (‰)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 (‰)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GLAC-1D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LAU_Arctic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-6.89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LAU_LabradorSea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-0.83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-5.11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EIS_NorwegianSea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-9.30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EIS_Arctic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-0.63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-11.71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EIS_BayOfBiscay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-5.38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LAU_GulfOfMexico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-5.03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LAU_StLawrence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-2.25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GIS_GreenlandSea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EIS_MedSea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ICE-6G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LAU_Arctic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-0.79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-5.73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EIS_NorwegianSea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-0.68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-3.96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LAU_GulfOfMexico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-6.38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EIS_Arctic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-0.59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-3.26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LAU_LabradorSea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-0.57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-1.90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LAU_StLawrence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-1.43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GIS_GreenlandSea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EIS_MedSea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-0.74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EIS_BayOfBiscay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</w:t>
                  </w:r>
                </w:p>
              </w:tc>
            </w:tr>
          </w:tbl>
          <w:bookmarkEnd w:id="18"/>
          <w:p/>
        </w:tc>
      </w:tr>
    </w:tbl>
    <w:bookmarkEnd w:id="19"/>
    <w:bookmarkStart w:id="31" w:name="Xfbf7f49f076d2597b935e4107e2f71f97ef3ab6"/>
    <w:p>
      <w:pPr>
        <w:pStyle w:val="Heading2"/>
      </w:pPr>
      <w:r>
        <w:t xml:space="preserve">Alignment between Glas δ¹⁸O and discharge</w:t>
      </w:r>
    </w:p>
    <w:p>
      <w:pPr>
        <w:pStyle w:val="FirstParagraph"/>
      </w:pPr>
      <w:r>
        <w:rPr>
          <w:b/>
          <w:bCs/>
        </w:rPr>
        <w:t xml:space="preserve">Correlation at lag 0.</w:t>
      </w:r>
      <w:r>
        <w:t xml:space="preserve"> </w:t>
      </w:r>
      <w:hyperlink w:anchor="tbl-cor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lists the correlations. Binned Glas δ¹⁸O</w:t>
      </w:r>
      <w:r>
        <w:t xml:space="preserve"> </w:t>
      </w:r>
      <w:r>
        <w:t xml:space="preserve">is only weakly correlated with the GLAC-1D total anomaly</w:t>
      </w:r>
      <w:r>
        <w:t xml:space="preserve"> </w:t>
      </w:r>
      <w:r>
        <w:t xml:space="preserve">(r = 0.20, n = 119 bins) and moderately with the</w:t>
      </w:r>
      <w:r>
        <w:t xml:space="preserve"> </w:t>
      </w:r>
      <w:r>
        <w:t xml:space="preserve">ICE-6G total (r = 0.55, n = 25). The strongest</w:t>
      </w:r>
      <w:r>
        <w:t xml:space="preserve"> </w:t>
      </w:r>
      <w:r>
        <w:t xml:space="preserve">regional correlation in both reconstructions is with</w:t>
      </w:r>
      <w:r>
        <w:t xml:space="preserve"> </w:t>
      </w:r>
      <w:r>
        <w:rPr>
          <w:b/>
          <w:bCs/>
        </w:rPr>
        <w:t xml:space="preserve">EIS_NorwegianSea</w:t>
      </w:r>
      <w:r>
        <w:t xml:space="preserve"> </w:t>
      </w:r>
      <w:r>
        <w:t xml:space="preserve">(r = 0.53 in GLAC-1D,</w:t>
      </w:r>
      <w:r>
        <w:t xml:space="preserve"> </w:t>
      </w:r>
      <w:r>
        <w:t xml:space="preserve">0.77 in ICE-6G), the</w:t>
      </w:r>
      <w:r>
        <w:t xml:space="preserve"> </w:t>
      </w:r>
      <w:r>
        <w:t xml:space="preserve">sector that discharges into the Norwegian Sea close to the NISA moisture</w:t>
      </w:r>
      <w:r>
        <w:t xml:space="preserve"> </w:t>
      </w:r>
      <w:r>
        <w:t xml:space="preserve">source. EIS_BayOfBiscay is negatively correlated in GLAC-1D</w:t>
      </w:r>
      <w:r>
        <w:t xml:space="preserve"> </w:t>
      </w:r>
      <w:r>
        <w:t xml:space="preserve">(r = -0.64) because its</w:t>
      </w:r>
      <w:r>
        <w:t xml:space="preserve"> </w:t>
      </w:r>
      <w:r>
        <w:t xml:space="preserve">discharge peaks at 22–23 ka while Glas records re-salinisation. The binned</w:t>
      </w:r>
      <w:r>
        <w:t xml:space="preserve"> </w:t>
      </w:r>
      <w:r>
        <w:t xml:space="preserve">Glas series has a lag-1 autocorrelation of 0.95 at 100-yr</w:t>
      </w:r>
      <w:r>
        <w:t xml:space="preserve"> </w:t>
      </w:r>
      <w:r>
        <w:t xml:space="preserve">resolution, so the effective sample size is small. Against AR(1) surrogates</w:t>
      </w:r>
      <w:r>
        <w:t xml:space="preserve"> </w:t>
      </w:r>
      <w:r>
        <w:t xml:space="preserve">only the EIS_NorwegianSea (positive) and EIS_BayOfBiscay (negative)</w:t>
      </w:r>
      <w:r>
        <w:t xml:space="preserve"> </w:t>
      </w:r>
      <w:r>
        <w:t xml:space="preserve">correlations in GLAC-1D reach p &lt; 0.05</w:t>
      </w:r>
      <w:r>
        <w:t xml:space="preserve"> </w:t>
      </w:r>
      <w:r>
        <w:t xml:space="preserve">(p = 0.041 and</w:t>
      </w:r>
      <w:r>
        <w:t xml:space="preserve"> </w:t>
      </w:r>
      <w:r>
        <w:t xml:space="preserve">0.043); the total</w:t>
      </w:r>
      <w:r>
        <w:t xml:space="preserve"> </w:t>
      </w:r>
      <w:r>
        <w:t xml:space="preserve">anomalies do not (p = 0.383 and 0.243), and nothing</w:t>
      </w:r>
      <w:r>
        <w:t xml:space="preserve"> </w:t>
      </w:r>
      <w:r>
        <w:t xml:space="preserve">does in ICE-6G with 25 bins. Correlation of first differences is</w:t>
      </w:r>
      <w:r>
        <w:t xml:space="preserve"> </w:t>
      </w:r>
      <w:r>
        <w:t xml:space="preserve">likewise weak (r = 0.11). Level correlations therefore do not</w:t>
      </w:r>
      <w:r>
        <w:t xml:space="preserve"> </w:t>
      </w:r>
      <w:r>
        <w:t xml:space="preserve">demonstrate alignment: both series share a long-term deglacial trend and a</w:t>
      </w:r>
      <w:r>
        <w:t xml:space="preserve"> </w:t>
      </w:r>
      <w:r>
        <w:t xml:space="preserve">few pulses, which is not enough to separate from red noise.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c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Pearson correlation between binned Glas δ¹⁸O and the total and per-region source anomalies at lag 0. p is the two-sided fraction of AR(1) surrogates of the Glas series with |r| at least as large.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Series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(GLAC-1D)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(ICE-6G)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(all regions)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0.383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EIS_MedSea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-0.79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EIS_BayOfBiscay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EIS_NorwegianSea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0.041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EIS_Arctic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0.362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LAU_Arctic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GIS_GreenlandSea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0.183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LAU_LabradorSea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LAU_StLawrence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LAU_GulfOfMexico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0.230</w:t>
                  </w:r>
                </w:p>
              </w:tc>
            </w:tr>
          </w:tbl>
          <w:bookmarkEnd w:id="20"/>
          <w:p/>
        </w:tc>
      </w:tr>
    </w:tbl>
    <w:p>
      <w:pPr>
        <w:pStyle w:val="BodyText"/>
      </w:pPr>
      <w:r>
        <w:rPr>
          <w:b/>
          <w:bCs/>
        </w:rPr>
        <w:t xml:space="preserve">Lead–lag.</w:t>
      </w:r>
      <w:r>
        <w:t xml:space="preserve"> </w:t>
      </w:r>
      <w:r>
        <w:t xml:space="preserve">The cross-correlation between Glas δ¹⁸O and the GLAC-1D total</w:t>
      </w:r>
      <w:r>
        <w:t xml:space="preserve"> </w:t>
      </w:r>
      <w:r>
        <w:t xml:space="preserve">anomaly (</w:t>
      </w:r>
      <w:hyperlink w:anchor="fig-ccf">
        <w:r>
          <w:rPr>
            <w:rStyle w:val="Hyperlink"/>
          </w:rPr>
          <w:t xml:space="preserve">Figure 2</w:t>
        </w:r>
      </w:hyperlink>
      <w:r>
        <w:t xml:space="preserve">) is highest at a lag of -700 yr</w:t>
      </w:r>
      <w:r>
        <w:t xml:space="preserve"> </w:t>
      </w:r>
      <w:r>
        <w:t xml:space="preserve">(r = 0.40), i.e. with the Glas record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the GLAC-1D</w:t>
      </w:r>
      <w:r>
        <w:t xml:space="preserve"> </w:t>
      </w:r>
      <w:r>
        <w:t xml:space="preserve">discharge by about 700 yr, compared with</w:t>
      </w:r>
      <w:r>
        <w:t xml:space="preserve"> </w:t>
      </w:r>
      <w:r>
        <w:t xml:space="preserve">r = 0.20 at zero lag. The peak lies</w:t>
      </w:r>
      <w:r>
        <w:t xml:space="preserve"> </w:t>
      </w:r>
      <w:r>
        <w:t xml:space="preserve">within the 95 % surrogate</w:t>
      </w:r>
      <w:r>
        <w:t xml:space="preserve"> </w:t>
      </w:r>
      <w:r>
        <w:t xml:space="preserve">envelope. This is consistent with the observation in Endres et al. (2026a)</w:t>
      </w:r>
      <w:r>
        <w:t xml:space="preserve"> </w:t>
      </w:r>
      <w:r>
        <w:t xml:space="preserve">that GLAC-1D places the deglacial melt events roughly 500 yr later than Glas.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cf"/>
          <w:p>
            <w:pPr>
              <w:pStyle w:val="Compact"/>
              <w:jc w:val="center"/>
            </w:pPr>
            <w:r>
              <w:drawing>
                <wp:inline>
                  <wp:extent cx="5334000" cy="28448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nisa_meltwater_sources_files/figure-docx/fig-ccf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Cross-correlation between binned Glas δ¹⁸O and the GLAC-1D total source anomaly. Positive lags mean the discharge leads Glas; negative lags mean Glas leads. Shading: 95 % envelope from 2,000 AR(1) surrogates of the Glas series.</w:t>
            </w:r>
          </w:p>
          <w:bookmarkEnd w:id="24"/>
        </w:tc>
      </w:tr>
    </w:tbl>
    <w:p>
      <w:pPr>
        <w:pStyle w:val="BodyText"/>
      </w:pPr>
      <w:r>
        <w:rPr>
          <w:b/>
          <w:bCs/>
        </w:rPr>
        <w:t xml:space="preserve">Event matching.</w:t>
      </w:r>
      <w:r>
        <w:t xml:space="preserve"> </w:t>
      </w:r>
      <w:r>
        <w:t xml:space="preserve">The GLAC-1D total anomaly within the Glas interval has</w:t>
      </w:r>
      <w:r>
        <w:t xml:space="preserve"> </w:t>
      </w:r>
      <w:r>
        <w:t xml:space="preserve">12 freshening pulses and 9</w:t>
      </w:r>
      <w:r>
        <w:t xml:space="preserve"> </w:t>
      </w:r>
      <w:r>
        <w:t xml:space="preserve">recoveries exceeding the 1-SD threshold of 2.9 ‰ per</w:t>
      </w:r>
      <w:r>
        <w:t xml:space="preserve"> </w:t>
      </w:r>
      <w:r>
        <w:t xml:space="preserve">100 yr (</w:t>
      </w:r>
      <w:hyperlink w:anchor="fig-events">
        <w:r>
          <w:rPr>
            <w:rStyle w:val="Hyperlink"/>
          </w:rPr>
          <w:t xml:space="preserve">Figure 3</w:t>
        </w:r>
      </w:hyperlink>
      <w:r>
        <w:t xml:space="preserve">,</w:t>
      </w:r>
      <w:r>
        <w:t xml:space="preserve"> </w:t>
      </w:r>
      <w:hyperlink w:anchor="tbl-events">
        <w:r>
          <w:rPr>
            <w:rStyle w:val="Hyperlink"/>
          </w:rPr>
          <w:t xml:space="preserve">Table 6</w:t>
        </w:r>
      </w:hyperlink>
      <w:r>
        <w:t xml:space="preserve">). Of the six δ¹⁸O events of</w:t>
      </w:r>
      <w:r>
        <w:t xml:space="preserve"> </w:t>
      </w:r>
      <w:r>
        <w:t xml:space="preserve">Endres et al. (2026a), 4 have a same-sign pulse within ±300 yr;</w:t>
      </w:r>
      <w:r>
        <w:t xml:space="preserve"> </w:t>
      </w:r>
      <w:r>
        <w:t xml:space="preserve">random placement of six such events gives 2.5 matches on</w:t>
      </w:r>
      <w:r>
        <w:t xml:space="preserve"> </w:t>
      </w:r>
      <w:r>
        <w:t xml:space="preserve">average (p = 0.179), because with 21 pulses in</w:t>
      </w:r>
      <w:r>
        <w:t xml:space="preserve"> </w:t>
      </w:r>
      <w:r>
        <w:t xml:space="preserve">11.9 kyr a ±300-yr window is rarely empty.</w:t>
      </w:r>
      <w:r>
        <w:t xml:space="preserve"> </w:t>
      </w:r>
      <w:r>
        <w:t xml:space="preserve">Including the 4 data-driven steps, 5 of 10</w:t>
      </w:r>
      <w:r>
        <w:t xml:space="preserve"> </w:t>
      </w:r>
      <w:r>
        <w:t xml:space="preserve">events match (p = 0.387).</w:t>
      </w:r>
      <w:r>
        <w:t xml:space="preserve"> </w:t>
      </w:r>
      <w:hyperlink w:anchor="tbl-sen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shows how this depends on the</w:t>
      </w:r>
      <w:r>
        <w:t xml:space="preserve"> </w:t>
      </w:r>
      <w:r>
        <w:t xml:space="preserve">pulse threshold and the tolerance. With tolerances of ±200–300 yr the match</w:t>
      </w:r>
      <w:r>
        <w:t xml:space="preserve"> </w:t>
      </w:r>
      <w:r>
        <w:t xml:space="preserve">count is at or above the random expectation for every threshold but not</w:t>
      </w:r>
      <w:r>
        <w:t xml:space="preserve"> </w:t>
      </w:r>
      <w:r>
        <w:t xml:space="preserve">significant (p ≥ 0.103). With a ±500-yr</w:t>
      </w:r>
      <w:r>
        <w:t xml:space="preserve"> </w:t>
      </w:r>
      <w:r>
        <w:t xml:space="preserve">tolerance 6 of 6 events</w:t>
      </w:r>
      <w:r>
        <w:t xml:space="preserve"> </w:t>
      </w:r>
      <w:r>
        <w:t xml:space="preserve">are matched at the 1-SD threshold and</w:t>
      </w:r>
      <w:r>
        <w:t xml:space="preserve"> </w:t>
      </w:r>
      <w:r>
        <w:t xml:space="preserve">5 of 6 at the 2-SD</w:t>
      </w:r>
      <w:r>
        <w:t xml:space="preserve"> </w:t>
      </w:r>
      <w:r>
        <w:t xml:space="preserve">threshold (the 9 largest</w:t>
      </w:r>
      <w:r>
        <w:t xml:space="preserve"> </w:t>
      </w:r>
      <w:r>
        <w:t xml:space="preserve">pulses), with p = 0.047 and</w:t>
      </w:r>
      <w:r>
        <w:t xml:space="preserve"> </w:t>
      </w:r>
      <w:r>
        <w:t xml:space="preserve">0.016. The Glas events thus</w:t>
      </w:r>
      <w:r>
        <w:t xml:space="preserve"> </w:t>
      </w:r>
      <w:r>
        <w:t xml:space="preserve">coincide with GLAC-1D pulses at the ~500-yr level, which is also the scale of</w:t>
      </w:r>
      <w:r>
        <w:t xml:space="preserve"> </w:t>
      </w:r>
      <w:r>
        <w:t xml:space="preserve">the age-model offsets between the two archives, but not at the 100–300-yr</w:t>
      </w:r>
      <w:r>
        <w:t xml:space="preserve"> </w:t>
      </w:r>
      <w:r>
        <w:t xml:space="preserve">level. The offsets of the Table 1 events range from -360 to</w:t>
      </w:r>
      <w:r>
        <w:t xml:space="preserve"> </w:t>
      </w:r>
      <w:r>
        <w:t xml:space="preserve">380 yr (median 55 yr, positive = Glas</w:t>
      </w:r>
      <w:r>
        <w:t xml:space="preserve"> </w:t>
      </w:r>
      <w:r>
        <w:t xml:space="preserve">earlier), i.e. the events show no consistent lead or lag at the event level;</w:t>
      </w:r>
      <w:r>
        <w:t xml:space="preserve"> </w:t>
      </w:r>
      <w:r>
        <w:t xml:space="preserve">the ~700-yr lead in the cross-correlation reflects the broad</w:t>
      </w:r>
      <w:r>
        <w:t xml:space="preserve"> </w:t>
      </w:r>
      <w:r>
        <w:t xml:space="preserve">shape of the Heinrich Stadial 1 trough rather than the individual pulses.</w:t>
      </w:r>
    </w:p>
    <w:p>
      <w:pPr>
        <w:pStyle w:val="BodyText"/>
      </w:pPr>
      <w:r>
        <w:t xml:space="preserve">The correspondences are specific rather than statistical. The Heinrich</w:t>
      </w:r>
      <w:r>
        <w:t xml:space="preserve"> </w:t>
      </w:r>
      <w:r>
        <w:t xml:space="preserve">Stadial 1 freshening events 16.4kS, 16.1kS and 15.3kS fall within</w:t>
      </w:r>
      <w:r>
        <w:t xml:space="preserve"> </w:t>
      </w:r>
      <w:r>
        <w:t xml:space="preserve">130 yr</w:t>
      </w:r>
      <w:r>
        <w:t xml:space="preserve"> </w:t>
      </w:r>
      <w:r>
        <w:t xml:space="preserve">of the GLAC-1D pulses at 16.2–16.4 and 15.2 ka. The abrupt freshening onset</w:t>
      </w:r>
      <w:r>
        <w:t xml:space="preserve"> </w:t>
      </w:r>
      <w:r>
        <w:t xml:space="preserve">at 17.8kS follows the GLAC-1D pulse at 18.2 ka (the Eurasian Arctic peak)</w:t>
      </w:r>
      <w:r>
        <w:t xml:space="preserve"> </w:t>
      </w:r>
      <w:r>
        <w:t xml:space="preserve">by 360 yr, just outside the</w:t>
      </w:r>
      <w:r>
        <w:t xml:space="preserve"> </w:t>
      </w:r>
      <w:r>
        <w:t xml:space="preserve">±300-yr window; the forward-model draft discusses this either as a delayed</w:t>
      </w:r>
      <w:r>
        <w:t xml:space="preserve"> </w:t>
      </w:r>
      <w:r>
        <w:t xml:space="preserve">response to that Arctic pulse or, on the timing of AMOC proxies, as</w:t>
      </w:r>
      <w:r>
        <w:t xml:space="preserve"> </w:t>
      </w:r>
      <w:r>
        <w:t xml:space="preserve">meltwater retained at the surface by AMOC weakening. The re-salinisation at</w:t>
      </w:r>
      <w:r>
        <w:t xml:space="preserve"> </w:t>
      </w:r>
      <w:r>
        <w:t xml:space="preserve">14.7kS coincides with Meltwater Pulse 1A, the largest freshening pulse of the</w:t>
      </w:r>
      <w:r>
        <w:t xml:space="preserve"> </w:t>
      </w:r>
      <w:r>
        <w:t xml:space="preserve">series, an alignment of opposite sign that the draft reproduces as AMOC</w:t>
      </w:r>
      <w:r>
        <w:t xml:space="preserve"> </w:t>
      </w:r>
      <w:r>
        <w:t xml:space="preserve">re-strengthening cancelling the anomaly at NISA. The data-driven Glas steps</w:t>
      </w:r>
      <w:r>
        <w:t xml:space="preserve"> </w:t>
      </w:r>
      <w:r>
        <w:t xml:space="preserve">at 12.9–12.3 ka have no counterpart within 300 yr, and the large GLAC-1D</w:t>
      </w:r>
      <w:r>
        <w:t xml:space="preserve"> </w:t>
      </w:r>
      <w:r>
        <w:t xml:space="preserve">pulses of the Younger Dryas (13.3 and 11.7 ka) have no counterpart in Glas,</w:t>
      </w:r>
      <w:r>
        <w:t xml:space="preserve"> </w:t>
      </w:r>
      <w:r>
        <w:t xml:space="preserve">which the draft also notes as the main mismatch besides the LGM Bay of</w:t>
      </w:r>
      <w:r>
        <w:t xml:space="preserve"> </w:t>
      </w:r>
      <w:r>
        <w:t xml:space="preserve">Biscay discharge.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se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Sensitivity of the event matching (six Table 1 events) to the pulse threshold (multiples of the SD of 100-yr steps in the GLAC-1D total anomaly) and the matching tolerance. Null mean and p are from 2,000 random placements of the six events.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747"/>
              <w:gridCol w:w="1747"/>
              <w:gridCol w:w="815"/>
              <w:gridCol w:w="1747"/>
              <w:gridCol w:w="1164"/>
              <w:gridCol w:w="69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Threshold (SD)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Tolerance (yr)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Pulses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Matched (of 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0.016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ev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Abrupt Glas δ¹⁸O events and the nearest same-sign pulse in the GLAC-1D total anomaly. Sign: −1 freshening, +1 re-salinisation. Offset is Glas age minus pulse age (positive: Glas earlier). Matched: |offset| ≤ 300 yr.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95"/>
              <w:gridCol w:w="2134"/>
              <w:gridCol w:w="964"/>
              <w:gridCol w:w="895"/>
              <w:gridCol w:w="344"/>
              <w:gridCol w:w="1308"/>
              <w:gridCol w:w="826"/>
              <w:gridCol w:w="55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Midpoint (ka)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95 % CI (ka)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Sign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Nearest pulse (ka)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Offset (yr)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Matched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23.4kS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Endres et al. (2026a), Table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23.3–24.1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17.8kS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Endres et al. (2026a), Table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17.8–18.0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-360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16.4kS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Endres et al. (2026a), Table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16.1–16.6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16.1kS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Endres et al. (2026a), Table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15.9–16.4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16.0k (step)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 step &gt; 2 SD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-200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15.3kS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Endres et al. (2026a), Table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15.1–15.4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14.7kS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Endres et al. (2026a), Table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14.5–14.8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12.9k (step)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 step &gt; 2 SD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12.9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-400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12.4k (step)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 step &gt; 2 SD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12.4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12.3k (step)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 step &gt; 2 SD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12.3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-1,000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</w:tr>
          </w:tbl>
          <w:bookmarkEnd w:id="26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events"/>
          <w:p>
            <w:pPr>
              <w:pStyle w:val="Compact"/>
              <w:jc w:val="center"/>
            </w:pPr>
            <w:r>
              <w:drawing>
                <wp:inline>
                  <wp:extent cx="5334000" cy="49530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nisa_meltwater_sources_files/figure-docx/fig-events-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5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Glas δ¹⁸O (top; points are samples, line is the 100-yr bin mean) and the total source anomaly of GLAC-1D (middle) and ICE-6G (bottom). Dashed lines: δ¹⁸O events of Endres et al. (2026a), blue = freshening, red = re-salinisation. Triangles: GLAC-1D pulses (down = freshening, up = recovery).</w:t>
            </w:r>
          </w:p>
          <w:bookmarkEnd w:id="30"/>
        </w:tc>
      </w:tr>
    </w:tbl>
    <w:bookmarkEnd w:id="31"/>
    <w:bookmarkEnd w:id="32"/>
    <w:bookmarkStart w:id="33" w:name="answer"/>
    <w:p>
      <w:pPr>
        <w:pStyle w:val="Heading1"/>
      </w:pPr>
      <w:r>
        <w:t xml:space="preserve">Answer</w:t>
      </w:r>
    </w:p>
    <w:p>
      <w:pPr>
        <w:pStyle w:val="FirstParagraph"/>
      </w:pPr>
      <w:r>
        <w:rPr>
          <w:b/>
          <w:bCs/>
        </w:rPr>
        <w:t xml:space="preserve">Most important source region.</w:t>
      </w:r>
      <w:r>
        <w:t xml:space="preserve"> </w:t>
      </w:r>
      <w:r>
        <w:t xml:space="preserve">It depends on the ice-sheet reconstruction.</w:t>
      </w:r>
      <w:r>
        <w:t xml:space="preserve"> </w:t>
      </w:r>
      <w:r>
        <w:t xml:space="preserve">Within the Glas interval (11.9–23.8 ka), GLAC-1D gives</w:t>
      </w:r>
      <w:r>
        <w:t xml:space="preserve"> </w:t>
      </w:r>
      <w:r>
        <w:t xml:space="preserve">EIS_NorwegianSea (20 % of the summed source anomaly), with</w:t>
      </w:r>
      <w:r>
        <w:t xml:space="preserve"> </w:t>
      </w:r>
      <w:r>
        <w:t xml:space="preserve">EIS_Arctic and LAU_Arctic almost equal, and the European sectors together</w:t>
      </w:r>
      <w:r>
        <w:t xml:space="preserve"> </w:t>
      </w:r>
      <w:r>
        <w:t xml:space="preserve">provide 53 %. ICE-6G gives LAU_GulfOfMexico</w:t>
      </w:r>
      <w:r>
        <w:t xml:space="preserve"> </w:t>
      </w:r>
      <w:r>
        <w:t xml:space="preserve">(22 %), with the Laurentide sectors providing</w:t>
      </w:r>
      <w:r>
        <w:t xml:space="preserve"> </w:t>
      </w:r>
      <w:r>
        <w:t xml:space="preserve">57 %. Over the full series both reconstructions</w:t>
      </w:r>
      <w:r>
        <w:t xml:space="preserve"> </w:t>
      </w:r>
      <w:r>
        <w:t xml:space="preserve">put a Laurentide sector first (LAU_Arctic and LAU_Arctic).</w:t>
      </w:r>
    </w:p>
    <w:p>
      <w:pPr>
        <w:pStyle w:val="BodyText"/>
      </w:pPr>
      <w:r>
        <w:rPr>
          <w:b/>
          <w:bCs/>
        </w:rPr>
        <w:t xml:space="preserve">Most variable source region.</w:t>
      </w:r>
      <w:r>
        <w:t xml:space="preserve"> </w:t>
      </w:r>
      <w:r>
        <w:t xml:space="preserve">EIS_NorwegianSea in GLAC-1D</w:t>
      </w:r>
      <w:r>
        <w:t xml:space="preserve"> </w:t>
      </w:r>
      <w:r>
        <w:t xml:space="preserve">(SD 1.71 ‰ over the Glas interval; EIS_Arctic is a close second)</w:t>
      </w:r>
      <w:r>
        <w:t xml:space="preserve"> </w:t>
      </w:r>
      <w:r>
        <w:t xml:space="preserve">and LAU_Arctic in ICE-6G (SD 1.60 ‰). In both cases the</w:t>
      </w:r>
      <w:r>
        <w:t xml:space="preserve"> </w:t>
      </w:r>
      <w:r>
        <w:t xml:space="preserve">variability comes from a small number of large, short pulses.</w:t>
      </w:r>
    </w:p>
    <w:p>
      <w:pPr>
        <w:pStyle w:val="BodyText"/>
      </w:pPr>
      <w:r>
        <w:rPr>
          <w:b/>
          <w:bCs/>
        </w:rPr>
        <w:t xml:space="preserve">Alignment with Glas.</w:t>
      </w:r>
      <w:r>
        <w:t xml:space="preserve"> </w:t>
      </w:r>
      <w:r>
        <w:t xml:space="preserve">Level correlations are weak to moderate</w:t>
      </w:r>
      <w:r>
        <w:t xml:space="preserve"> </w:t>
      </w:r>
      <w:r>
        <w:t xml:space="preserve">(r = 0.20 with GLAC-1D, 0.55 with ICE-6G) and</w:t>
      </w:r>
      <w:r>
        <w:t xml:space="preserve"> </w:t>
      </w:r>
      <w:r>
        <w:t xml:space="preserve">not significant against red-noise surrogates; the highest regional</w:t>
      </w:r>
      <w:r>
        <w:t xml:space="preserve"> </w:t>
      </w:r>
      <w:r>
        <w:t xml:space="preserve">correlation is with EIS_NorwegianSea. Two quantifications do show</w:t>
      </w:r>
      <w:r>
        <w:t xml:space="preserve"> </w:t>
      </w:r>
      <w:r>
        <w:t xml:space="preserve">structure: (i) the lead–lag cross-correlation with GLAC-1D peaks with Glas</w:t>
      </w:r>
      <w:r>
        <w:t xml:space="preserve"> </w:t>
      </w:r>
      <w:r>
        <w:t xml:space="preserve">leading by about 700 yr (r = 0.40, within the</w:t>
      </w:r>
      <w:r>
        <w:t xml:space="preserve"> </w:t>
      </w:r>
      <w:r>
        <w:t xml:space="preserve">red-noise envelope), and (ii) 4 of the six published abrupt Glas</w:t>
      </w:r>
      <w:r>
        <w:t xml:space="preserve"> </w:t>
      </w:r>
      <w:r>
        <w:t xml:space="preserve">events have a same-sign GLAC-1D pulse within ±300 yr, against</w:t>
      </w:r>
      <w:r>
        <w:t xml:space="preserve"> </w:t>
      </w:r>
      <w:r>
        <w:t xml:space="preserve">2.5 expected by chance (p = 0.179), with offsets</w:t>
      </w:r>
      <w:r>
        <w:t xml:space="preserve"> </w:t>
      </w:r>
      <w:r>
        <w:t xml:space="preserve">between -360 and 380 yr; widening the</w:t>
      </w:r>
      <w:r>
        <w:t xml:space="preserve"> </w:t>
      </w:r>
      <w:r>
        <w:t xml:space="preserve">tolerance to ±500 yr matches 5</w:t>
      </w:r>
      <w:r>
        <w:t xml:space="preserve"> </w:t>
      </w:r>
      <w:r>
        <w:t xml:space="preserve">of six events against the 9</w:t>
      </w:r>
      <w:r>
        <w:t xml:space="preserve"> </w:t>
      </w:r>
      <w:r>
        <w:t xml:space="preserve">largest pulses (p = 0.016), so</w:t>
      </w:r>
      <w:r>
        <w:t xml:space="preserve"> </w:t>
      </w:r>
      <w:r>
        <w:t xml:space="preserve">the coincidence is significant at the ~500-yr but not the centennial</w:t>
      </w:r>
      <w:r>
        <w:t xml:space="preserve"> </w:t>
      </w:r>
      <w:r>
        <w:t xml:space="preserve">scale. The alignment</w:t>
      </w:r>
      <w:r>
        <w:t xml:space="preserve"> </w:t>
      </w:r>
      <w:r>
        <w:t xml:space="preserve">is event-specific: the three Heinrich Stadial 1 freshening events match</w:t>
      </w:r>
      <w:r>
        <w:t xml:space="preserve"> </w:t>
      </w:r>
      <w:r>
        <w:t xml:space="preserve">GLAC-1D pulses to within a few hundred years, the 17.8 ka onset lags the</w:t>
      </w:r>
      <w:r>
        <w:t xml:space="preserve"> </w:t>
      </w:r>
      <w:r>
        <w:t xml:space="preserve">GLAC-1D Arctic pulse by ~360 yr,</w:t>
      </w:r>
      <w:r>
        <w:t xml:space="preserve"> </w:t>
      </w:r>
      <w:r>
        <w:t xml:space="preserve">and the 14.7 ka re-salinisation coincides with Meltwater Pulse 1A with</w:t>
      </w:r>
      <w:r>
        <w:t xml:space="preserve"> </w:t>
      </w:r>
      <w:r>
        <w:t xml:space="preserve">opposite sign. The appropriate quantification is therefore event-level</w:t>
      </w:r>
      <w:r>
        <w:t xml:space="preserve"> </w:t>
      </w:r>
      <w:r>
        <w:t xml:space="preserve">matching (offset per event, plus a Monte-Carlo null for the match count)</w:t>
      </w:r>
      <w:r>
        <w:t xml:space="preserve"> </w:t>
      </w:r>
      <w:r>
        <w:t xml:space="preserve">rather than correlation of the series, and, for a physically consistent</w:t>
      </w:r>
      <w:r>
        <w:t xml:space="preserve"> </w:t>
      </w:r>
      <w:r>
        <w:t xml:space="preserve">test, the comparison should be made with the convolved forward-model output</w:t>
      </w:r>
      <w:r>
        <w:t xml:space="preserve"> </w:t>
      </w:r>
      <w:r>
        <w:t xml:space="preserve">at NISA, which carries the AMOC-state dependence that explains the</w:t>
      </w:r>
      <w:r>
        <w:t xml:space="preserve"> </w:t>
      </w:r>
      <w:r>
        <w:t xml:space="preserve">opposite-sign case.</w:t>
      </w:r>
    </w:p>
    <w:p>
      <w:pPr>
        <w:pStyle w:val="BodyText"/>
      </w:pPr>
      <w:r>
        <w:rPr>
          <w:b/>
          <w:bCs/>
        </w:rPr>
        <w:t xml:space="preserve">Caveats.</w:t>
      </w:r>
      <w:r>
        <w:t xml:space="preserve"> </w:t>
      </w:r>
      <w:r>
        <w:t xml:space="preserve">The anomaly columns are the forward model’s forcing: source-region</w:t>
      </w:r>
      <w:r>
        <w:t xml:space="preserve"> </w:t>
      </w:r>
      <w:r>
        <w:t xml:space="preserve">anomalies that scale with discharge divided by region volume. They do not</w:t>
      </w:r>
      <w:r>
        <w:t xml:space="preserve"> </w:t>
      </w:r>
      <w:r>
        <w:t xml:space="preserve">include the transport from each region to NISA, which Endres et al. (2026b)</w:t>
      </w:r>
      <w:r>
        <w:t xml:space="preserve"> </w:t>
      </w:r>
      <w:r>
        <w:t xml:space="preserve">and the forward-model draft show is weak for the Arctic sectors and strong</w:t>
      </w:r>
      <w:r>
        <w:t xml:space="preserve"> </w:t>
      </w:r>
      <w:r>
        <w:t xml:space="preserve">for the Bay of Biscay and Norwegian Sea sectors, nor the AMOC-mode dependence</w:t>
      </w:r>
      <w:r>
        <w:t xml:space="preserve"> </w:t>
      </w:r>
      <w:r>
        <w:t xml:space="preserve">of the kernels. Weighting by that transport would shift the</w:t>
      </w:r>
      <w:r>
        <w:t xml:space="preserve"> </w:t>
      </w:r>
      <w:r>
        <w:t xml:space="preserve">“most important”</w:t>
      </w:r>
      <w:r>
        <w:t xml:space="preserve"> </w:t>
      </w:r>
      <w:r>
        <w:t xml:space="preserve">ranking further toward the European sectors. The event analysis uses the</w:t>
      </w:r>
      <w:r>
        <w:t xml:space="preserve"> </w:t>
      </w:r>
      <w:r>
        <w:t xml:space="preserve">GLAC-1D series only, because the 500-yr resolution of ICE-6G is coarser than</w:t>
      </w:r>
      <w:r>
        <w:t xml:space="preserve"> </w:t>
      </w:r>
      <w:r>
        <w:t xml:space="preserve">the events themselves.</w:t>
      </w:r>
    </w:p>
    <w:bookmarkEnd w:id="33"/>
    <w:bookmarkStart w:id="34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Endres, L., Pérez-Mejías, C., Ivanovic, R., Gregoire, L., Hughes, A. L. C.,</w:t>
      </w:r>
      <w:r>
        <w:t xml:space="preserve"> </w:t>
      </w:r>
      <w:r>
        <w:t xml:space="preserve">Cheng, H., &amp; Stoll, H. (2026a). Interplay of North Atlantic freshening and deep</w:t>
      </w:r>
      <w:r>
        <w:t xml:space="preserve"> </w:t>
      </w:r>
      <w:r>
        <w:t xml:space="preserve">convection during the last deglaciation constrained by Iberian speleothems.</w:t>
      </w:r>
      <w:r>
        <w:t xml:space="preserve"> </w:t>
      </w:r>
      <w:r>
        <w:rPr>
          <w:i/>
          <w:iCs/>
        </w:rPr>
        <w:t xml:space="preserve">Climate of the Past</w:t>
      </w:r>
      <w:r>
        <w:t xml:space="preserve">, 22(4), 797–824. https://doi.org/10.5194/cp-22-797-2026</w:t>
      </w:r>
    </w:p>
    <w:p>
      <w:pPr>
        <w:pStyle w:val="BodyText"/>
      </w:pPr>
      <w:r>
        <w:t xml:space="preserve">Endres, L., Ivanovic, R., Rome, Y., Tindall, J., Thurnherr, I., Sprenger, M.,</w:t>
      </w:r>
      <w:r>
        <w:t xml:space="preserve"> </w:t>
      </w:r>
      <w:r>
        <w:t xml:space="preserve">&amp; Stoll, H. (2026b). Tracing meltwater from northern ice sheets to</w:t>
      </w:r>
      <w:r>
        <w:t xml:space="preserve"> </w:t>
      </w:r>
      <w:r>
        <w:t xml:space="preserve">palaeoclimate archives during the early last deglaciation: a conservative</w:t>
      </w:r>
      <w:r>
        <w:t xml:space="preserve"> </w:t>
      </w:r>
      <w:r>
        <w:t xml:space="preserve">tracer approach.</w:t>
      </w:r>
      <w:r>
        <w:t xml:space="preserve"> </w:t>
      </w:r>
      <w:r>
        <w:rPr>
          <w:i/>
          <w:iCs/>
        </w:rPr>
        <w:t xml:space="preserve">ESS Open Archive</w:t>
      </w:r>
      <w:r>
        <w:t xml:space="preserve"> </w:t>
      </w:r>
      <w:r>
        <w:t xml:space="preserve">(preprint).</w:t>
      </w:r>
      <w:r>
        <w:t xml:space="preserve"> </w:t>
      </w:r>
      <w:r>
        <w:t xml:space="preserve">https://doi.org/10.22541/essoar.15007256/v1</w:t>
      </w:r>
    </w:p>
    <w:p>
      <w:pPr>
        <w:pStyle w:val="BodyText"/>
      </w:pPr>
      <w:r>
        <w:t xml:space="preserve">Endres, L., Ivanovic, R., Rome, Y., &amp; Stoll, H. (in prep.). A dye tracer</w:t>
      </w:r>
      <w:r>
        <w:t xml:space="preserve"> </w:t>
      </w:r>
      <w:r>
        <w:t xml:space="preserve">forward-model for meltwater-related surface ocean anomalies. Draft</w:t>
      </w:r>
      <w:r>
        <w:t xml:space="preserve"> </w:t>
      </w:r>
      <w:r>
        <w:t xml:space="preserve">(</w:t>
      </w:r>
      <w:r>
        <w:rPr>
          <w:rStyle w:val="VerbatimChar"/>
        </w:rPr>
        <w:t xml:space="preserve">Impulse_Response_Revisions_v1.pdf</w:t>
      </w:r>
      <w:r>
        <w:t xml:space="preserve">, this repository).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Meltwater source regions and the Glas δ¹⁸O record: importance, variability and alignment</dc:title>
  <dc:creator>Laura Endres</dc:creator>
  <cp:keywords/>
  <dcterms:created xsi:type="dcterms:W3CDTF">2026-09-29T09:32:58Z</dcterms:created>
  <dcterms:modified xsi:type="dcterms:W3CDTF">2026-09-29T09:32:58Z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2026-09-29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