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8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Meltwater source regions and abrupt δ¹⁸O changes in stalagmite Glas: importance, variability and age-uncertain alignment</w:t>
      </w:r>
    </w:p>
    <w:p>
      <w:pPr>
        <w:pStyle w:val="Author"/>
      </w:pPr>
      <w:r>
        <w:t xml:space="preserve">Laura Endres</w:t>
      </w:r>
    </w:p>
    <w:p>
      <w:pPr>
        <w:pStyle w:val="Date"/>
      </w:pPr>
      <w:r>
        <w:t xml:space="preserve">2026-09-29</w:t>
      </w:r>
    </w:p>
    <w:bookmarkStart w:id="9" w:name="question"/>
    <w:p>
      <w:pPr>
        <w:pStyle w:val="Heading1"/>
      </w:pPr>
      <w:r>
        <w:t xml:space="preserve">Question</w:t>
      </w:r>
    </w:p>
    <w:p>
      <w:pPr>
        <w:pStyle w:val="FirstParagraph"/>
      </w:pPr>
      <w:r>
        <w:t xml:space="preserve">At the NISA location, which meltwater source region is the most important,</w:t>
      </w:r>
      <w:r>
        <w:t xml:space="preserve"> </w:t>
      </w:r>
      <w:r>
        <w:t xml:space="preserve">and which the most variable, contributor to the δ¹⁸O anomaly over time? Is</w:t>
      </w:r>
      <w:r>
        <w:t xml:space="preserve"> </w:t>
      </w:r>
      <w:r>
        <w:t xml:space="preserve">there alignment between abrupt δ¹⁸O changes in stalagmite Glas and the</w:t>
      </w:r>
      <w:r>
        <w:t xml:space="preserve"> </w:t>
      </w:r>
      <w:r>
        <w:t xml:space="preserve">modelled discharge, and how can that alignment be quantified?</w:t>
      </w:r>
    </w:p>
    <w:bookmarkEnd w:id="9"/>
    <w:bookmarkStart w:id="10" w:name="data"/>
    <w:p>
      <w:pPr>
        <w:pStyle w:val="Heading1"/>
      </w:pPr>
      <w:r>
        <w:t xml:space="preserve">Data</w:t>
      </w:r>
    </w:p>
    <w:p>
      <w:pPr>
        <w:pStyle w:val="FirstParagraph"/>
      </w:pPr>
      <w:r>
        <w:rPr>
          <w:b/>
          <w:bCs/>
        </w:rPr>
        <w:t xml:space="preserve">Discharge forcing.</w:t>
      </w:r>
      <w:r>
        <w:t xml:space="preserve"> </w:t>
      </w:r>
      <w:r>
        <w:rPr>
          <w:rStyle w:val="VerbatimChar"/>
        </w:rPr>
        <w:t xml:space="preserve">data/Discharge_Glac1d_regional-withd18O.csv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data/Discharge_ice6g_regional-withd18O.csv</w:t>
      </w:r>
      <w:r>
        <w:t xml:space="preserve"> </w:t>
      </w:r>
      <w:r>
        <w:t xml:space="preserve">give river-routed meltwater</w:t>
      </w:r>
      <w:r>
        <w:t xml:space="preserve"> </w:t>
      </w:r>
      <w:r>
        <w:t xml:space="preserve">discharge (Sv) into nine North Atlantic dye-tracer source regions, derived</w:t>
      </w:r>
      <w:r>
        <w:t xml:space="preserve"> </w:t>
      </w:r>
      <w:r>
        <w:t xml:space="preserve">from the GLAC-1D (26–0 ka,</w:t>
      </w:r>
      <w:r>
        <w:t xml:space="preserve"> </w:t>
      </w:r>
      <w:r>
        <w:t xml:space="preserve">100-yr steps) and ICE-6G (28</w:t>
      </w:r>
      <w:r>
        <w:t xml:space="preserve"> </w:t>
      </w:r>
      <w:r>
        <w:t xml:space="preserve">ka to 2 ka after present,</w:t>
      </w:r>
      <w:r>
        <w:t xml:space="preserve"> </w:t>
      </w:r>
      <w:r>
        <w:t xml:space="preserve">500-yr steps) ice-sheet reconstructions. They are the forcing of the</w:t>
      </w:r>
      <w:r>
        <w:t xml:space="preserve"> </w:t>
      </w:r>
      <w:r>
        <w:t xml:space="preserve">impulse-response (Green’s function) forward model of Endres et al. (in prep.,</w:t>
      </w:r>
      <w:r>
        <w:t xml:space="preserve"> </w:t>
      </w:r>
      <w:r>
        <w:t xml:space="preserve">Sect. 5.2.3 and 5.3.5). Each file also gives the discharge converted to a</w:t>
      </w:r>
      <w:r>
        <w:t xml:space="preserve"> </w:t>
      </w:r>
      <w:r>
        <w:t xml:space="preserve">source-region δ¹⁸O anomaly for three ice-sheet end-members. Time is read as</w:t>
      </w:r>
      <w:r>
        <w:t xml:space="preserve"> </w:t>
      </w:r>
      <w:r>
        <w:t xml:space="preserve">years BP (negated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t_adj</w:t>
      </w:r>
      <w:r>
        <w:t xml:space="preserve">). The total discharge peaks at</w:t>
      </w:r>
      <w:r>
        <w:t xml:space="preserve"> </w:t>
      </w:r>
      <w:r>
        <w:t xml:space="preserve">14.4 ka in GLAC-1D and 14.0 ka in ICE-6G, the</w:t>
      </w:r>
      <w:r>
        <w:t xml:space="preserve"> </w:t>
      </w:r>
      <w:r>
        <w:t xml:space="preserve">Meltwater Pulse 1A interval, which confirms this convention. Within every</w:t>
      </w:r>
      <w:r>
        <w:t xml:space="preserve"> </w:t>
      </w:r>
      <w:r>
        <w:t xml:space="preserve">region the anomaly is a fixed multiple of the discharge (coefficient of</w:t>
      </w:r>
      <w:r>
        <w:t xml:space="preserve"> </w:t>
      </w:r>
      <w:r>
        <w:t xml:space="preserve">variation of the ratio ≤ 4.6 %), so the anomaly</w:t>
      </w:r>
      <w:r>
        <w:t xml:space="preserve"> </w:t>
      </w:r>
      <w:r>
        <w:t xml:space="preserve">is the discharge divided by the region’s surface volume and scaled to the</w:t>
      </w:r>
      <w:r>
        <w:t xml:space="preserve"> </w:t>
      </w:r>
      <w:r>
        <w:t xml:space="preserve">end-member. The region codes map, in file order, to the input regions of</w:t>
      </w:r>
      <w:r>
        <w:t xml:space="preserve"> </w:t>
      </w:r>
      <w:r>
        <w:t xml:space="preserve">Endres et al. (2026b): EIS_MedSea, EIS_BayOfBiscay, EIS_NorwegianSea,</w:t>
      </w:r>
      <w:r>
        <w:t xml:space="preserve"> </w:t>
      </w:r>
      <w:r>
        <w:t xml:space="preserve">EIS_Arctic, LAU_Arctic, GIS_GreenlandSea, LAU_LabradorSea, LAU_StLawrence and</w:t>
      </w:r>
      <w:r>
        <w:t xml:space="preserve"> </w:t>
      </w:r>
      <w:r>
        <w:t xml:space="preserve">LAU_GulfOfMexico. All results use the −35 ‰ end-member. The −30 and −40 ‰</w:t>
      </w:r>
      <w:r>
        <w:t xml:space="preserve"> </w:t>
      </w:r>
      <w:r>
        <w:t xml:space="preserve">end-members rescale every anomaly by the same factor and change no ranking,</w:t>
      </w:r>
      <w:r>
        <w:t xml:space="preserve"> </w:t>
      </w:r>
      <w:r>
        <w:t xml:space="preserve">correlation or event timing.</w:t>
      </w:r>
    </w:p>
    <w:p>
      <w:pPr>
        <w:pStyle w:val="BodyText"/>
      </w:pPr>
      <w:r>
        <w:t xml:space="preserve">The convolved anomaly at NISA (Endres et al., in prep., Fig. 5.13 C and E) is</w:t>
      </w:r>
      <w:r>
        <w:t xml:space="preserve"> </w:t>
      </w:r>
      <w:r>
        <w:t xml:space="preserve">not in the repository.</w:t>
      </w:r>
      <w:r>
        <w:t xml:space="preserve"> </w:t>
      </w:r>
      <w:r>
        <w:t xml:space="preserve">“Contribution at NISA”</w:t>
      </w:r>
      <w:r>
        <w:t xml:space="preserve"> </w:t>
      </w:r>
      <w:r>
        <w:t xml:space="preserve">is therefore evaluated on the</w:t>
      </w:r>
      <w:r>
        <w:t xml:space="preserve"> </w:t>
      </w:r>
      <w:r>
        <w:t xml:space="preserve">forcing side: the source-region anomaly each region would inject, before</w:t>
      </w:r>
      <w:r>
        <w:t xml:space="preserve"> </w:t>
      </w:r>
      <w:r>
        <w:t xml:space="preserve">ocean transport, AMOC-mode dependence and moisture transport to the cave.</w:t>
      </w:r>
    </w:p>
    <w:p>
      <w:pPr>
        <w:pStyle w:val="BodyText"/>
      </w:pPr>
      <w:r>
        <w:rPr>
          <w:b/>
          <w:bCs/>
        </w:rPr>
        <w:t xml:space="preserve">Glas.</w:t>
      </w:r>
      <w:r>
        <w:t xml:space="preserve"> </w:t>
      </w:r>
      <w:r>
        <w:t xml:space="preserve">Entity 903 (La Vallina cave, NISA) has</w:t>
      </w:r>
      <w:r>
        <w:t xml:space="preserve"> </w:t>
      </w:r>
      <w:r>
        <w:t xml:space="preserve">532 δ¹⁸O samples between 3.9 and</w:t>
      </w:r>
      <w:r>
        <w:t xml:space="preserve"> </w:t>
      </w:r>
      <w:r>
        <w:t xml:space="preserve">39.6 mm depth, dated to</w:t>
      </w:r>
      <w:r>
        <w:t xml:space="preserve"> </w:t>
      </w:r>
      <w:r>
        <w:t xml:space="preserve">11.9–23.8 ka BP on the published Bchron chronology. The</w:t>
      </w:r>
      <w:r>
        <w:t xml:space="preserve"> </w:t>
      </w:r>
      <w:r>
        <w:t xml:space="preserve">median sampling step is 15 yr (mean</w:t>
      </w:r>
      <w:r>
        <w:t xml:space="preserve"> </w:t>
      </w:r>
      <w:r>
        <w:t xml:space="preserve">22 yr, maximum 108 yr), so Glas</w:t>
      </w:r>
      <w:r>
        <w:t xml:space="preserve"> </w:t>
      </w:r>
      <w:r>
        <w:t xml:space="preserve">is sampled several times per 100-yr GLAC-1D step. The age model rests on</w:t>
      </w:r>
      <w:r>
        <w:t xml:space="preserve"> </w:t>
      </w:r>
      <w:r>
        <w:t xml:space="preserve">25 U–Th dates (11.0–23.5</w:t>
      </w:r>
      <w:r>
        <w:t xml:space="preserve"> </w:t>
      </w:r>
      <w:r>
        <w:t xml:space="preserve">ka, uncertainties 47–97 yr).</w:t>
      </w:r>
      <w:r>
        <w:t xml:space="preserve"> </w:t>
      </w:r>
      <w:r>
        <w:t xml:space="preserve">The six abrupt δ¹⁸O transitions of Endres et al. (2026a, Table 1) are used as</w:t>
      </w:r>
      <w:r>
        <w:t xml:space="preserve"> </w:t>
      </w:r>
      <w:r>
        <w:t xml:space="preserve">published reference events, located by their sample-depth intervals.</w:t>
      </w:r>
    </w:p>
    <w:bookmarkEnd w:id="10"/>
    <w:bookmarkStart w:id="14" w:name="methods"/>
    <w:p>
      <w:pPr>
        <w:pStyle w:val="Heading1"/>
      </w:pPr>
      <w:r>
        <w:t xml:space="preserve">Methods</w:t>
      </w:r>
    </w:p>
    <w:bookmarkStart w:id="11" w:name="X8722f422509ecf9ab9ce80a08db445defda6968"/>
    <w:p>
      <w:pPr>
        <w:pStyle w:val="Heading2"/>
      </w:pPr>
      <w:r>
        <w:t xml:space="preserve">Importance and variability of source regions</w:t>
      </w:r>
    </w:p>
    <w:p>
      <w:pPr>
        <w:pStyle w:val="FirstParagraph"/>
      </w:pPr>
      <w:r>
        <w:t xml:space="preserve">Each region’s anomaly series was summarised over the Glas interval and over</w:t>
      </w:r>
      <w:r>
        <w:t xml:space="preserve"> </w:t>
      </w:r>
      <w:r>
        <w:t xml:space="preserve">the full series. To keep resolution from masquerading as variability, the</w:t>
      </w:r>
      <w:r>
        <w:t xml:space="preserve"> </w:t>
      </w:r>
      <w:r>
        <w:t xml:space="preserve">comparison between reconstructions uses a common 500-yr grid, with GLAC-1D</w:t>
      </w:r>
      <w:r>
        <w:t xml:space="preserve"> </w:t>
      </w:r>
      <w:r>
        <w:t xml:space="preserve">averaged into the ICE-6G time steps. GLAC-1D is also summarised at its native</w:t>
      </w:r>
      <w:r>
        <w:t xml:space="preserve"> </w:t>
      </w:r>
      <w:r>
        <w:t xml:space="preserve">100-yr resolution.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Importance</w:t>
      </w:r>
      <w:r>
        <w:t xml:space="preserve"> </w:t>
      </w:r>
      <w:r>
        <w:t xml:space="preserve">is the time-mean anomaly and the region’s share of the summed</w:t>
      </w:r>
      <w:r>
        <w:t xml:space="preserve"> </w:t>
      </w:r>
      <w:r>
        <w:t xml:space="preserve">anomaly of all regions. The</w:t>
      </w:r>
      <w:r>
        <w:t xml:space="preserve"> </w:t>
      </w:r>
      <w:r>
        <w:rPr>
          <w:i/>
          <w:iCs/>
        </w:rPr>
        <w:t xml:space="preserve">dominance fraction</w:t>
      </w:r>
      <w:r>
        <w:t xml:space="preserve"> </w:t>
      </w:r>
      <w:r>
        <w:t xml:space="preserve">is the share of time steps</w:t>
      </w:r>
      <w:r>
        <w:t xml:space="preserve"> </w:t>
      </w:r>
      <w:r>
        <w:t xml:space="preserve">in which the region is the single largest contributor.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Variability</w:t>
      </w:r>
      <w:r>
        <w:t xml:space="preserve"> </w:t>
      </w:r>
      <w:r>
        <w:t xml:space="preserve">is the temporal standard deviation (SD) of the anomaly. The</w:t>
      </w:r>
      <w:r>
        <w:t xml:space="preserve"> </w:t>
      </w:r>
      <w:r>
        <w:rPr>
          <w:i/>
          <w:iCs/>
        </w:rPr>
        <w:t xml:space="preserve">variance share</w:t>
      </w:r>
      <w:r>
        <w:t xml:space="preserve">, Cov(anomalyᵢ, total) / Var(total), apportions the</w:t>
      </w:r>
      <w:r>
        <w:t xml:space="preserve"> </w:t>
      </w:r>
      <w:r>
        <w:t xml:space="preserve">variance of the total anomaly to the regions and sums to one. The SD of</w:t>
      </w:r>
      <w:r>
        <w:t xml:space="preserve"> </w:t>
      </w:r>
      <w:r>
        <w:t xml:space="preserve">step-to-step changes measures abruptness.</w:t>
      </w:r>
    </w:p>
    <w:bookmarkEnd w:id="11"/>
    <w:bookmarkStart w:id="12" w:name="age-uncertainty-of-glas"/>
    <w:p>
      <w:pPr>
        <w:pStyle w:val="Heading2"/>
      </w:pPr>
      <w:r>
        <w:t xml:space="preserve">Age uncertainty of Glas</w:t>
      </w:r>
    </w:p>
    <w:p>
      <w:pPr>
        <w:pStyle w:val="FirstParagraph"/>
      </w:pPr>
      <w:r>
        <w:t xml:space="preserve">The published chronology is a single realisation. To propagate its</w:t>
      </w:r>
      <w:r>
        <w:t xml:space="preserve"> </w:t>
      </w:r>
      <w:r>
        <w:t xml:space="preserve">uncertainty, Bchron (Haslett and Parnell, 2008) was rerun on the 25</w:t>
      </w:r>
      <w:r>
        <w:t xml:space="preserve"> </w:t>
      </w:r>
      <w:r>
        <w:t xml:space="preserve">U–Th dates and evaluated at all sample depths, giving an ensemble of</w:t>
      </w:r>
      <w:r>
        <w:t xml:space="preserve"> </w:t>
      </w:r>
      <w:r>
        <w:t xml:space="preserve">1,000 monotonic age models. Following Rehfeld and Kurths (2014), every</w:t>
      </w:r>
      <w:r>
        <w:t xml:space="preserve"> </w:t>
      </w:r>
      <w:r>
        <w:t xml:space="preserve">alignment statistic below is computed for each ensemble member and reported</w:t>
      </w:r>
      <w:r>
        <w:t xml:space="preserve"> </w:t>
      </w:r>
      <w:r>
        <w:t xml:space="preserve">as the median and the 5–95 % range. Glas events are defined by sample depth,</w:t>
      </w:r>
      <w:r>
        <w:t xml:space="preserve"> </w:t>
      </w:r>
      <w:r>
        <w:t xml:space="preserve">not age, so each event is re-dated in every member. The discharge series have</w:t>
      </w:r>
      <w:r>
        <w:t xml:space="preserve"> </w:t>
      </w:r>
      <w:r>
        <w:t xml:space="preserve">their own chronological uncertainty, which is not given in the repository.</w:t>
      </w:r>
      <w:r>
        <w:t xml:space="preserve"> </w:t>
      </w:r>
      <w:r>
        <w:t xml:space="preserve">Its effect is bounded with a scan in which the discharge series is shifted by</w:t>
      </w:r>
      <w:r>
        <w:t xml:space="preserve"> </w:t>
      </w:r>
      <w:r>
        <w:t xml:space="preserve">−1,000 to +1,000 yr.</w:t>
      </w:r>
    </w:p>
    <w:bookmarkEnd w:id="12"/>
    <w:bookmarkStart w:id="13" w:name="alignment-of-glas-with-the-discharge"/>
    <w:p>
      <w:pPr>
        <w:pStyle w:val="Heading2"/>
      </w:pPr>
      <w:r>
        <w:t xml:space="preserve">Alignment of Glas with the discharge</w:t>
      </w:r>
    </w:p>
    <w:p>
      <w:pPr>
        <w:pStyle w:val="FirstParagraph"/>
      </w:pPr>
      <w:r>
        <w:t xml:space="preserve">The sign convention is that negative source anomalies and negative Glas δ¹⁸O</w:t>
      </w:r>
      <w:r>
        <w:t xml:space="preserve"> </w:t>
      </w:r>
      <w:r>
        <w:t xml:space="preserve">shifts both mean freshening, so alignment corresponds to positive correlation</w:t>
      </w:r>
      <w:r>
        <w:t xml:space="preserve"> </w:t>
      </w:r>
      <w:r>
        <w:t xml:space="preserve">and to same-sign events.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Kernel cross-correlation.</w:t>
      </w:r>
      <w:r>
        <w:t xml:space="preserve"> </w:t>
      </w:r>
      <w:r>
        <w:t xml:space="preserve">Glas is irregularly sampled. Instead of</w:t>
      </w:r>
      <w:r>
        <w:t xml:space="preserve"> </w:t>
      </w:r>
      <w:r>
        <w:t xml:space="preserve">interpolating it, correlations were estimated with the Gaussian-kernel</w:t>
      </w:r>
      <w:r>
        <w:t xml:space="preserve"> </w:t>
      </w:r>
      <w:r>
        <w:t xml:space="preserve">estimator of Rehfeld et al. (2011) on the raw sample ages (bandwidth 25 yr;</w:t>
      </w:r>
      <w:r>
        <w:t xml:space="preserve"> </w:t>
      </w:r>
      <w:r>
        <w:t xml:space="preserve">results change by &lt; 0.01 between 15 and 100 yr). Both series were</w:t>
      </w:r>
      <w:r>
        <w:t xml:space="preserve"> </w:t>
      </w:r>
      <w:r>
        <w:t xml:space="preserve">standardised within the Glas interval. The full series (</w:t>
      </w:r>
      <w:r>
        <w:rPr>
          <w:i/>
          <w:iCs/>
        </w:rPr>
        <w:t xml:space="preserve">levels</w:t>
      </w:r>
      <w:r>
        <w:t xml:space="preserve">) is</w:t>
      </w:r>
      <w:r>
        <w:t xml:space="preserve"> </w:t>
      </w:r>
      <w:r>
        <w:t xml:space="preserve">dominated by millennial variations and the shared deglacial trend. A</w:t>
      </w:r>
      <w:r>
        <w:t xml:space="preserve"> </w:t>
      </w:r>
      <w:r>
        <w:rPr>
          <w:i/>
          <w:iCs/>
        </w:rPr>
        <w:t xml:space="preserve">high-pass</w:t>
      </w:r>
      <w:r>
        <w:t xml:space="preserve"> </w:t>
      </w:r>
      <w:r>
        <w:t xml:space="preserve">version isolates centennial variations: it is the residual</w:t>
      </w:r>
      <w:r>
        <w:t xml:space="preserve"> </w:t>
      </w:r>
      <w:r>
        <w:t xml:space="preserve">after subtracting a Gaussian smoother of 750 yr width. Cross-correlations</w:t>
      </w:r>
      <w:r>
        <w:t xml:space="preserve"> </w:t>
      </w:r>
      <w:r>
        <w:t xml:space="preserve">were computed for lags of ±2,000 yr against the total and the nine</w:t>
      </w:r>
      <w:r>
        <w:t xml:space="preserve"> </w:t>
      </w:r>
      <w:r>
        <w:t xml:space="preserve">regional anomalies of GLAC-1D.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Significance.</w:t>
      </w:r>
      <w:r>
        <w:t xml:space="preserve"> </w:t>
      </w:r>
      <w:r>
        <w:t xml:space="preserve">Two nulls were used. The first uses 300 AR(1) surrogates</w:t>
      </w:r>
      <w:r>
        <w:t xml:space="preserve"> </w:t>
      </w:r>
      <w:r>
        <w:t xml:space="preserve">of Glas on its irregular times, with persistence estimated from the data</w:t>
      </w:r>
      <w:r>
        <w:t xml:space="preserve"> </w:t>
      </w:r>
      <w:r>
        <w:t xml:space="preserve">(Schulz and Mudelsee, 2002). The second uses 300 phase-randomised</w:t>
      </w:r>
      <w:r>
        <w:t xml:space="preserve"> </w:t>
      </w:r>
      <w:r>
        <w:t xml:space="preserve">surrogates of the discharge that keep its spectrum (Theiler et al., 1992).</w:t>
      </w:r>
      <w:r>
        <w:t xml:space="preserve"> </w:t>
      </w:r>
      <w:r>
        <w:t xml:space="preserve">For the lead–lag search, a</w:t>
      </w:r>
      <w:r>
        <w:t xml:space="preserve"> </w:t>
      </w:r>
      <w:r>
        <w:rPr>
          <w:i/>
          <w:iCs/>
        </w:rPr>
        <w:t xml:space="preserve">family-wise</w:t>
      </w:r>
      <w:r>
        <w:t xml:space="preserve"> </w:t>
      </w:r>
      <w:r>
        <w:t xml:space="preserve">p value compares the largest</w:t>
      </w:r>
      <w:r>
        <w:t xml:space="preserve"> </w:t>
      </w:r>
      <w:r>
        <w:t xml:space="preserve">|r| over all lags, and over all ten series, with the same maximum in the</w:t>
      </w:r>
      <w:r>
        <w:t xml:space="preserve"> </w:t>
      </w:r>
      <w:r>
        <w:t xml:space="preserve">surrogates. This accounts for testing many lags and regions (Franke and</w:t>
      </w:r>
      <w:r>
        <w:t xml:space="preserve"> </w:t>
      </w:r>
      <w:r>
        <w:t xml:space="preserve">Donner, 2019).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Event matching.</w:t>
      </w:r>
      <w:r>
        <w:t xml:space="preserve"> </w:t>
      </w:r>
      <w:r>
        <w:t xml:space="preserve">Discharge pulses are 100-yr changes in the GLAC-1D total</w:t>
      </w:r>
      <w:r>
        <w:t xml:space="preserve"> </w:t>
      </w:r>
      <w:r>
        <w:t xml:space="preserve">anomaly larger than k SD of all changes (k = 1, 1.5 and 2), split into</w:t>
      </w:r>
      <w:r>
        <w:t xml:space="preserve"> </w:t>
      </w:r>
      <w:r>
        <w:t xml:space="preserve">freshening pulses and recoveries; consecutive steps are merged. A Glas</w:t>
      </w:r>
      <w:r>
        <w:t xml:space="preserve"> </w:t>
      </w:r>
      <w:r>
        <w:t xml:space="preserve">event is matched if a same-sign pulse lies within a tolerance of ±200, 300</w:t>
      </w:r>
      <w:r>
        <w:t xml:space="preserve"> </w:t>
      </w:r>
      <w:r>
        <w:t xml:space="preserve">or 500 yr. For each event the ensemble gives a</w:t>
      </w:r>
      <w:r>
        <w:t xml:space="preserve"> </w:t>
      </w:r>
      <w:r>
        <w:rPr>
          <w:i/>
          <w:iCs/>
        </w:rPr>
        <w:t xml:space="preserve">match probability</w:t>
      </w:r>
      <w:r>
        <w:t xml:space="preserve">, the</w:t>
      </w:r>
      <w:r>
        <w:t xml:space="preserve"> </w:t>
      </w:r>
      <w:r>
        <w:t xml:space="preserve">fraction of age models in which it is matched. The number of matches is</w:t>
      </w:r>
      <w:r>
        <w:t xml:space="preserve"> </w:t>
      </w:r>
      <w:r>
        <w:t xml:space="preserve">compared with 5,000 random placements of the same events in the Glas</w:t>
      </w:r>
      <w:r>
        <w:t xml:space="preserve"> </w:t>
      </w:r>
      <w:r>
        <w:t xml:space="preserve">interval.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Objective events.</w:t>
      </w:r>
      <w:r>
        <w:t xml:space="preserve"> </w:t>
      </w:r>
      <w:r>
        <w:t xml:space="preserve">To avoid relying only on published events,</w:t>
      </w:r>
      <w:r>
        <w:t xml:space="preserve"> </w:t>
      </w:r>
      <w:r>
        <w:t xml:space="preserve">mean-shift breakpoints were fitted to the 100-yr binned Glas δ¹⁸O</w:t>
      </w:r>
      <w:r>
        <w:t xml:space="preserve"> </w:t>
      </w:r>
      <w:r>
        <w:t xml:space="preserve">(Zeileis et al., 2002). Breakpoints were added only while the</w:t>
      </w:r>
      <w:r>
        <w:t xml:space="preserve"> </w:t>
      </w:r>
      <w:r>
        <w:t xml:space="preserve">reduction in residual variance exceeded the 95th percentile of the same</w:t>
      </w:r>
      <w:r>
        <w:t xml:space="preserve"> </w:t>
      </w:r>
      <w:r>
        <w:t xml:space="preserve">quantity in 200 AR(1) surrogates.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Superposed epoch analysis.</w:t>
      </w:r>
      <w:r>
        <w:t xml:space="preserve"> </w:t>
      </w:r>
      <w:r>
        <w:t xml:space="preserve">Glas δ¹⁸O was composited in 100-yr bins from</w:t>
      </w:r>
      <w:r>
        <w:t xml:space="preserve"> </w:t>
      </w:r>
      <w:r>
        <w:t xml:space="preserve">500 yr before to 1,000 yr after each GLAC-1D freshening pulse and each</w:t>
      </w:r>
      <w:r>
        <w:t xml:space="preserve"> </w:t>
      </w:r>
      <w:r>
        <w:t xml:space="preserve">recovery, relative to the pre-pulse mean. The response statistic is the</w:t>
      </w:r>
      <w:r>
        <w:t xml:space="preserve"> </w:t>
      </w:r>
      <w:r>
        <w:t xml:space="preserve">mean composite anomaly 100–600 yr after the pulse. The null places the same</w:t>
      </w:r>
      <w:r>
        <w:t xml:space="preserve"> </w:t>
      </w:r>
      <w:r>
        <w:t xml:space="preserve">number of pulses at random within the Glas interval, 2,000 times.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Detectability.</w:t>
      </w:r>
      <w:r>
        <w:t xml:space="preserve"> </w:t>
      </w:r>
      <w:r>
        <w:t xml:space="preserve">To judge what correlation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be expected, synthetic</w:t>
      </w:r>
      <w:r>
        <w:t xml:space="preserve"> </w:t>
      </w:r>
      <w:r>
        <w:t xml:space="preserve">Glas series were built as a mix of the high-passed GLAC-1D total anomaly</w:t>
      </w:r>
      <w:r>
        <w:t xml:space="preserve"> </w:t>
      </w:r>
      <w:r>
        <w:t xml:space="preserve">(signal) and AR(1) noise with the Glas persistence, for signal fractions of</w:t>
      </w:r>
      <w:r>
        <w:t xml:space="preserve"> </w:t>
      </w:r>
      <w:r>
        <w:t xml:space="preserve">the variance between 5 and 50 %.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ICE-6G.</w:t>
      </w:r>
      <w:r>
        <w:t xml:space="preserve"> </w:t>
      </w:r>
      <w:r>
        <w:t xml:space="preserve">At 500-yr resolution ICE-6G cannot resolve centennial events.</w:t>
      </w:r>
      <w:r>
        <w:t xml:space="preserve"> </w:t>
      </w:r>
      <w:r>
        <w:t xml:space="preserve">It was compared with 500-yr Glas means through level and first-difference</w:t>
      </w:r>
      <w:r>
        <w:t xml:space="preserve"> </w:t>
      </w:r>
      <w:r>
        <w:t xml:space="preserve">correlations only.</w:t>
      </w:r>
    </w:p>
    <w:bookmarkEnd w:id="13"/>
    <w:bookmarkEnd w:id="14"/>
    <w:bookmarkStart w:id="48" w:name="results"/>
    <w:p>
      <w:pPr>
        <w:pStyle w:val="Heading1"/>
      </w:pPr>
      <w:r>
        <w:t xml:space="preserve">Results</w:t>
      </w:r>
    </w:p>
    <w:bookmarkStart w:id="21" w:name="X878060c71f86f12eeabf907d8b37a10f3c60ff8"/>
    <w:p>
      <w:pPr>
        <w:pStyle w:val="Heading2"/>
      </w:pPr>
      <w:r>
        <w:t xml:space="preserve">Importance and variability of source regions</w:t>
      </w:r>
    </w:p>
    <w:p>
      <w:pPr>
        <w:pStyle w:val="FirstParagraph"/>
      </w:pPr>
      <w:r>
        <w:t xml:space="preserve">Within the Glas interval (</w:t>
      </w:r>
      <w:hyperlink w:anchor="tbl-rank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hyperlink w:anchor="fig-stack">
        <w:r>
          <w:rPr>
            <w:rStyle w:val="Hyperlink"/>
          </w:rPr>
          <w:t xml:space="preserve">Figure 1</w:t>
        </w:r>
      </w:hyperlink>
      <w:r>
        <w:t xml:space="preserve">), the two reconstructions</w:t>
      </w:r>
      <w:r>
        <w:t xml:space="preserve"> </w:t>
      </w:r>
      <w:r>
        <w:t xml:space="preserve">disagree on the most important region.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GLAC-1D.</w:t>
      </w:r>
      <w:r>
        <w:t xml:space="preserve"> </w:t>
      </w:r>
      <w:r>
        <w:t xml:space="preserve">Three regions are almost tied: EIS_NorwegianSea</w:t>
      </w:r>
      <w:r>
        <w:t xml:space="preserve"> </w:t>
      </w:r>
      <w:r>
        <w:t xml:space="preserve">(19.6 % of the summed anomaly),</w:t>
      </w:r>
      <w:r>
        <w:t xml:space="preserve"> </w:t>
      </w:r>
      <w:r>
        <w:t xml:space="preserve">EIS_Arctic (19.3 %) and LAU_Arctic</w:t>
      </w:r>
      <w:r>
        <w:t xml:space="preserve"> </w:t>
      </w:r>
      <w:r>
        <w:t xml:space="preserve">(18.8 %). European sectors supply</w:t>
      </w:r>
      <w:r>
        <w:t xml:space="preserve"> </w:t>
      </w:r>
      <w:r>
        <w:t xml:space="preserve">53 % and Laurentide sectors</w:t>
      </w:r>
      <w:r>
        <w:t xml:space="preserve"> </w:t>
      </w:r>
      <w:r>
        <w:t xml:space="preserve">47 %. EIS_BayOfBiscay</w:t>
      </w:r>
      <w:r>
        <w:t xml:space="preserve"> </w:t>
      </w:r>
      <w:r>
        <w:t xml:space="preserve">is the largest single contributor most often</w:t>
      </w:r>
      <w:r>
        <w:t xml:space="preserve"> </w:t>
      </w:r>
      <w:r>
        <w:t xml:space="preserve">(29 % of time steps),</w:t>
      </w:r>
      <w:r>
        <w:t xml:space="preserve"> </w:t>
      </w:r>
      <w:r>
        <w:t xml:space="preserve">because it dominates the Last Glacial Maximum while contributing little</w:t>
      </w:r>
      <w:r>
        <w:t xml:space="preserve"> </w:t>
      </w:r>
      <w:r>
        <w:t xml:space="preserve">afterwards.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ICE-6G.</w:t>
      </w:r>
      <w:r>
        <w:t xml:space="preserve"> </w:t>
      </w:r>
      <w:r>
        <w:t xml:space="preserve">LAU_GulfOfMexico is the most important region</w:t>
      </w:r>
      <w:r>
        <w:t xml:space="preserve"> </w:t>
      </w:r>
      <w:r>
        <w:t xml:space="preserve">(22.3 %), and Laurentide sectors</w:t>
      </w:r>
      <w:r>
        <w:t xml:space="preserve"> </w:t>
      </w:r>
      <w:r>
        <w:t xml:space="preserve">supply 57 %.</w:t>
      </w:r>
    </w:p>
    <w:p>
      <w:pPr>
        <w:pStyle w:val="FirstParagraph"/>
      </w:pPr>
      <w:r>
        <w:t xml:space="preserve">The most variable region is EIS_NorwegianSea in GLAC-1D</w:t>
      </w:r>
      <w:r>
        <w:t xml:space="preserve"> </w:t>
      </w:r>
      <w:r>
        <w:t xml:space="preserve">(SD 1.45 ‰, variance share</w:t>
      </w:r>
      <w:r>
        <w:t xml:space="preserve"> </w:t>
      </w:r>
      <w:r>
        <w:t xml:space="preserve">36 %). In ICE-6G the largest SD</w:t>
      </w:r>
      <w:r>
        <w:t xml:space="preserve"> </w:t>
      </w:r>
      <w:r>
        <w:t xml:space="preserve">belongs to LAU_Arctic</w:t>
      </w:r>
      <w:r>
        <w:t xml:space="preserve"> </w:t>
      </w:r>
      <w:r>
        <w:t xml:space="preserve">(1.60 ‰), and LAU_GulfOfMexico</w:t>
      </w:r>
      <w:r>
        <w:t xml:space="preserve"> </w:t>
      </w:r>
      <w:r>
        <w:t xml:space="preserve">carries the largest variance share</w:t>
      </w:r>
      <w:r>
        <w:t xml:space="preserve"> </w:t>
      </w:r>
      <w:r>
        <w:t xml:space="preserve">(31 %). At native 100-yr</w:t>
      </w:r>
      <w:r>
        <w:t xml:space="preserve"> </w:t>
      </w:r>
      <w:r>
        <w:t xml:space="preserve">resolution, GLAC-1D gives the same answer: EIS_NorwegianSea</w:t>
      </w:r>
      <w:r>
        <w:t xml:space="preserve"> </w:t>
      </w:r>
      <w:r>
        <w:t xml:space="preserve">has the largest SD (1.71 ‰) and the largest</w:t>
      </w:r>
      <w:r>
        <w:t xml:space="preserve"> </w:t>
      </w:r>
      <w:r>
        <w:t xml:space="preserve">variance share (34 %). The</w:t>
      </w:r>
      <w:r>
        <w:t xml:space="preserve"> </w:t>
      </w:r>
      <w:r>
        <w:t xml:space="preserve">variability is carried by a few short pulses, so the most variable regions</w:t>
      </w:r>
      <w:r>
        <w:t xml:space="preserve"> </w:t>
      </w:r>
      <w:r>
        <w:t xml:space="preserve">also reach the most negative single values. GIS_GreenlandSea and EIS_MedSea</w:t>
      </w:r>
      <w:r>
        <w:t xml:space="preserve"> </w:t>
      </w:r>
      <w:r>
        <w:t xml:space="preserve">are negligible in GLAC-1D (&lt; 0.2 % each). In ICE-6G they</w:t>
      </w:r>
      <w:r>
        <w:t xml:space="preserve"> </w:t>
      </w:r>
      <w:r>
        <w:t xml:space="preserve">contribute 3.4–4.0 %</w:t>
      </w:r>
      <w:r>
        <w:t xml:space="preserve"> </w:t>
      </w:r>
      <w:r>
        <w:t xml:space="preserve">each, about as much as EIS_BayOfBiscay, but they vary little.</w:t>
      </w:r>
    </w:p>
    <w:p>
      <w:pPr>
        <w:pStyle w:val="BodyText"/>
      </w:pPr>
      <w:r>
        <w:t xml:space="preserve">Over the full series (</w:t>
      </w:r>
      <w:hyperlink w:anchor="tbl-rankfull">
        <w:r>
          <w:rPr>
            <w:rStyle w:val="Hyperlink"/>
          </w:rPr>
          <w:t xml:space="preserve">Table 2</w:t>
        </w:r>
      </w:hyperlink>
      <w:r>
        <w:t xml:space="preserve">), LAU_Arctic is the</w:t>
      </w:r>
      <w:r>
        <w:t xml:space="preserve"> </w:t>
      </w:r>
      <w:r>
        <w:t xml:space="preserve">most important region in both GLAC-1D and ICE-6G, because both reconstructions</w:t>
      </w:r>
      <w:r>
        <w:t xml:space="preserve"> </w:t>
      </w:r>
      <w:r>
        <w:t xml:space="preserve">route most of Meltwater Pulse 1A and the Holocene melt through Laurentide</w:t>
      </w:r>
      <w:r>
        <w:t xml:space="preserve"> </w:t>
      </w:r>
      <w:r>
        <w:t xml:space="preserve">sectors.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stack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stack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Source-region δ¹⁸O anomalies (−35 ‰ end-member) at native resolution, stacked so the lower envelope is the summed anomaly. GIS_GreenlandSea and EIS_MedSea are combined as Other. Grey shading marks the Glas interval.</w:t>
            </w:r>
          </w:p>
          <w:bookmarkEnd w:id="1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ran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Source regions within the Glas interval on the common 500-yr grid, ranked by importance. Share: fraction of the summed anomaly. Dominant: fraction of time steps in which the region is the largest contributor. SD: temporal standard deviation. Var. share: Cov(region, total)/Var(total). SD Δ: standard deviation of 500-yr changes.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417"/>
              <w:gridCol w:w="750"/>
              <w:gridCol w:w="833"/>
              <w:gridCol w:w="1083"/>
              <w:gridCol w:w="583"/>
              <w:gridCol w:w="1250"/>
              <w:gridCol w:w="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Reconstruction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(‰)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Share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Dominant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 (‰)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Var. share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 Δ (‰)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GLAC-1D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EIS_NorwegianSea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EIS_BayOfBiscay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LAU_GulfOfMexico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LAU_LabradorSea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LAU_StLawrence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GIS_GreenlandSea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EIS_MedSea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ICE-6G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LAU_GulfOfMexico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EIS_NorwegianSea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LAU_LabradorSea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LAU_StLawrence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EIS_MedSea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EIS_BayOfBiscay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GIS_GreenlandSea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rank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As the previous table, but over the full length of each series.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417"/>
              <w:gridCol w:w="750"/>
              <w:gridCol w:w="833"/>
              <w:gridCol w:w="1083"/>
              <w:gridCol w:w="583"/>
              <w:gridCol w:w="1250"/>
              <w:gridCol w:w="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Reconstruction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(‰)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Share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Dominant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 (‰)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Var. share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 Δ (‰)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GLAC-1D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LAU_LabradorSea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EIS_NorwegianSea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EIS_BayOfBiscay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LAU_GulfOfMexico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LAU_StLawrence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GIS_GreenlandSea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EIS_MedSea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ICE-6G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EIS_NorwegianSea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LAU_GulfOfMexico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LAU_LabradorSea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LAU_StLawrence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GIS_GreenlandSea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EIS_MedSea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EIS_BayOfBiscay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</w:t>
                  </w:r>
                </w:p>
              </w:tc>
            </w:tr>
          </w:tbl>
          <w:bookmarkEnd w:id="20"/>
          <w:p/>
        </w:tc>
      </w:tr>
    </w:tbl>
    <w:bookmarkEnd w:id="21"/>
    <w:bookmarkStart w:id="26" w:name="the-glas-age-model-ensemble"/>
    <w:p>
      <w:pPr>
        <w:pStyle w:val="Heading2"/>
      </w:pPr>
      <w:r>
        <w:t xml:space="preserve">The Glas age-model ensemble</w:t>
      </w:r>
    </w:p>
    <w:p>
      <w:pPr>
        <w:pStyle w:val="FirstParagraph"/>
      </w:pPr>
      <w:r>
        <w:t xml:space="preserve">The rerun Bchron ensemble reproduces the published chronology</w:t>
      </w:r>
      <w:r>
        <w:t xml:space="preserve"> </w:t>
      </w:r>
      <w:r>
        <w:t xml:space="preserve">(</w:t>
      </w:r>
      <w:hyperlink w:anchor="fig-agemodel">
        <w:r>
          <w:rPr>
            <w:rStyle w:val="Hyperlink"/>
          </w:rPr>
          <w:t xml:space="preserve">Figure 2</w:t>
        </w:r>
      </w:hyperlink>
      <w:r>
        <w:t xml:space="preserve">). The ensemble median differs from the published ages by</w:t>
      </w:r>
      <w:r>
        <w:t xml:space="preserve"> </w:t>
      </w:r>
      <w:r>
        <w:t xml:space="preserve">81 yr root-mean-square and at most</w:t>
      </w:r>
      <w:r>
        <w:t xml:space="preserve"> </w:t>
      </w:r>
      <w:r>
        <w:t xml:space="preserve">305 yr, at 18.2 mm.</w:t>
      </w:r>
      <w:r>
        <w:t xml:space="preserve"> </w:t>
      </w:r>
      <w:r>
        <w:t xml:space="preserve">The median 95 % half-width is 171 yr, against</w:t>
      </w:r>
      <w:r>
        <w:t xml:space="preserve"> </w:t>
      </w:r>
      <w:r>
        <w:t xml:space="preserve">149 yr for the published uncertainties, and it grows to</w:t>
      </w:r>
      <w:r>
        <w:t xml:space="preserve"> </w:t>
      </w:r>
      <w:r>
        <w:t xml:space="preserve">766 yr at the young end of the record, where the two</w:t>
      </w:r>
      <w:r>
        <w:t xml:space="preserve"> </w:t>
      </w:r>
      <w:r>
        <w:t xml:space="preserve">youngest dates are 2,010 yr apart.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agemodel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agemodel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Glas age–depth model. Shading: 95 % (light) and 90 % (dark) range of the Bchron ensemble. Black line: published chronology. Points and bars: U–Th dates with their uncertainties.</w:t>
            </w:r>
          </w:p>
          <w:bookmarkEnd w:id="25"/>
        </w:tc>
      </w:tr>
    </w:tbl>
    <w:bookmarkEnd w:id="26"/>
    <w:bookmarkStart w:id="47" w:name="X4937b9292bb3a24c500a8675cbb40a81db7c107"/>
    <w:p>
      <w:pPr>
        <w:pStyle w:val="Heading2"/>
      </w:pPr>
      <w:r>
        <w:t xml:space="preserve">Alignment between Glas δ¹⁸O and the discharge</w:t>
      </w:r>
    </w:p>
    <w:p>
      <w:pPr>
        <w:pStyle w:val="FirstParagraph"/>
      </w:pPr>
      <w:r>
        <w:rPr>
          <w:b/>
          <w:bCs/>
        </w:rPr>
        <w:t xml:space="preserve">Correlation.</w:t>
      </w:r>
      <w:r>
        <w:t xml:space="preserve"> </w:t>
      </w:r>
      <w:hyperlink w:anchor="tbl-cor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zero-lag correlations. On the full</w:t>
      </w:r>
      <w:r>
        <w:t xml:space="preserve"> </w:t>
      </w:r>
      <w:r>
        <w:t xml:space="preserve">(level) series, Glas correlates positively with the GLAC-1D total anomaly</w:t>
      </w:r>
      <w:r>
        <w:t xml:space="preserve"> </w:t>
      </w:r>
      <w:r>
        <w:t xml:space="preserve">(r = 0.16), moderately positively with EIS_NorwegianSea</w:t>
      </w:r>
      <w:r>
        <w:t xml:space="preserve"> </w:t>
      </w:r>
      <w:r>
        <w:t xml:space="preserve">(r = 0.49) and strongly negatively with</w:t>
      </w:r>
      <w:r>
        <w:t xml:space="preserve"> </w:t>
      </w:r>
      <w:r>
        <w:t xml:space="preserve">EIS_BayOfBiscay (r = -0.71). Bay of Biscay</w:t>
      </w:r>
      <w:r>
        <w:t xml:space="preserve"> </w:t>
      </w:r>
      <w:r>
        <w:t xml:space="preserve">discharge peaks at the Last Glacial Maximum, when Glas records its highest</w:t>
      </w:r>
      <w:r>
        <w:t xml:space="preserve"> </w:t>
      </w:r>
      <w:r>
        <w:t xml:space="preserve">δ¹⁸O. Against AR(1) surrogates with the high persistence of the level series,</w:t>
      </w:r>
      <w:r>
        <w:t xml:space="preserve"> </w:t>
      </w:r>
      <w:r>
        <w:t xml:space="preserve">no series reaches</w:t>
      </w:r>
      <w:r>
        <w:t xml:space="preserve"> </w:t>
      </w:r>
      <w:r>
        <w:t xml:space="preserve">p &lt; 0.05 (smallest p = 0.067, EIS_BayOfBiscay).</w:t>
      </w:r>
      <w:r>
        <w:t xml:space="preserve"> </w:t>
      </w:r>
      <w:r>
        <w:t xml:space="preserve">Across the age ensemble the level correlations barely change, because the age</w:t>
      </w:r>
      <w:r>
        <w:t xml:space="preserve"> </w:t>
      </w:r>
      <w:r>
        <w:t xml:space="preserve">uncertainty is small compared with millennial variations. They are stable,</w:t>
      </w:r>
      <w:r>
        <w:t xml:space="preserve"> </w:t>
      </w:r>
      <w:r>
        <w:t xml:space="preserve">but a shared millennial pattern of this length is also what red noise</w:t>
      </w:r>
      <w:r>
        <w:t xml:space="preserve"> </w:t>
      </w:r>
      <w:r>
        <w:t xml:space="preserve">produces often.</w:t>
      </w:r>
    </w:p>
    <w:p>
      <w:pPr>
        <w:pStyle w:val="BodyText"/>
      </w:pPr>
      <w:r>
        <w:t xml:space="preserve">At centennial time scales the picture changes. The high-passed Glas series</w:t>
      </w:r>
      <w:r>
        <w:t xml:space="preserve"> </w:t>
      </w:r>
      <w:r>
        <w:t xml:space="preserve">correlates</w:t>
      </w:r>
      <w:r>
        <w:t xml:space="preserve"> </w:t>
      </w:r>
      <w:r>
        <w:rPr>
          <w:i/>
          <w:iCs/>
        </w:rPr>
        <w:t xml:space="preserve">negatively</w:t>
      </w:r>
      <w:r>
        <w:t xml:space="preserve"> </w:t>
      </w:r>
      <w:r>
        <w:t xml:space="preserve">with the high-passed total anomaly at zero lag</w:t>
      </w:r>
      <w:r>
        <w:t xml:space="preserve"> </w:t>
      </w:r>
      <w:r>
        <w:t xml:space="preserve">(r = -0.16 on the published chronology,</w:t>
      </w:r>
      <w:r>
        <w:t xml:space="preserve"> </w:t>
      </w:r>
      <w:r>
        <w:t xml:space="preserve">-0.34 to -0.04 across the ensemble). No region reaches p &lt; 0.05 at</w:t>
      </w:r>
      <w:r>
        <w:t xml:space="preserve"> </w:t>
      </w:r>
      <w:r>
        <w:t xml:space="preserve">zero lag (smallest p = 0.097, LAU_Arctic).</w:t>
      </w:r>
      <w:r>
        <w:t xml:space="preserve"> </w:t>
      </w:r>
      <w:r>
        <w:t xml:space="preserve">The high-passed series have lag-1 autocorrelations of</w:t>
      </w:r>
      <w:r>
        <w:t xml:space="preserve"> </w:t>
      </w:r>
      <w:r>
        <w:t xml:space="preserve">0.56 (Glas, 100-yr bins) and 0.56 (GLAC-1D total), which</w:t>
      </w:r>
      <w:r>
        <w:t xml:space="preserve"> </w:t>
      </w:r>
      <w:r>
        <w:t xml:space="preserve">leaves about 63 effectively independent pairs in</w:t>
      </w:r>
      <w:r>
        <w:t xml:space="preserve"> </w:t>
      </w:r>
      <w:r>
        <w:t xml:space="preserve">119 100-yr steps.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c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Zero-lag kernel correlations between Glas δ¹⁸O and the GLAC-1D total and regional anomalies. Level: full series. High-pass: centennial residual after removing a 750-yr Gaussian smoother. r and p on the published chronology (p: two-sided, 300 AR(1) surrogates of Glas). Ensemble: 5–95 % range over 200 Bchron age models.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21"/>
              <w:gridCol w:w="688"/>
              <w:gridCol w:w="516"/>
              <w:gridCol w:w="1549"/>
              <w:gridCol w:w="1033"/>
              <w:gridCol w:w="516"/>
              <w:gridCol w:w="18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Series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Level 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Level r, ensemble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High-pass 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High-pass r, ensemble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(all regions)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 to 0.23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-0.34 to -0.04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EIS_MedSea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 to 0.09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 to 0.27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EIS_BayOfBiscay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-0.78 to -0.66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-0.10 to 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EIS_NorwegianSea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 to 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 to 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to 0.20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-0.26 to 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to 0.44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-0.33 to -0.15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GIS_GreenlandSea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 to 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-0.25 to 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LAU_LabradorSea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 to 0.40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 to -0.15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LAU_StLawrence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-0.21 to -0.05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 to 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LAU_GulfOfMexico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-0.17 to -0.04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-0.16 to 0.05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rPr>
          <w:b/>
          <w:bCs/>
        </w:rPr>
        <w:t xml:space="preserve">Lead and lag.</w:t>
      </w:r>
      <w:r>
        <w:t xml:space="preserve"> </w:t>
      </w:r>
      <w:r>
        <w:t xml:space="preserve">The high-passed cross-correlation with the GLAC-1D total</w:t>
      </w:r>
      <w:r>
        <w:t xml:space="preserve"> </w:t>
      </w:r>
      <w:r>
        <w:t xml:space="preserve">(</w:t>
      </w:r>
      <w:hyperlink w:anchor="fig-ccf">
        <w:r>
          <w:rPr>
            <w:rStyle w:val="Hyperlink"/>
          </w:rPr>
          <w:t xml:space="preserve">Figure 3</w:t>
        </w:r>
      </w:hyperlink>
      <w:r>
        <w:t xml:space="preserve">) peaks at a lag of -700 yr (r = 0.24)</w:t>
      </w:r>
      <w:r>
        <w:t xml:space="preserve"> </w:t>
      </w:r>
      <w:r>
        <w:t xml:space="preserve">on the published chronology, which means Glas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discharge. Across</w:t>
      </w:r>
      <w:r>
        <w:t xml:space="preserve"> </w:t>
      </w:r>
      <w:r>
        <w:t xml:space="preserve">the ensemble the peak lag has a median of -1,300 yr</w:t>
      </w:r>
      <w:r>
        <w:t xml:space="preserve"> </w:t>
      </w:r>
      <w:r>
        <w:t xml:space="preserve">(5–95 %: -1,600 to</w:t>
      </w:r>
      <w:r>
        <w:t xml:space="preserve"> </w:t>
      </w:r>
      <w:r>
        <w:t xml:space="preserve">-600 yr) and a median peak r of</w:t>
      </w:r>
      <w:r>
        <w:t xml:space="preserve"> </w:t>
      </w:r>
      <w:r>
        <w:t xml:space="preserve">0.31. After accounting for the search over lags, the</w:t>
      </w:r>
      <w:r>
        <w:t xml:space="preserve"> </w:t>
      </w:r>
      <w:r>
        <w:t xml:space="preserve">peak is not significant (family-wise p = 0.910 against AR(1)</w:t>
      </w:r>
      <w:r>
        <w:t xml:space="preserve"> </w:t>
      </w:r>
      <w:r>
        <w:t xml:space="preserve">surrogates of Glas and 0.483 against phase-randomised discharge).</w:t>
      </w:r>
      <w:r>
        <w:t xml:space="preserve"> </w:t>
      </w:r>
      <w:r>
        <w:t xml:space="preserve">Over all ten series and all lags, family-wise p = 0.973. The</w:t>
      </w:r>
      <w:r>
        <w:t xml:space="preserve"> </w:t>
      </w:r>
      <w:r>
        <w:t xml:space="preserve">family-wise 95 % threshold is exceeded by 0 % of</w:t>
      </w:r>
      <w:r>
        <w:t xml:space="preserve"> </w:t>
      </w:r>
      <w:r>
        <w:t xml:space="preserve">ensemble members for the total anomaly and by 0 %</w:t>
      </w:r>
      <w:r>
        <w:t xml:space="preserve"> </w:t>
      </w:r>
      <w:r>
        <w:t xml:space="preserve">for any region.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ccf"/>
          <w:p>
            <w:pPr>
              <w:pStyle w:val="Compact"/>
              <w:jc w:val="center"/>
            </w:pPr>
            <w:r>
              <w:drawing>
                <wp:inline>
                  <wp:extent cx="5334000" cy="2844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ccf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84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Kernel cross-correlation between high-passed Glas δ¹⁸O and the high-passed GLAC-1D total anomaly. Negative lags mean Glas leads. Line: published chronology. Blue band: 5–95 % range over 200 Bchron age models. Grey band: pointwise 95 % range of 300 AR(1) surrogates. Dashed lines: family-wise 95 % threshold over all lags.</w:t>
            </w:r>
          </w:p>
          <w:bookmarkEnd w:id="31"/>
        </w:tc>
      </w:tr>
    </w:tbl>
    <w:p>
      <w:pPr>
        <w:pStyle w:val="BodyText"/>
      </w:pPr>
      <w:r>
        <w:rPr>
          <w:b/>
          <w:bCs/>
        </w:rPr>
        <w:t xml:space="preserve">Event matching.</w:t>
      </w:r>
      <w:r>
        <w:t xml:space="preserve"> </w:t>
      </w:r>
      <w:r>
        <w:t xml:space="preserve">Within the Glas interval, the GLAC-1D total anomaly has</w:t>
      </w:r>
      <w:r>
        <w:t xml:space="preserve"> </w:t>
      </w:r>
      <w:r>
        <w:t xml:space="preserve">12 freshening pulses and 9</w:t>
      </w:r>
      <w:r>
        <w:t xml:space="preserve"> </w:t>
      </w:r>
      <w:r>
        <w:t xml:space="preserve">recoveries above the 1-SD threshold of 2.9 ‰ per 100 yr</w:t>
      </w:r>
      <w:r>
        <w:t xml:space="preserve"> </w:t>
      </w:r>
      <w:r>
        <w:t xml:space="preserve">(</w:t>
      </w:r>
      <w:hyperlink w:anchor="fig-series">
        <w:r>
          <w:rPr>
            <w:rStyle w:val="Hyperlink"/>
          </w:rPr>
          <w:t xml:space="preserve">Figure 4</w:t>
        </w:r>
      </w:hyperlink>
      <w:r>
        <w:t xml:space="preserve">). On the published chronology, 4 of the six</w:t>
      </w:r>
      <w:r>
        <w:t xml:space="preserve"> </w:t>
      </w:r>
      <w:r>
        <w:t xml:space="preserve">published Glas events have a same-sign pulse within ±300 yr (</w:t>
      </w:r>
      <w:hyperlink w:anchor="tbl-events">
        <w:r>
          <w:rPr>
            <w:rStyle w:val="Hyperlink"/>
          </w:rPr>
          <w:t xml:space="preserve">Table 4</w:t>
        </w:r>
      </w:hyperlink>
      <w:r>
        <w:t xml:space="preserve">).</w:t>
      </w:r>
      <w:r>
        <w:t xml:space="preserve"> </w:t>
      </w:r>
      <w:r>
        <w:t xml:space="preserve">Across the age ensemble the count ranges from 2 to</w:t>
      </w:r>
      <w:r>
        <w:t xml:space="preserve"> </w:t>
      </w:r>
      <w:r>
        <w:t xml:space="preserve">6 (median 4). Random placement of six</w:t>
      </w:r>
      <w:r>
        <w:t xml:space="preserve"> </w:t>
      </w:r>
      <w:r>
        <w:t xml:space="preserve">events gives 2.5 matches on average, so the median count</w:t>
      </w:r>
      <w:r>
        <w:t xml:space="preserve"> </w:t>
      </w:r>
      <w:r>
        <w:t xml:space="preserve">has p = 0.185. The Glas age uncertainty at the events</w:t>
      </w:r>
      <w:r>
        <w:t xml:space="preserve"> </w:t>
      </w:r>
      <w:r>
        <w:t xml:space="preserve">(132–219 yr, 5–95 % half-width) is</w:t>
      </w:r>
      <w:r>
        <w:t xml:space="preserve"> </w:t>
      </w:r>
      <w:r>
        <w:t xml:space="preserve">comparable to the matching tolerance, so the match status of individual</w:t>
      </w:r>
      <w:r>
        <w:t xml:space="preserve"> </w:t>
      </w:r>
      <w:r>
        <w:t xml:space="preserve">events is itself uncertain: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matches.</w:t>
      </w:r>
      <w:r>
        <w:t xml:space="preserve"> </w:t>
      </w:r>
      <w:r>
        <w:t xml:space="preserve">23.4kS, 16.4kS, 16.1kS, 15.3kS</w:t>
      </w:r>
      <w:r>
        <w:t xml:space="preserve"> </w:t>
      </w:r>
      <w:r>
        <w:t xml:space="preserve">are matched in at least 80 % of age models</w:t>
      </w:r>
      <w:r>
        <w:t xml:space="preserve"> </w:t>
      </w:r>
      <w:r>
        <w:t xml:space="preserve">(83 %, 100 %, 90 %, 100 %).</w:t>
      </w:r>
      <w:r>
        <w:t xml:space="preserve"> </w:t>
      </w:r>
      <w:r>
        <w:t xml:space="preserve">These are the Heinrich Stadial 1 freshening steps and the</w:t>
      </w:r>
      <w:r>
        <w:t xml:space="preserve"> </w:t>
      </w:r>
      <w:r>
        <w:t xml:space="preserve">Last Glacial Maximum re-salinisation.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Uncertain matches.</w:t>
      </w:r>
      <w:r>
        <w:t xml:space="preserve"> </w:t>
      </w:r>
      <w:r>
        <w:t xml:space="preserve">17.8kS and 14.7kS</w:t>
      </w:r>
      <w:r>
        <w:t xml:space="preserve"> </w:t>
      </w:r>
      <w:r>
        <w:t xml:space="preserve">are matched in only 28 % and 32 %</w:t>
      </w:r>
      <w:r>
        <w:t xml:space="preserve"> </w:t>
      </w:r>
      <w:r>
        <w:t xml:space="preserve">of age models. The 17.8kS freshening onset lies</w:t>
      </w:r>
      <w:r>
        <w:t xml:space="preserve"> </w:t>
      </w:r>
      <w:r>
        <w:t xml:space="preserve">403 yr after the GLAC-1D</w:t>
      </w:r>
      <w:r>
        <w:t xml:space="preserve"> </w:t>
      </w:r>
      <w:r>
        <w:t xml:space="preserve">freshening pulse at 18.25 ka.</w:t>
      </w:r>
      <w:r>
        <w:t xml:space="preserve"> </w:t>
      </w:r>
      <w:r>
        <w:t xml:space="preserve">The 14.7kS re-salinisation lies 332 yr</w:t>
      </w:r>
      <w:r>
        <w:t xml:space="preserve"> </w:t>
      </w:r>
      <w:r>
        <w:t xml:space="preserve">before the nearest recovery. The nearest GLAC-1D</w:t>
      </w:r>
      <w:r>
        <w:t xml:space="preserve"> </w:t>
      </w:r>
      <w:r>
        <w:rPr>
          <w:i/>
          <w:iCs/>
        </w:rPr>
        <w:t xml:space="preserve">freshening</w:t>
      </w:r>
      <w:r>
        <w:t xml:space="preserve"> </w:t>
      </w:r>
      <w:r>
        <w:t xml:space="preserve">pulse lies</w:t>
      </w:r>
      <w:r>
        <w:t xml:space="preserve"> </w:t>
      </w:r>
      <w:r>
        <w:t xml:space="preserve">only 32 yr</w:t>
      </w:r>
      <w:r>
        <w:t xml:space="preserve"> </w:t>
      </w:r>
      <w:r>
        <w:t xml:space="preserve">away, at 14.65 ka, during Meltwater</w:t>
      </w:r>
      <w:r>
        <w:t xml:space="preserve"> </w:t>
      </w:r>
      <w:r>
        <w:t xml:space="preserve">Pulse 1A. The event therefore aligns better with discharge of the opposite</w:t>
      </w:r>
      <w:r>
        <w:t xml:space="preserve"> </w:t>
      </w:r>
      <w:r>
        <w:t xml:space="preserve">sign.</w:t>
      </w:r>
    </w:p>
    <w:p>
      <w:pPr>
        <w:pStyle w:val="FirstParagraph"/>
      </w:pPr>
      <w:hyperlink w:anchor="tbl-sen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shows that significance depends on the tolerance. At ±200–300 yr</w:t>
      </w:r>
      <w:r>
        <w:t xml:space="preserve"> </w:t>
      </w:r>
      <w:r>
        <w:t xml:space="preserve">no combination reaches p &lt; 0.05. At ±500 yr the median count is significant</w:t>
      </w:r>
      <w:r>
        <w:t xml:space="preserve"> </w:t>
      </w:r>
      <w:r>
        <w:t xml:space="preserve">for every threshold (p = 0.043, 0.048, 0.017).</w:t>
      </w:r>
      <w:r>
        <w:t xml:space="preserve"> </w:t>
      </w:r>
      <w:r>
        <w:t xml:space="preserve">The offset scan (</w:t>
      </w:r>
      <w:hyperlink w:anchor="fig-scan">
        <w:r>
          <w:rPr>
            <w:rStyle w:val="Hyperlink"/>
          </w:rPr>
          <w:t xml:space="preserve">Figure 5</w:t>
        </w:r>
      </w:hyperlink>
      <w:r>
        <w:t xml:space="preserve">) shows that shifting the discharge by a few hundred</w:t>
      </w:r>
      <w:r>
        <w:t xml:space="preserve"> </w:t>
      </w:r>
      <w:r>
        <w:t xml:space="preserve">years changes the median count between 2 and 5,</w:t>
      </w:r>
      <w:r>
        <w:t xml:space="preserve"> </w:t>
      </w:r>
      <w:r>
        <w:t xml:space="preserve">with no single offset clearly preferred. The alignment is therefore</w:t>
      </w:r>
      <w:r>
        <w:t xml:space="preserve"> </w:t>
      </w:r>
      <w:r>
        <w:t xml:space="preserve">detectable at the ~500-yr scale, which is also the scale of the combined</w:t>
      </w:r>
      <w:r>
        <w:t xml:space="preserve"> </w:t>
      </w:r>
      <w:r>
        <w:t xml:space="preserve">chronological uncertainty, but not at the centennial scale.</w:t>
      </w:r>
    </w:p>
    <w:p>
      <w:pPr>
        <w:pStyle w:val="BodyText"/>
      </w:pPr>
      <w:r>
        <w:rPr>
          <w:b/>
          <w:bCs/>
        </w:rPr>
        <w:t xml:space="preserve">Objective events.</w:t>
      </w:r>
      <w:r>
        <w:t xml:space="preserve"> </w:t>
      </w:r>
      <w:r>
        <w:t xml:space="preserve">Only 1 mean-shift breakpoint in Glas δ¹⁸O</w:t>
      </w:r>
      <w:r>
        <w:t xml:space="preserve"> </w:t>
      </w:r>
      <w:r>
        <w:t xml:space="preserve">exceeds what AR(1) noise produces: a</w:t>
      </w:r>
      <w:r>
        <w:t xml:space="preserve"> </w:t>
      </w:r>
      <w:r>
        <w:t xml:space="preserve">freshening step of</w:t>
      </w:r>
      <w:r>
        <w:t xml:space="preserve"> </w:t>
      </w:r>
      <w:r>
        <w:t xml:space="preserve">-1.02 ‰ at 17.95 ka, the published</w:t>
      </w:r>
      <w:r>
        <w:t xml:space="preserve"> </w:t>
      </w:r>
      <w:r>
        <w:t xml:space="preserve">17.8kS onset. It lies 300 yr</w:t>
      </w:r>
      <w:r>
        <w:t xml:space="preserve"> </w:t>
      </w:r>
      <w:r>
        <w:t xml:space="preserve">from the nearest GLAC-1D freshening pulse and is matched within ±300 yr in</w:t>
      </w:r>
      <w:r>
        <w:t xml:space="preserve"> </w:t>
      </w:r>
      <w:r>
        <w:t xml:space="preserve">81 % of age models. The other published events are</w:t>
      </w:r>
      <w:r>
        <w:t xml:space="preserve"> </w:t>
      </w:r>
      <w:r>
        <w:t xml:space="preserve">real features of Glas, but none improves the segmentation more than red noise</w:t>
      </w:r>
      <w:r>
        <w:t xml:space="preserve"> </w:t>
      </w:r>
      <w:r>
        <w:t xml:space="preserve">with the same persistence would. The surrogate test is</w:t>
      </w:r>
      <w:r>
        <w:t xml:space="preserve"> </w:t>
      </w:r>
      <w:r>
        <w:t xml:space="preserve">conservative, because the persistence estimate includes the steps themselves.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ev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Published abrupt δ¹⁸O events in Glas (Endres et al., 2026a, Table 1) and the nearest same-sign GLAC-1D pulse. Sign: −1 freshening, +1 re-salinisation. Age and offset on the published chronology, with the 5–95 % range over the Bchron ensemble in brackets. Offset: Glas age minus pulse age (positive: Glas earlier). P(match): fraction of age models with |offset| ≤ 300 yr. Where the offset range spans both signs, the nearest pulse changes between age models.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6"/>
              <w:gridCol w:w="482"/>
              <w:gridCol w:w="1062"/>
              <w:gridCol w:w="1931"/>
              <w:gridCol w:w="1062"/>
              <w:gridCol w:w="1835"/>
              <w:gridCol w:w="8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Sign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(mm)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(ka)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Pulse (ka)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 (yr)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P(match)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23.4kS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23.47 (23.34–23.60)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221 (86 to 350)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17.8kS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17.85 (17.71–18.01)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-403 (-455 to 391)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16.4kS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16.44 (16.22–16.56)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-5 (-88 to 109)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16.1kS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16.07 (15.91–16.35)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-181 (-326 to 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15.3kS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15.27 (15.05–15.37)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 (-147 to 91)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14.7kS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14.68 (14.55–14.83)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332 (-388 to 388)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e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Sensitivity of event matching (six published events) to the pulse threshold (k SD of 100-yr changes in the GLAC-1D total anomaly) and the tolerance. Matched: median and 5–95 % range over the age ensemble. Null mean and p from 2,000 random placements. Sig. models: fraction of age models with p &lt; 0.05.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29"/>
              <w:gridCol w:w="1563"/>
              <w:gridCol w:w="729"/>
              <w:gridCol w:w="1563"/>
              <w:gridCol w:w="1042"/>
              <w:gridCol w:w="625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Tolerance (yr)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Pulses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Matched (of 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 models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(2–4)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(3–6)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(6–6)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(2–3)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(3–5)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(4–5)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(1–3)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(2–5)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(4–5)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</w:t>
                  </w:r>
                </w:p>
              </w:tc>
            </w:tr>
          </w:tbl>
          <w:bookmarkEnd w:id="33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series"/>
          <w:p>
            <w:pPr>
              <w:pStyle w:val="Compact"/>
              <w:jc w:val="center"/>
            </w:pPr>
            <w:r>
              <w:drawing>
                <wp:inline>
                  <wp:extent cx="5334000" cy="4724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serie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24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Glas δ¹⁸O (top; grey points on the published chronology, black line 100-yr means) and the total source anomaly of GLAC-1D (middle) and ICE-6G (bottom). Shaded bars: published events, spanning the 5–95 % ensemble age range (blue freshening, orange re-salinisation). Triangles: GLAC-1D pulses above 1 SD (down: freshening, up: recovery).</w:t>
            </w:r>
          </w:p>
          <w:bookmarkEnd w:id="3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scan"/>
          <w:p>
            <w:pPr>
              <w:pStyle w:val="Compact"/>
              <w:jc w:val="center"/>
            </w:pPr>
            <w:r>
              <w:drawing>
                <wp:inline>
                  <wp:extent cx="5334000" cy="290945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scan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94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Number of the six published Glas events matched by a same-sign GLAC-1D pulse within ±300 yr when the discharge series is shifted in time (positive: discharge moved older). Points: published chronology. Line and band: median and 5–95 % range over the age ensemble. Dashed line: mean of the random-placement null.</w:t>
            </w:r>
          </w:p>
          <w:bookmarkEnd w:id="41"/>
        </w:tc>
      </w:tr>
    </w:tbl>
    <w:p>
      <w:pPr>
        <w:pStyle w:val="BodyText"/>
      </w:pPr>
      <w:r>
        <w:rPr>
          <w:b/>
          <w:bCs/>
        </w:rPr>
        <w:t xml:space="preserve">Superposed epoch analysis.</w:t>
      </w:r>
      <w:r>
        <w:t xml:space="preserve"> </w:t>
      </w:r>
      <w:r>
        <w:t xml:space="preserve">Composited around the</w:t>
      </w:r>
      <w:r>
        <w:t xml:space="preserve"> </w:t>
      </w:r>
      <w:r>
        <w:t xml:space="preserve">10 GLAC-1D freshening pulses, Glas δ¹⁸O changes by</w:t>
      </w:r>
      <w:r>
        <w:t xml:space="preserve"> </w:t>
      </w:r>
      <w:r>
        <w:t xml:space="preserve">-0.059 ‰ on average 100–600 yr after the pulse (ensemble</w:t>
      </w:r>
      <w:r>
        <w:t xml:space="preserve"> </w:t>
      </w:r>
      <w:r>
        <w:t xml:space="preserve">5–95 %: -0.092 to -0.006 ‰), indistinguishable from random pulse times</w:t>
      </w:r>
      <w:r>
        <w:t xml:space="preserve"> </w:t>
      </w:r>
      <w:r>
        <w:t xml:space="preserve">(one-sided p = 0.513;</w:t>
      </w:r>
      <w:r>
        <w:t xml:space="preserve"> </w:t>
      </w:r>
      <w:hyperlink w:anchor="fig-sea">
        <w:r>
          <w:rPr>
            <w:rStyle w:val="Hyperlink"/>
          </w:rPr>
          <w:t xml:space="preserve">Figure 6</w:t>
        </w:r>
      </w:hyperlink>
      <w:r>
        <w:t xml:space="preserve">). Around the 8</w:t>
      </w:r>
      <w:r>
        <w:t xml:space="preserve"> </w:t>
      </w:r>
      <w:r>
        <w:t xml:space="preserve">recoveries Glas changes by -0.153 ‰ (-0.187 to -0.104 ‰), the</w:t>
      </w:r>
      <w:r>
        <w:t xml:space="preserve"> </w:t>
      </w:r>
      <w:r>
        <w:t xml:space="preserve">opposite of the expected re-salinisation (p = 0.878 for a positive</w:t>
      </w:r>
      <w:r>
        <w:t xml:space="preserve"> </w:t>
      </w:r>
      <w:r>
        <w:t xml:space="preserve">response). On average, the GLAC-1D pulses leave no detectable imprint in Glas</w:t>
      </w:r>
      <w:r>
        <w:t xml:space="preserve"> </w:t>
      </w:r>
      <w:r>
        <w:t xml:space="preserve">at centennial scale. The robust event matches above are therefore specific</w:t>
      </w:r>
      <w:r>
        <w:t xml:space="preserve"> </w:t>
      </w:r>
      <w:r>
        <w:t xml:space="preserve">coincidences, not a systematic response.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sea"/>
          <w:p>
            <w:pPr>
              <w:pStyle w:val="Compact"/>
              <w:jc w:val="center"/>
            </w:pPr>
            <w:r>
              <w:drawing>
                <wp:inline>
                  <wp:extent cx="5334000" cy="2297723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sea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97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Superposed epoch composites of Glas δ¹⁸O around GLAC-1D freshening pulses (left) and recoveries (right), relative to the 500-yr pre-pulse mean. Line and blue band: median and 5–95 % range over the age ensemble. Grey band: 5–95 % range for random pulse times.</w:t>
            </w:r>
          </w:p>
          <w:bookmarkEnd w:id="45"/>
        </w:tc>
      </w:tr>
    </w:tbl>
    <w:p>
      <w:pPr>
        <w:pStyle w:val="BodyText"/>
      </w:pPr>
      <w:r>
        <w:rPr>
          <w:b/>
          <w:bCs/>
        </w:rPr>
        <w:t xml:space="preserve">Detectability.</w:t>
      </w:r>
      <w:r>
        <w:t xml:space="preserve"> </w:t>
      </w:r>
      <w:r>
        <w:t xml:space="preserve">If the high-passed GLAC-1D total explained a fraction of</w:t>
      </w:r>
      <w:r>
        <w:t xml:space="preserve"> </w:t>
      </w:r>
      <w:r>
        <w:t xml:space="preserve">the centennial Glas variance, the zero-lag correlation would be positive</w:t>
      </w:r>
      <w:r>
        <w:t xml:space="preserve"> </w:t>
      </w:r>
      <w:r>
        <w:t xml:space="preserve">(</w:t>
      </w:r>
      <w:hyperlink w:anchor="tbl-detect">
        <w:r>
          <w:rPr>
            <w:rStyle w:val="Hyperlink"/>
          </w:rPr>
          <w:t xml:space="preserve">Table 6</w:t>
        </w:r>
      </w:hyperlink>
      <w:r>
        <w:t xml:space="preserve">). A signal fraction of 10 % already gives a median r of</w:t>
      </w:r>
      <w:r>
        <w:t xml:space="preserve"> </w:t>
      </w:r>
      <w:r>
        <w:t xml:space="preserve">0.36. The observed ensemble range</w:t>
      </w:r>
      <w:r>
        <w:t xml:space="preserve"> </w:t>
      </w:r>
      <w:r>
        <w:t xml:space="preserve">(-0.34 to -0.04) lies below the 5th percentile of the synthetic</w:t>
      </w:r>
      <w:r>
        <w:t xml:space="preserve"> </w:t>
      </w:r>
      <w:r>
        <w:t xml:space="preserve">correlations for every signal fraction of 10 % and more. At zero lag, the</w:t>
      </w:r>
      <w:r>
        <w:t xml:space="preserve"> </w:t>
      </w:r>
      <w:r>
        <w:t xml:space="preserve">GLAC-1D forcing is therefore not a detectable component of centennial Glas</w:t>
      </w:r>
      <w:r>
        <w:t xml:space="preserve"> </w:t>
      </w:r>
      <w:r>
        <w:t xml:space="preserve">variability, even allowing for the age uncertainty.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dete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Zero-lag kernel correlation expected between synthetic Glas series (signal fraction of the variance from the high-passed GLAC-1D total, remainder AR(1) noise with Glas persistence) and the GLAC-1D total, from 100 realisations each. Observed: 5–95 % range over the age ensemble.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Signal fraction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 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5–95 %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 to 0.46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 to 0.55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 to 0.63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0.44 to 0.72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0.67 to 0.85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-0.34 to -0.04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rPr>
          <w:b/>
          <w:bCs/>
        </w:rPr>
        <w:t xml:space="preserve">ICE-6G.</w:t>
      </w:r>
      <w:r>
        <w:t xml:space="preserve"> </w:t>
      </w:r>
      <w:r>
        <w:t xml:space="preserve">With 24 500-yr steps in the Glas interval, Glas</w:t>
      </w:r>
      <w:r>
        <w:t xml:space="preserve"> </w:t>
      </w:r>
      <w:r>
        <w:t xml:space="preserve">correlates with the ICE-6G total at r = 0.55 on levels, but at</w:t>
      </w:r>
      <w:r>
        <w:t xml:space="preserve"> </w:t>
      </w:r>
      <w:r>
        <w:t xml:space="preserve">r = -0.26 on 500-yr changes. The level correlation reflects the</w:t>
      </w:r>
      <w:r>
        <w:t xml:space="preserve"> </w:t>
      </w:r>
      <w:r>
        <w:t xml:space="preserve">shared deglacial trend. ICE-6G ramps up smoothly towards Meltwater Pulse 1A</w:t>
      </w:r>
      <w:r>
        <w:t xml:space="preserve"> </w:t>
      </w:r>
      <w:r>
        <w:t xml:space="preserve">and has no centennial structure to align with the Glas events (</w:t>
      </w:r>
      <w:hyperlink w:anchor="fig-series">
        <w:r>
          <w:rPr>
            <w:rStyle w:val="Hyperlink"/>
          </w:rPr>
          <w:t xml:space="preserve">Figure 4</w:t>
        </w:r>
      </w:hyperlink>
      <w:r>
        <w:t xml:space="preserve">).</w:t>
      </w:r>
    </w:p>
    <w:bookmarkEnd w:id="47"/>
    <w:bookmarkEnd w:id="48"/>
    <w:bookmarkStart w:id="49" w:name="answer"/>
    <w:p>
      <w:pPr>
        <w:pStyle w:val="Heading1"/>
      </w:pPr>
      <w:r>
        <w:t xml:space="preserve">Answer</w:t>
      </w:r>
    </w:p>
    <w:p>
      <w:pPr>
        <w:pStyle w:val="FirstParagraph"/>
      </w:pPr>
      <w:r>
        <w:rPr>
          <w:b/>
          <w:bCs/>
        </w:rPr>
        <w:t xml:space="preserve">Most important source region.</w:t>
      </w:r>
      <w:r>
        <w:t xml:space="preserve"> </w:t>
      </w:r>
      <w:r>
        <w:t xml:space="preserve">It depends on the ice-sheet</w:t>
      </w:r>
      <w:r>
        <w:t xml:space="preserve"> </w:t>
      </w:r>
      <w:r>
        <w:t xml:space="preserve">reconstruction. Within the Glas interval, GLAC-1D has three nearly equal</w:t>
      </w:r>
      <w:r>
        <w:t xml:space="preserve"> </w:t>
      </w:r>
      <w:r>
        <w:t xml:space="preserve">contributors, EIS_NorwegianSea, EIS_Arctic and LAU_Arctic</w:t>
      </w:r>
      <w:r>
        <w:t xml:space="preserve"> </w:t>
      </w:r>
      <w:r>
        <w:t xml:space="preserve">(19–20 % each of the</w:t>
      </w:r>
      <w:r>
        <w:t xml:space="preserve"> </w:t>
      </w:r>
      <w:r>
        <w:t xml:space="preserve">summed source anomaly), with European sectors supplying</w:t>
      </w:r>
      <w:r>
        <w:t xml:space="preserve"> </w:t>
      </w:r>
      <w:r>
        <w:t xml:space="preserve">53 %. ICE-6G gives</w:t>
      </w:r>
      <w:r>
        <w:t xml:space="preserve"> </w:t>
      </w:r>
      <w:r>
        <w:t xml:space="preserve">LAU_GulfOfMexico (22 %),</w:t>
      </w:r>
      <w:r>
        <w:t xml:space="preserve"> </w:t>
      </w:r>
      <w:r>
        <w:t xml:space="preserve">with Laurentide sectors supplying 57 %. Over the</w:t>
      </w:r>
      <w:r>
        <w:t xml:space="preserve"> </w:t>
      </w:r>
      <w:r>
        <w:t xml:space="preserve">full series, both reconstructions put LAU_Arctic first.</w:t>
      </w:r>
    </w:p>
    <w:p>
      <w:pPr>
        <w:pStyle w:val="BodyText"/>
      </w:pPr>
      <w:r>
        <w:rPr>
          <w:b/>
          <w:bCs/>
        </w:rPr>
        <w:t xml:space="preserve">Most variable source region.</w:t>
      </w:r>
      <w:r>
        <w:t xml:space="preserve"> </w:t>
      </w:r>
      <w:r>
        <w:t xml:space="preserve">In GLAC-1D it is</w:t>
      </w:r>
      <w:r>
        <w:t xml:space="preserve"> </w:t>
      </w:r>
      <w:r>
        <w:t xml:space="preserve">EIS_NorwegianSea, which has the largest SD and</w:t>
      </w:r>
      <w:r>
        <w:t xml:space="preserve"> </w:t>
      </w:r>
      <w:r>
        <w:t xml:space="preserve">36 % of the variance of the total</w:t>
      </w:r>
      <w:r>
        <w:t xml:space="preserve"> </w:t>
      </w:r>
      <w:r>
        <w:t xml:space="preserve">anomaly. In ICE-6G, LAU_Arctic and</w:t>
      </w:r>
      <w:r>
        <w:t xml:space="preserve"> </w:t>
      </w:r>
      <w:r>
        <w:t xml:space="preserve">LAU_GulfOfMexico share this role. In both reconstructions the</w:t>
      </w:r>
      <w:r>
        <w:t xml:space="preserve"> </w:t>
      </w:r>
      <w:r>
        <w:t xml:space="preserve">variability comes from a few short pulses.</w:t>
      </w:r>
    </w:p>
    <w:p>
      <w:pPr>
        <w:pStyle w:val="BodyText"/>
      </w:pPr>
      <w:r>
        <w:rPr>
          <w:b/>
          <w:bCs/>
        </w:rPr>
        <w:t xml:space="preserve">Alignment with Glas.</w:t>
      </w:r>
      <w:r>
        <w:t xml:space="preserve"> </w:t>
      </w:r>
      <w:r>
        <w:t xml:space="preserve">Glas and the discharge share millennial structure</w:t>
      </w:r>
      <w:r>
        <w:t xml:space="preserve"> </w:t>
      </w:r>
      <w:r>
        <w:t xml:space="preserve">and several individual events. There is no systematic centennial response.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Levels.</w:t>
      </w:r>
      <w:r>
        <w:t xml:space="preserve"> </w:t>
      </w:r>
      <w:r>
        <w:t xml:space="preserve">Glas follows the millennial evolution of EIS_NorwegianSea</w:t>
      </w:r>
      <w:r>
        <w:t xml:space="preserve"> </w:t>
      </w:r>
      <w:r>
        <w:t xml:space="preserve">(r = 0.49) and anti-follows EIS_BayOfBiscay</w:t>
      </w:r>
      <w:r>
        <w:t xml:space="preserve"> </w:t>
      </w:r>
      <w:r>
        <w:t xml:space="preserve">(r = -0.71). Both are robust to age uncertainty,</w:t>
      </w:r>
      <w:r>
        <w:t xml:space="preserve"> </w:t>
      </w:r>
      <w:r>
        <w:t xml:space="preserve">but neither is significant against red noise</w:t>
      </w:r>
      <w:r>
        <w:t xml:space="preserve"> </w:t>
      </w:r>
      <w:r>
        <w:t xml:space="preserve">(p = 0.147 and 0.067).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Centennial correlation.</w:t>
      </w:r>
      <w:r>
        <w:t xml:space="preserve"> </w:t>
      </w:r>
      <w:r>
        <w:t xml:space="preserve">High-passed Glas and GLAC-1D are not positively</w:t>
      </w:r>
      <w:r>
        <w:t xml:space="preserve"> </w:t>
      </w:r>
      <w:r>
        <w:t xml:space="preserve">correlated at zero lag (ensemble -0.34 to -0.04). The best lead–lag</w:t>
      </w:r>
      <w:r>
        <w:t xml:space="preserve"> </w:t>
      </w:r>
      <w:r>
        <w:t xml:space="preserve">has Glas leading by 700 yr on the published chronology</w:t>
      </w:r>
      <w:r>
        <w:t xml:space="preserve"> </w:t>
      </w:r>
      <w:r>
        <w:t xml:space="preserve">(1,300 yr ensemble median), but it is not significant once the search over lags is accounted for</w:t>
      </w:r>
      <w:r>
        <w:t xml:space="preserve"> </w:t>
      </w:r>
      <w:r>
        <w:t xml:space="preserve">(family-wise p = 0.910).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Events.</w:t>
      </w:r>
      <w:r>
        <w:t xml:space="preserve"> </w:t>
      </w:r>
      <w:r>
        <w:t xml:space="preserve">4 of the six published abrupt events have a</w:t>
      </w:r>
      <w:r>
        <w:t xml:space="preserve"> </w:t>
      </w:r>
      <w:r>
        <w:t xml:space="preserve">same-sign GLAC-1D pulse within ±300 yr (ensemble range</w:t>
      </w:r>
      <w:r>
        <w:t xml:space="preserve"> </w:t>
      </w:r>
      <w:r>
        <w:t xml:space="preserve">2–6; p = 0.185). The count becomes</w:t>
      </w:r>
      <w:r>
        <w:t xml:space="preserve"> </w:t>
      </w:r>
      <w:r>
        <w:t xml:space="preserve">significant at ±500 yr (p ≤ 0.048). The</w:t>
      </w:r>
      <w:r>
        <w:t xml:space="preserve"> </w:t>
      </w:r>
      <w:r>
        <w:t xml:space="preserve">three Heinrich Stadial 1 freshening steps and the 23.4 ka re-salinisation</w:t>
      </w:r>
      <w:r>
        <w:t xml:space="preserve"> </w:t>
      </w:r>
      <w:r>
        <w:t xml:space="preserve">match in ≥ 80 % of age models. The 17.8 ka onset, the only step that</w:t>
      </w:r>
      <w:r>
        <w:t xml:space="preserve"> </w:t>
      </w:r>
      <w:r>
        <w:t xml:space="preserve">exceeds red noise, follows a GLAC-1D freshening pulse by</w:t>
      </w:r>
      <w:r>
        <w:t xml:space="preserve"> </w:t>
      </w:r>
      <w:r>
        <w:t xml:space="preserve">~400 yr. The 14.7 ka</w:t>
      </w:r>
      <w:r>
        <w:t xml:space="preserve"> </w:t>
      </w:r>
      <w:r>
        <w:t xml:space="preserve">re-salinisation coincides with Meltwater Pulse 1A, the opposite sign.</w:t>
      </w:r>
    </w:p>
    <w:p>
      <w:pPr>
        <w:pStyle w:val="FirstParagraph"/>
      </w:pPr>
      <w:r>
        <w:rPr>
          <w:b/>
          <w:bCs/>
        </w:rPr>
        <w:t xml:space="preserve">How to quantify it.</w:t>
      </w:r>
      <w:r>
        <w:t xml:space="preserve"> </w:t>
      </w:r>
      <w:r>
        <w:t xml:space="preserve">The appropriate quantification is event-based and</w:t>
      </w:r>
      <w:r>
        <w:t xml:space="preserve"> </w:t>
      </w:r>
      <w:r>
        <w:t xml:space="preserve">carried through an age-model ensemble: per-event match probabilities and</w:t>
      </w:r>
      <w:r>
        <w:t xml:space="preserve"> </w:t>
      </w:r>
      <w:r>
        <w:t xml:space="preserve">offsets, a match count tested against random placement, and a</w:t>
      </w:r>
      <w:r>
        <w:t xml:space="preserve"> </w:t>
      </w:r>
      <w:r>
        <w:t xml:space="preserve">superposed-epoch composite that tests for a systematic response. Correlation</w:t>
      </w:r>
      <w:r>
        <w:t xml:space="preserve"> </w:t>
      </w:r>
      <w:r>
        <w:t xml:space="preserve">of the full series mainly measures the shared trend. Correlations of</w:t>
      </w:r>
      <w:r>
        <w:t xml:space="preserve"> </w:t>
      </w:r>
      <w:r>
        <w:t xml:space="preserve">high-passed series must be tested with a family-wise null over lags and</w:t>
      </w:r>
      <w:r>
        <w:t xml:space="preserve"> </w:t>
      </w:r>
      <w:r>
        <w:t xml:space="preserve">regions and with surrogates for both series. With a ±150–200 yr age</w:t>
      </w:r>
      <w:r>
        <w:t xml:space="preserve"> </w:t>
      </w:r>
      <w:r>
        <w:t xml:space="preserve">uncertainty in Glas and an unquantified uncertainty in the ice-sheet</w:t>
      </w:r>
      <w:r>
        <w:t xml:space="preserve"> </w:t>
      </w:r>
      <w:r>
        <w:t xml:space="preserve">chronologies, centennial alignment cannot be demonstrated from these data;</w:t>
      </w:r>
      <w:r>
        <w:t xml:space="preserve"> </w:t>
      </w:r>
      <w:r>
        <w:t xml:space="preserve">alignment at the ~500-yr scale can.</w:t>
      </w:r>
    </w:p>
    <w:bookmarkEnd w:id="49"/>
    <w:bookmarkStart w:id="50" w:name="caveats"/>
    <w:p>
      <w:pPr>
        <w:pStyle w:val="Heading1"/>
      </w:pPr>
      <w:r>
        <w:t xml:space="preserve">Caveats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Forcing, not NISA response.</w:t>
      </w:r>
      <w:r>
        <w:t xml:space="preserve"> </w:t>
      </w:r>
      <w:r>
        <w:t xml:space="preserve">The anomalies are source-region forcing.</w:t>
      </w:r>
      <w:r>
        <w:t xml:space="preserve"> </w:t>
      </w:r>
      <w:r>
        <w:t xml:space="preserve">Transport to NISA is efficient from the Bay of Biscay and Norwegian Sea and</w:t>
      </w:r>
      <w:r>
        <w:t xml:space="preserve"> </w:t>
      </w:r>
      <w:r>
        <w:t xml:space="preserve">weak from the Arctic sectors, and it depends on the AMOC mode (Endres et</w:t>
      </w:r>
      <w:r>
        <w:t xml:space="preserve"> </w:t>
      </w:r>
      <w:r>
        <w:t xml:space="preserve">al., 2026b; in prep.). Weighting by transport would shift importance toward</w:t>
      </w:r>
      <w:r>
        <w:t xml:space="preserve"> </w:t>
      </w:r>
      <w:r>
        <w:t xml:space="preserve">the European sectors. The draft reproduces the 14.7 ka case as AMOC</w:t>
      </w:r>
      <w:r>
        <w:t xml:space="preserve"> </w:t>
      </w:r>
      <w:r>
        <w:t xml:space="preserve">recovery cancelling the Meltwater Pulse 1A anomaly at NISA. The most direct</w:t>
      </w:r>
      <w:r>
        <w:t xml:space="preserve"> </w:t>
      </w:r>
      <w:r>
        <w:t xml:space="preserve">test would compare Glas with the convolved NISA series, which is not in the</w:t>
      </w:r>
      <w:r>
        <w:t xml:space="preserve"> </w:t>
      </w:r>
      <w:r>
        <w:t xml:space="preserve">repository.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Discharge chronology.</w:t>
      </w:r>
      <w:r>
        <w:t xml:space="preserve"> </w:t>
      </w:r>
      <w:r>
        <w:t xml:space="preserve">The ice-sheet reconstructions have their own age</w:t>
      </w:r>
      <w:r>
        <w:t xml:space="preserve"> </w:t>
      </w:r>
      <w:r>
        <w:t xml:space="preserve">uncertainty, which is only bracketed here by the offset scan.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Glas δ¹⁸O is not only seawater.</w:t>
      </w:r>
      <w:r>
        <w:t xml:space="preserve"> </w:t>
      </w:r>
      <w:r>
        <w:t xml:space="preserve">It also records temperature, moisture</w:t>
      </w:r>
      <w:r>
        <w:t xml:space="preserve"> </w:t>
      </w:r>
      <w:r>
        <w:t xml:space="preserve">source and the global-ocean deglacial trend, which lowers the expected</w:t>
      </w:r>
      <w:r>
        <w:t xml:space="preserve"> </w:t>
      </w:r>
      <w:r>
        <w:t xml:space="preserve">correlation.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Ensemble sizes.</w:t>
      </w:r>
      <w:r>
        <w:t xml:space="preserve"> </w:t>
      </w:r>
      <w:r>
        <w:t xml:space="preserve">1,000 Bchron age models were used for event statistics</w:t>
      </w:r>
      <w:r>
        <w:t xml:space="preserve"> </w:t>
      </w:r>
      <w:r>
        <w:t xml:space="preserve">and 200 for cross-correlations. Surrogate counts of 300 limit p values to</w:t>
      </w:r>
      <w:r>
        <w:t xml:space="preserve"> </w:t>
      </w:r>
      <w:r>
        <w:t xml:space="preserve">a resolution of about 0.003.</w:t>
      </w:r>
    </w:p>
    <w:bookmarkEnd w:id="50"/>
    <w:bookmarkStart w:id="5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Endres, L., Pérez-Mejías, C., Ivanovic, R., Gregoire, L., Hughes, A. L. C.,</w:t>
      </w:r>
      <w:r>
        <w:t xml:space="preserve"> </w:t>
      </w:r>
      <w:r>
        <w:t xml:space="preserve">Cheng, H., and Stoll, H. (2026a). Interplay of North Atlantic freshening and</w:t>
      </w:r>
      <w:r>
        <w:t xml:space="preserve"> </w:t>
      </w:r>
      <w:r>
        <w:t xml:space="preserve">deep convection during the last deglaciation constrained by Iberian</w:t>
      </w:r>
      <w:r>
        <w:t xml:space="preserve"> </w:t>
      </w:r>
      <w:r>
        <w:t xml:space="preserve">speleothems.</w:t>
      </w:r>
      <w:r>
        <w:t xml:space="preserve"> </w:t>
      </w:r>
      <w:r>
        <w:rPr>
          <w:i/>
          <w:iCs/>
        </w:rPr>
        <w:t xml:space="preserve">Climate of the Past</w:t>
      </w:r>
      <w:r>
        <w:t xml:space="preserve">, 22, 797–824.</w:t>
      </w:r>
      <w:r>
        <w:t xml:space="preserve"> </w:t>
      </w:r>
      <w:r>
        <w:t xml:space="preserve">https://doi.org/10.5194/cp-22-797-2026</w:t>
      </w:r>
    </w:p>
    <w:p>
      <w:pPr>
        <w:pStyle w:val="BodyText"/>
      </w:pPr>
      <w:r>
        <w:t xml:space="preserve">Endres, L., Ivanovic, R., Rome, Y., Tindall, J., Thurnherr, I., Sprenger, M.,</w:t>
      </w:r>
      <w:r>
        <w:t xml:space="preserve"> </w:t>
      </w:r>
      <w:r>
        <w:t xml:space="preserve">and Stoll, H. (2026b). Tracing meltwater from northern ice sheets to</w:t>
      </w:r>
      <w:r>
        <w:t xml:space="preserve"> </w:t>
      </w:r>
      <w:r>
        <w:t xml:space="preserve">palaeoclimate archives during the early last deglaciation: a conservative</w:t>
      </w:r>
      <w:r>
        <w:t xml:space="preserve"> </w:t>
      </w:r>
      <w:r>
        <w:t xml:space="preserve">tracer approach.</w:t>
      </w:r>
      <w:r>
        <w:t xml:space="preserve"> </w:t>
      </w:r>
      <w:r>
        <w:rPr>
          <w:i/>
          <w:iCs/>
        </w:rPr>
        <w:t xml:space="preserve">ESS Open Archive</w:t>
      </w:r>
      <w:r>
        <w:t xml:space="preserve"> </w:t>
      </w:r>
      <w:r>
        <w:t xml:space="preserve">(preprint).</w:t>
      </w:r>
      <w:r>
        <w:t xml:space="preserve"> </w:t>
      </w:r>
      <w:r>
        <w:t xml:space="preserve">https://doi.org/10.22541/essoar.15007256/v1</w:t>
      </w:r>
    </w:p>
    <w:p>
      <w:pPr>
        <w:pStyle w:val="BodyText"/>
      </w:pPr>
      <w:r>
        <w:t xml:space="preserve">Endres, L., Ivanovic, R., Rome, Y., and Stoll, H. (in prep.). A dye tracer</w:t>
      </w:r>
      <w:r>
        <w:t xml:space="preserve"> </w:t>
      </w:r>
      <w:r>
        <w:t xml:space="preserve">forward-model for meltwater-related surface ocean anomalies. 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Impulse_Response_Revisions_v1.pdf</w:t>
      </w:r>
      <w:r>
        <w:t xml:space="preserve">, this repository).</w:t>
      </w:r>
    </w:p>
    <w:p>
      <w:pPr>
        <w:pStyle w:val="BodyText"/>
      </w:pPr>
      <w:r>
        <w:t xml:space="preserve">Franke, J. G., and Donner, R. V. (2019). Correlating paleoclimate time series:</w:t>
      </w:r>
      <w:r>
        <w:t xml:space="preserve"> </w:t>
      </w:r>
      <w:r>
        <w:t xml:space="preserve">sources of uncertainty and potential pitfalls.</w:t>
      </w:r>
      <w:r>
        <w:t xml:space="preserve"> </w:t>
      </w:r>
      <w:r>
        <w:rPr>
          <w:i/>
          <w:iCs/>
        </w:rPr>
        <w:t xml:space="preserve">Quaternary Science Reviews</w:t>
      </w:r>
      <w:r>
        <w:t xml:space="preserve">.</w:t>
      </w:r>
      <w:r>
        <w:t xml:space="preserve"> </w:t>
      </w:r>
      <w:r>
        <w:t xml:space="preserve">Preprint: https://arxiv.org/abs/1903.11865</w:t>
      </w:r>
    </w:p>
    <w:p>
      <w:pPr>
        <w:pStyle w:val="BodyText"/>
      </w:pPr>
      <w:r>
        <w:t xml:space="preserve">Haslett, J., and Parnell, A. (2008). A simple monotone process with</w:t>
      </w:r>
      <w:r>
        <w:t xml:space="preserve"> </w:t>
      </w:r>
      <w:r>
        <w:t xml:space="preserve">application to radiocarbon-dated depth chronologies.</w:t>
      </w:r>
      <w:r>
        <w:t xml:space="preserve"> </w:t>
      </w:r>
      <w:r>
        <w:rPr>
          <w:i/>
          <w:iCs/>
        </w:rPr>
        <w:t xml:space="preserve">Journal of the Royal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Statistical Society C</w:t>
      </w:r>
      <w:r>
        <w:t xml:space="preserve">, 57, 399–418.</w:t>
      </w:r>
    </w:p>
    <w:p>
      <w:pPr>
        <w:pStyle w:val="BodyText"/>
      </w:pPr>
      <w:r>
        <w:t xml:space="preserve">Rehfeld, K., and Kurths, J. (2014). Similarity estimators for irregular and</w:t>
      </w:r>
      <w:r>
        <w:t xml:space="preserve"> </w:t>
      </w:r>
      <w:r>
        <w:t xml:space="preserve">age-uncertain time series.</w:t>
      </w:r>
      <w:r>
        <w:t xml:space="preserve"> </w:t>
      </w:r>
      <w:r>
        <w:rPr>
          <w:i/>
          <w:iCs/>
        </w:rPr>
        <w:t xml:space="preserve">Climate of the Past</w:t>
      </w:r>
      <w:r>
        <w:t xml:space="preserve">, 10, 107–122.</w:t>
      </w:r>
      <w:r>
        <w:t xml:space="preserve"> </w:t>
      </w:r>
      <w:r>
        <w:t xml:space="preserve">https://doi.org/10.5194/cp-10-107-2014</w:t>
      </w:r>
    </w:p>
    <w:p>
      <w:pPr>
        <w:pStyle w:val="BodyText"/>
      </w:pPr>
      <w:r>
        <w:t xml:space="preserve">Rehfeld, K., Marwan, N., Heitzig, J., and Kurths, J. (2011). Comparison of</w:t>
      </w:r>
      <w:r>
        <w:t xml:space="preserve"> </w:t>
      </w:r>
      <w:r>
        <w:t xml:space="preserve">correlation analysis techniques for irregularly sampled time series.</w:t>
      </w:r>
      <w:r>
        <w:t xml:space="preserve"> </w:t>
      </w:r>
      <w:r>
        <w:rPr>
          <w:i/>
          <w:iCs/>
        </w:rPr>
        <w:t xml:space="preserve">Nonlinear Processes in Geophysics</w:t>
      </w:r>
      <w:r>
        <w:t xml:space="preserve">, 18, 389–404.</w:t>
      </w:r>
      <w:r>
        <w:t xml:space="preserve"> </w:t>
      </w:r>
      <w:r>
        <w:t xml:space="preserve">https://doi.org/10.5194/npg-18-389-2011</w:t>
      </w:r>
    </w:p>
    <w:p>
      <w:pPr>
        <w:pStyle w:val="BodyText"/>
      </w:pPr>
      <w:r>
        <w:t xml:space="preserve">Schulz, M., and Mudelsee, M. (2002). REDFIT: estimating red-noise spectra</w:t>
      </w:r>
      <w:r>
        <w:t xml:space="preserve"> </w:t>
      </w:r>
      <w:r>
        <w:t xml:space="preserve">directly from unevenly spaced paleoclimatic time series.</w:t>
      </w:r>
      <w:r>
        <w:t xml:space="preserve"> </w:t>
      </w:r>
      <w:r>
        <w:rPr>
          <w:i/>
          <w:iCs/>
        </w:rPr>
        <w:t xml:space="preserve">Computers &amp;</w:t>
      </w:r>
      <w:r>
        <w:rPr>
          <w:i/>
          <w:iCs/>
        </w:rPr>
        <w:t xml:space="preserve"> </w:t>
      </w:r>
      <w:r>
        <w:rPr>
          <w:i/>
          <w:iCs/>
        </w:rPr>
        <w:t xml:space="preserve">Geosciences</w:t>
      </w:r>
      <w:r>
        <w:t xml:space="preserve">, 28, 421–426.</w:t>
      </w:r>
    </w:p>
    <w:p>
      <w:pPr>
        <w:pStyle w:val="BodyText"/>
      </w:pPr>
      <w:r>
        <w:t xml:space="preserve">Theiler, J., Eubank, S., Longtin, A., Galdrikian, B., and Farmer, J. D.</w:t>
      </w:r>
      <w:r>
        <w:t xml:space="preserve"> </w:t>
      </w:r>
      <w:r>
        <w:t xml:space="preserve">(1992). Testing for nonlinearity in time series: the method of surrogate</w:t>
      </w:r>
      <w:r>
        <w:t xml:space="preserve"> </w:t>
      </w:r>
      <w:r>
        <w:t xml:space="preserve">data.</w:t>
      </w:r>
      <w:r>
        <w:t xml:space="preserve"> </w:t>
      </w:r>
      <w:r>
        <w:rPr>
          <w:i/>
          <w:iCs/>
        </w:rPr>
        <w:t xml:space="preserve">Physica D</w:t>
      </w:r>
      <w:r>
        <w:t xml:space="preserve">, 58, 77–94.</w:t>
      </w:r>
    </w:p>
    <w:p>
      <w:pPr>
        <w:pStyle w:val="BodyText"/>
      </w:pPr>
      <w:r>
        <w:t xml:space="preserve">Zeileis, A., Leisch, F., Hornik, K., and Kleiber, C. (2002). strucchange: an R</w:t>
      </w:r>
      <w:r>
        <w:t xml:space="preserve"> </w:t>
      </w:r>
      <w:r>
        <w:t xml:space="preserve">package for testing for structural change in linear regression models.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7(2), 1–38.</w:t>
      </w:r>
    </w:p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Meltwater source regions and abrupt δ¹⁸O changes in stalagmite Glas: importance, variability and age-uncertain alignment</dc:title>
  <dc:creator>Laura Endres</dc:creator>
  <cp:keywords/>
  <dcterms:created xsi:type="dcterms:W3CDTF">2026-09-29T12:05:56Z</dcterms:created>
  <dcterms:modified xsi:type="dcterms:W3CDTF">2026-09-29T12:05:56Z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2026-09-29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