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png" ContentType="image/png"/>
  <Override PartName="/word/media/rId38.png" ContentType="image/png"/>
  <Override PartName="/word/media/rId30.png" ContentType="image/png"/>
  <Override PartName="/word/media/rId46.png" ContentType="image/png"/>
  <Override PartName="/word/media/rId26.png" ContentType="image/png"/>
  <Override PartName="/word/media/rId18.png" ContentType="image/png"/>
  <Override PartName="/word/media/rId42.png" ContentType="image/png"/>
  <Override PartName="/word/media/rId34.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the meltwater arrives: source-region contributions at nine proxy sites (forward model v2)</w:t>
      </w:r>
    </w:p>
    <w:p>
      <w:pPr>
        <w:pStyle w:val="Author"/>
      </w:pPr>
      <w:r>
        <w:t xml:space="preserve">Laura Endres</w:t>
      </w:r>
    </w:p>
    <w:p>
      <w:pPr>
        <w:pStyle w:val="Date"/>
      </w:pPr>
      <w:r>
        <w:t xml:space="preserve">2026-10-01</w:t>
      </w:r>
    </w:p>
    <w:bookmarkStart w:id="9" w:name="summary"/>
    <w:p>
      <w:pPr>
        <w:pStyle w:val="Heading1"/>
      </w:pPr>
      <w:r>
        <w:t xml:space="preserve">Summary</w:t>
      </w:r>
    </w:p>
    <w:p>
      <w:pPr>
        <w:pStyle w:val="FirstParagraph"/>
      </w:pPr>
      <w:r>
        <w:t xml:space="preserve">The meltwater anomaly at each of the nine proxy sites of Endres et al.</w:t>
      </w:r>
      <w:r>
        <w:t xml:space="preserve"> </w:t>
      </w:r>
      <w:r>
        <w:t xml:space="preserve">(2026b) was computed with the forward model: the regional meltwater forcing</w:t>
      </w:r>
      <w:r>
        <w:t xml:space="preserve"> </w:t>
      </w:r>
      <w:r>
        <w:t xml:space="preserve">of GLAC-1D or ICE-6G, convolved with the HadCM3 response to a dye pulse from</w:t>
      </w:r>
      <w:r>
        <w:t xml:space="preserve"> </w:t>
      </w:r>
      <w:r>
        <w:t xml:space="preserve">each of the nine input regions. This replaces the equilibrium approximation</w:t>
      </w:r>
      <w:r>
        <w:t xml:space="preserve"> </w:t>
      </w:r>
      <w:r>
        <w:t xml:space="preserve">of the previous report with the real pulse responses, so meltwater now</w:t>
      </w:r>
      <w:r>
        <w:t xml:space="preserve"> </w:t>
      </w:r>
      <w:r>
        <w:t xml:space="preserve">arrives late and spread out, as it does in the ocean model.</w:t>
      </w:r>
    </w:p>
    <w:p>
      <w:pPr>
        <w:pStyle w:val="Compact"/>
        <w:numPr>
          <w:ilvl w:val="0"/>
          <w:numId w:val="1001"/>
        </w:numPr>
      </w:pPr>
      <w:r>
        <w:t xml:space="preserve">The two ice-sheet reconstructions agree on the most important source region</w:t>
      </w:r>
      <w:r>
        <w:t xml:space="preserve"> </w:t>
      </w:r>
      <w:r>
        <w:t xml:space="preserve">at 5 of the 9 sites, in the mixed AMOC pathway, 21.5–10 ka.</w:t>
      </w:r>
    </w:p>
    <w:p>
      <w:pPr>
        <w:pStyle w:val="Compact"/>
        <w:numPr>
          <w:ilvl w:val="0"/>
          <w:numId w:val="1001"/>
        </w:numPr>
      </w:pPr>
      <w:r>
        <w:t xml:space="preserve">At La Vallina (NISA), GLAC-1D makes LAU_LabradorSea</w:t>
      </w:r>
      <w:r>
        <w:t xml:space="preserve"> </w:t>
      </w:r>
      <w:r>
        <w:t xml:space="preserve">the most important source (24 % of</w:t>
      </w:r>
      <w:r>
        <w:t xml:space="preserve"> </w:t>
      </w:r>
      <w:r>
        <w:t xml:space="preserve">the anomaly). ICE-6G makes it LAU_GulfOfMexico</w:t>
      </w:r>
      <w:r>
        <w:t xml:space="preserve"> </w:t>
      </w:r>
      <w:r>
        <w:t xml:space="preserve">(36 %).</w:t>
      </w:r>
    </w:p>
    <w:p>
      <w:pPr>
        <w:pStyle w:val="Compact"/>
        <w:numPr>
          <w:ilvl w:val="0"/>
          <w:numId w:val="1001"/>
        </w:numPr>
      </w:pPr>
      <w:r>
        <w:t xml:space="preserve">The two sites near the Gulf of Mexico are dominated by LAU_GulfOfMexico in</w:t>
      </w:r>
      <w:r>
        <w:t xml:space="preserve"> </w:t>
      </w:r>
      <w:r>
        <w:t xml:space="preserve">both reconstructions: 82–92 % of the anomaly at MD02-2552 and</w:t>
      </w:r>
      <w:r>
        <w:t xml:space="preserve"> </w:t>
      </w:r>
      <w:r>
        <w:t xml:space="preserve">68–86 % at Cave Without a Name (Texas).</w:t>
      </w:r>
    </w:p>
    <w:p>
      <w:pPr>
        <w:pStyle w:val="Compact"/>
        <w:numPr>
          <w:ilvl w:val="0"/>
          <w:numId w:val="1001"/>
        </w:numPr>
      </w:pPr>
      <w:r>
        <w:t xml:space="preserve">EIS_NorwegianSea is the most abrupt contributor in 11 of the</w:t>
      </w:r>
      <w:r>
        <w:t xml:space="preserve"> </w:t>
      </w:r>
      <w:r>
        <w:t xml:space="preserve">18 site and reconstruction combinations.</w:t>
      </w:r>
    </w:p>
    <w:p>
      <w:pPr>
        <w:pStyle w:val="Compact"/>
        <w:numPr>
          <w:ilvl w:val="0"/>
          <w:numId w:val="1001"/>
        </w:numPr>
      </w:pPr>
      <w:r>
        <w:t xml:space="preserve">The most important region does not depend on the AMOC pathway for</w:t>
      </w:r>
      <w:r>
        <w:t xml:space="preserve"> </w:t>
      </w:r>
      <w:r>
        <w:t xml:space="preserve">9 of the 18 site and reconstruction combinations.</w:t>
      </w:r>
    </w:p>
    <w:bookmarkEnd w:id="9"/>
    <w:bookmarkStart w:id="10" w:name="what-the-five-numbers-mean"/>
    <w:p>
      <w:pPr>
        <w:pStyle w:val="Heading1"/>
      </w:pPr>
      <w:r>
        <w:t xml:space="preserve">What the five numbers mean</w:t>
      </w:r>
    </w:p>
    <w:p>
      <w:pPr>
        <w:pStyle w:val="FirstParagraph"/>
      </w:pPr>
      <w:r>
        <w:t xml:space="preserve">The spider figures compare the source regions at one site with five numbers.</w:t>
      </w:r>
      <w:r>
        <w:t xml:space="preserve"> </w:t>
      </w:r>
      <w:r>
        <w:t xml:space="preserve">Each asks a simple question about the region’s contribution to the δ¹⁸O</w:t>
      </w:r>
      <w:r>
        <w:t xml:space="preserve"> </w:t>
      </w:r>
      <w:r>
        <w:t xml:space="preserve">anomaly at that site. All five are computed on a common 500-yr grid between</w:t>
      </w:r>
      <w:r>
        <w:t xml:space="preserve"> </w:t>
      </w:r>
      <w:r>
        <w:t xml:space="preserve">21.5 and 10 ka. The example values are for NISA under GLAC-1D in the mixed</w:t>
      </w:r>
      <w:r>
        <w:t xml:space="preserve"> </w:t>
      </w:r>
      <w:r>
        <w:t xml:space="preserve">pathway.</w:t>
      </w:r>
    </w:p>
    <w:p>
      <w:pPr>
        <w:pStyle w:val="BodyText"/>
      </w:pPr>
      <w:r>
        <w:rPr>
          <w:b/>
          <w:bCs/>
        </w:rPr>
        <w:t xml:space="preserve">Share: how much of the signal comes from this region?</w:t>
      </w:r>
      <w:r>
        <w:t xml:space="preserve"> </w:t>
      </w:r>
      <w:r>
        <w:t xml:space="preserve">Average the</w:t>
      </w:r>
      <w:r>
        <w:t xml:space="preserve"> </w:t>
      </w:r>
      <w:r>
        <w:t xml:space="preserve">region’s contribution over time, and divide by the sum of these averages over</w:t>
      </w:r>
      <w:r>
        <w:t xml:space="preserve"> </w:t>
      </w:r>
      <w:r>
        <w:t xml:space="preserve">all nine regions. The shares add up to 100 %. At NISA,</w:t>
      </w:r>
      <w:r>
        <w:t xml:space="preserve"> </w:t>
      </w:r>
      <w:r>
        <w:t xml:space="preserve">LAU_LabradorSea has the largest share, 24 %.</w:t>
      </w:r>
    </w:p>
    <w:p>
      <w:pPr>
        <w:pStyle w:val="BodyText"/>
      </w:pPr>
      <w:r>
        <w:rPr>
          <w:b/>
          <w:bCs/>
        </w:rPr>
        <w:t xml:space="preserve">Dominant: how often is this region the biggest contributor?</w:t>
      </w:r>
      <w:r>
        <w:t xml:space="preserve"> </w:t>
      </w:r>
      <w:r>
        <w:t xml:space="preserve">Count the</w:t>
      </w:r>
      <w:r>
        <w:t xml:space="preserve"> </w:t>
      </w:r>
      <w:r>
        <w:t xml:space="preserve">500-yr steps in which the region contributes more than any other region, and</w:t>
      </w:r>
      <w:r>
        <w:t xml:space="preserve"> </w:t>
      </w:r>
      <w:r>
        <w:t xml:space="preserve">divide by the number of steps. A region can have a modest share but still</w:t>
      </w:r>
      <w:r>
        <w:t xml:space="preserve"> </w:t>
      </w:r>
      <w:r>
        <w:t xml:space="preserve">dominate for part of the time, for example during one large pulse. At NISA,</w:t>
      </w:r>
      <w:r>
        <w:t xml:space="preserve"> </w:t>
      </w:r>
      <w:r>
        <w:t xml:space="preserve">LAU_LabradorSea is the largest contributor in 42 % of the</w:t>
      </w:r>
      <w:r>
        <w:t xml:space="preserve"> </w:t>
      </w:r>
      <w:r>
        <w:t xml:space="preserve">steps.</w:t>
      </w:r>
    </w:p>
    <w:p>
      <w:pPr>
        <w:pStyle w:val="BodyText"/>
      </w:pPr>
      <w:r>
        <w:rPr>
          <w:b/>
          <w:bCs/>
        </w:rPr>
        <w:t xml:space="preserve">SD: how much does this region’s contribution swing?</w:t>
      </w:r>
      <w:r>
        <w:t xml:space="preserve"> </w:t>
      </w:r>
      <w:r>
        <w:t xml:space="preserve">The standard</w:t>
      </w:r>
      <w:r>
        <w:t xml:space="preserve"> </w:t>
      </w:r>
      <w:r>
        <w:t xml:space="preserve">deviation of the region’s contribution over time, in ‰. A region that</w:t>
      </w:r>
      <w:r>
        <w:t xml:space="preserve"> </w:t>
      </w:r>
      <w:r>
        <w:t xml:space="preserve">delivers a steady trickle has a small SD even if its share is large. At NISA,</w:t>
      </w:r>
      <w:r>
        <w:t xml:space="preserve"> </w:t>
      </w:r>
      <w:r>
        <w:t xml:space="preserve">EIS_BayOfBiscay swings the most (SD 0.013 ‰).</w:t>
      </w:r>
    </w:p>
    <w:p>
      <w:pPr>
        <w:pStyle w:val="BodyText"/>
      </w:pPr>
      <w:r>
        <w:rPr>
          <w:b/>
          <w:bCs/>
        </w:rPr>
        <w:t xml:space="preserve">Var. share: how much of the ups and downs of the total does this region</w:t>
      </w:r>
      <w:r>
        <w:rPr>
          <w:b/>
          <w:bCs/>
        </w:rPr>
        <w:t xml:space="preserve"> </w:t>
      </w:r>
      <w:r>
        <w:rPr>
          <w:b/>
          <w:bCs/>
        </w:rPr>
        <w:t xml:space="preserve">cause?</w:t>
      </w:r>
      <w:r>
        <w:t xml:space="preserve"> </w:t>
      </w:r>
      <w:r>
        <w:t xml:space="preserve">The covariance of the region’s contribution with the total,</w:t>
      </w:r>
      <w:r>
        <w:t xml:space="preserve"> </w:t>
      </w:r>
      <w:r>
        <w:t xml:space="preserve">divided by the variance of the total, Cov(region, total) / Var(total). These</w:t>
      </w:r>
      <w:r>
        <w:t xml:space="preserve"> </w:t>
      </w:r>
      <w:r>
        <w:t xml:space="preserve">shares also add up to 100 %. A region that swings a lot, at the same times</w:t>
      </w:r>
      <w:r>
        <w:t xml:space="preserve"> </w:t>
      </w:r>
      <w:r>
        <w:t xml:space="preserve">as the total, gets a large value. A region that swings against the others can</w:t>
      </w:r>
      <w:r>
        <w:t xml:space="preserve"> </w:t>
      </w:r>
      <w:r>
        <w:t xml:space="preserve">get a negative value. At NISA, EIS_NorwegianSea explains</w:t>
      </w:r>
      <w:r>
        <w:t xml:space="preserve"> </w:t>
      </w:r>
      <w:r>
        <w:t xml:space="preserve">29 % of the variance of the total.</w:t>
      </w:r>
    </w:p>
    <w:p>
      <w:pPr>
        <w:pStyle w:val="BodyText"/>
      </w:pPr>
      <w:r>
        <w:rPr>
          <w:b/>
          <w:bCs/>
        </w:rPr>
        <w:t xml:space="preserve">SD Δ: how abrupt is this region?</w:t>
      </w:r>
      <w:r>
        <w:t xml:space="preserve"> </w:t>
      </w:r>
      <w:r>
        <w:t xml:space="preserve">The standard deviation of the changes</w:t>
      </w:r>
      <w:r>
        <w:t xml:space="preserve"> </w:t>
      </w:r>
      <w:r>
        <w:t xml:space="preserve">from one 500-yr step to the next, in ‰. It is large when the region’s</w:t>
      </w:r>
      <w:r>
        <w:t xml:space="preserve"> </w:t>
      </w:r>
      <w:r>
        <w:t xml:space="preserve">contribution jumps quickly, and small when it only drifts. At NISA,</w:t>
      </w:r>
      <w:r>
        <w:t xml:space="preserve"> </w:t>
      </w:r>
      <w:r>
        <w:t xml:space="preserve">EIS_NorwegianSea is the most abrupt (SD Δ 0.010 ‰).</w:t>
      </w:r>
    </w:p>
    <w:p>
      <w:pPr>
        <w:pStyle w:val="BodyText"/>
      </w:pPr>
      <w:r>
        <w:t xml:space="preserve">In the spider figures, each of these numbers is one spoke. Each spoke is</w:t>
      </w:r>
      <w:r>
        <w:t xml:space="preserve"> </w:t>
      </w:r>
      <w:r>
        <w:t xml:space="preserve">scaled to the largest value of that number at the same site, so the outer</w:t>
      </w:r>
      <w:r>
        <w:t xml:space="preserve"> </w:t>
      </w:r>
      <w:r>
        <w:t xml:space="preserve">ring marks the site’s maximum, and shapes can be compared between regions and</w:t>
      </w:r>
      <w:r>
        <w:t xml:space="preserve"> </w:t>
      </w:r>
      <w:r>
        <w:t xml:space="preserve">between the two reconstructions.</w:t>
      </w:r>
    </w:p>
    <w:bookmarkEnd w:id="10"/>
    <w:bookmarkStart w:id="11" w:name="data-and-methods"/>
    <w:p>
      <w:pPr>
        <w:pStyle w:val="Heading1"/>
      </w:pPr>
      <w:r>
        <w:t xml:space="preserve">Data and methods</w:t>
      </w:r>
    </w:p>
    <w:p>
      <w:pPr>
        <w:pStyle w:val="FirstParagraph"/>
      </w:pPr>
      <w:r>
        <w:rPr>
          <w:b/>
          <w:bCs/>
        </w:rPr>
        <w:t xml:space="preserve">Forward model.</w:t>
      </w:r>
      <w:r>
        <w:t xml:space="preserve"> </w:t>
      </w:r>
      <w:r>
        <w:t xml:space="preserve">The source-region δ¹⁸O anomaly of each region (−35 ‰</w:t>
      </w:r>
      <w:r>
        <w:t xml:space="preserve"> </w:t>
      </w:r>
      <w:r>
        <w:t xml:space="preserve">end-member) is interpolated to 10-yr steps and convolved with the HadCM3</w:t>
      </w:r>
      <w:r>
        <w:t xml:space="preserve"> </w:t>
      </w:r>
      <w:r>
        <w:t xml:space="preserve">surface response to a 10-yr dye pulse in that region. The pulse responses</w:t>
      </w:r>
      <w:r>
        <w:t xml:space="preserve"> </w:t>
      </w:r>
      <w:r>
        <w:t xml:space="preserve">come from the runs xpran (cold), xprao (zonal) and xpujc (meridional). The</w:t>
      </w:r>
      <w:r>
        <w:t xml:space="preserve"> </w:t>
      </w:r>
      <w:r>
        <w:t xml:space="preserve">mixed pathway switches between them on the deglacial schedule. Water keeps</w:t>
      </w:r>
      <w:r>
        <w:t xml:space="preserve"> </w:t>
      </w:r>
      <w:r>
        <w:t xml:space="preserve">the response of the mode it was released in. A one-page schematic is at</w:t>
      </w:r>
      <w:r>
        <w:t xml:space="preserve"> </w:t>
      </w:r>
      <w:r>
        <w:t xml:space="preserve">https://claude.ai/artifact/CqfLtTKp2MCwDi9L8YFa6x.</w:t>
      </w:r>
    </w:p>
    <w:p>
      <w:pPr>
        <w:pStyle w:val="BodyText"/>
      </w:pPr>
      <w:r>
        <w:rPr>
          <w:b/>
          <w:bCs/>
        </w:rPr>
        <w:t xml:space="preserve">Proxy sites.</w:t>
      </w:r>
      <w:r>
        <w:t xml:space="preserve"> </w:t>
      </w:r>
      <w:r>
        <w:t xml:space="preserve">Ocean cores take the latitude-weighted mean over a ±2° box.</w:t>
      </w:r>
      <w:r>
        <w:t xml:space="preserve"> </w:t>
      </w:r>
      <w:r>
        <w:t xml:space="preserve">Speleothems and the ice core weight the surface field by the moisture uptake</w:t>
      </w:r>
      <w:r>
        <w:t xml:space="preserve"> </w:t>
      </w:r>
      <w:r>
        <w:t xml:space="preserve">of their precipitation, from the back-trajectory runs of Endres et al.</w:t>
      </w:r>
      <w:r>
        <w:t xml:space="preserve"> </w:t>
      </w:r>
      <w:r>
        <w:t xml:space="preserve">(2026b).</w:t>
      </w:r>
    </w:p>
    <w:p>
      <w:pPr>
        <w:pStyle w:val="BodyText"/>
      </w:pPr>
      <w:r>
        <w:rPr>
          <w:b/>
          <w:bCs/>
        </w:rPr>
        <w:t xml:space="preserve">Checks on the pulse responses.</w:t>
      </w:r>
      <w:r>
        <w:t xml:space="preserve"> </w:t>
      </w:r>
      <w:r>
        <w:t xml:space="preserve">The 50 decadal responses add up to the</w:t>
      </w:r>
      <w:r>
        <w:t xml:space="preserve"> </w:t>
      </w:r>
      <w:r>
        <w:t xml:space="preserve">500-yr constant-input equilibrium. At each site, the ratio of the summed</w:t>
      </w:r>
      <w:r>
        <w:t xml:space="preserve"> </w:t>
      </w:r>
      <w:r>
        <w:t xml:space="preserve">response to the equilibrium weights of Endres et al. (2026b) lies between</w:t>
      </w:r>
      <w:r>
        <w:t xml:space="preserve"> </w:t>
      </w:r>
      <w:r>
        <w:t xml:space="preserve">0.85 and 1.16 for the cold and zonal</w:t>
      </w:r>
      <w:r>
        <w:t xml:space="preserve"> </w:t>
      </w:r>
      <w:r>
        <w:t xml:space="preserve">modes (median over all site, mode and region cells</w:t>
      </w:r>
      <w:r>
        <w:t xml:space="preserve"> </w:t>
      </w:r>
      <w:r>
        <w:t xml:space="preserve">1.02). A constant forcing therefore</w:t>
      </w:r>
      <w:r>
        <w:t xml:space="preserve"> </w:t>
      </w:r>
      <w:r>
        <w:t xml:space="preserve">reaches the paper’s equilibrium anomaly. What the forward model changes is</w:t>
      </w:r>
      <w:r>
        <w:t xml:space="preserve"> </w:t>
      </w:r>
      <w:r>
        <w:t xml:space="preserve">the timing: short pulses arrive later and more spread out.</w:t>
      </w:r>
    </w:p>
    <w:p>
      <w:pPr>
        <w:pStyle w:val="BodyText"/>
      </w:pPr>
      <w:r>
        <w:rPr>
          <w:b/>
          <w:bCs/>
        </w:rPr>
        <w:t xml:space="preserve">Metrics.</w:t>
      </w:r>
      <w:r>
        <w:t xml:space="preserve"> </w:t>
      </w:r>
      <w:r>
        <w:t xml:space="preserve">The decadal site series were averaged into</w:t>
      </w:r>
      <w:r>
        <w:t xml:space="preserve"> </w:t>
      </w:r>
      <w:r>
        <w:t xml:space="preserve">24 steps of 500 years between 21.5 and 10 ka. This is</w:t>
      </w:r>
      <w:r>
        <w:t xml:space="preserve"> </w:t>
      </w:r>
      <w:r>
        <w:t xml:space="preserve">the rule of the previous report: GLAC-1D has 100-yr and ICE-6G 500-yr native</w:t>
      </w:r>
      <w:r>
        <w:t xml:space="preserve"> </w:t>
      </w:r>
      <w:r>
        <w:t xml:space="preserve">steps, and a common grid keeps resolution from looking like variability.</w:t>
      </w:r>
    </w:p>
    <w:bookmarkEnd w:id="11"/>
    <w:bookmarkStart w:id="55" w:name="results"/>
    <w:p>
      <w:pPr>
        <w:pStyle w:val="Heading1"/>
      </w:pPr>
      <w:r>
        <w:t xml:space="preserve">Results</w:t>
      </w:r>
    </w:p>
    <w:tbl>
      <w:tblPr>
        <w:tblStyle w:val="Table"/>
        <w:tblW w:type="pct" w:w="5000"/>
        <w:tblLayout w:type="fixed"/>
        <w:tblLook w:firstRow="0" w:lastRow="0" w:firstColumn="0" w:lastColumn="0" w:noHBand="0" w:noVBand="0" w:val="0000"/>
      </w:tblPr>
      <w:tblGrid>
        <w:gridCol w:w="7920"/>
      </w:tblGrid>
      <w:tr>
        <w:tc>
          <w:tcPr/>
          <w:bookmarkStart w:id="15" w:name="fig-totals"/>
          <w:p>
            <w:pPr>
              <w:pStyle w:val="Compact"/>
              <w:jc w:val="center"/>
            </w:pPr>
            <w:r>
              <w:drawing>
                <wp:inline>
                  <wp:extent cx="5334000" cy="4572000"/>
                  <wp:effectExtent b="0" l="0" r="0" t="0"/>
                  <wp:docPr descr="" title="" id="13" name="Picture"/>
                  <a:graphic>
                    <a:graphicData uri="http://schemas.openxmlformats.org/drawingml/2006/picture">
                      <pic:pic>
                        <pic:nvPicPr>
                          <pic:cNvPr descr="site_anomalies_v2_files/figure-docx/fig-totals-1.png" id="14" name="Picture"/>
                          <pic:cNvPicPr>
                            <a:picLocks noChangeArrowheads="1" noChangeAspect="1"/>
                          </pic:cNvPicPr>
                        </pic:nvPicPr>
                        <pic:blipFill>
                          <a:blip r:embed="rId12"/>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Total δ¹⁸O anomaly at the nine proxy sites, mixed AMOC pathway, decadal steps. Blue: GLAC-1D; orange: ICE-6G. The panels have their own vertical scales.</w:t>
            </w:r>
          </w:p>
          <w:bookmarkEnd w:id="15"/>
        </w:tc>
      </w:tr>
    </w:tbl>
    <w:p>
      <w:pPr>
        <w:pStyle w:val="BodyText"/>
      </w:pPr>
      <w:hyperlink w:anchor="fig-totals">
        <w:r>
          <w:rPr>
            <w:rStyle w:val="Hyperlink"/>
          </w:rPr>
          <w:t xml:space="preserve">Figure 1</w:t>
        </w:r>
      </w:hyperlink>
      <w:r>
        <w:t xml:space="preserve"> </w:t>
      </w:r>
      <w:r>
        <w:t xml:space="preserve">shows the total anomaly at each site.</w:t>
      </w:r>
      <w:r>
        <w:t xml:space="preserve"> </w:t>
      </w:r>
      <w:hyperlink w:anchor="tbl-summary">
        <w:r>
          <w:rPr>
            <w:rStyle w:val="Hyperlink"/>
          </w:rPr>
          <w:t xml:space="preserve">Table 1</w:t>
        </w:r>
      </w:hyperlink>
      <w:r>
        <w:t xml:space="preserve"> </w:t>
      </w:r>
      <w:r>
        <w:t xml:space="preserve">lists, for</w:t>
      </w:r>
      <w:r>
        <w:t xml:space="preserve"> </w:t>
      </w:r>
      <w:r>
        <w:t xml:space="preserve">each site, the region with the largest share, the largest SD and the largest</w:t>
      </w:r>
      <w:r>
        <w:t xml:space="preserve"> </w:t>
      </w:r>
      <w:r>
        <w:t xml:space="preserve">SD Δ in the mixed pathway.</w:t>
      </w:r>
      <w:r>
        <w:t xml:space="preserve"> </w:t>
      </w:r>
      <w:hyperlink w:anchor="tbl-pathways">
        <w:r>
          <w:rPr>
            <w:rStyle w:val="Hyperlink"/>
          </w:rPr>
          <w:t xml:space="preserve">Table 2</w:t>
        </w:r>
      </w:hyperlink>
      <w:r>
        <w:t xml:space="preserve"> </w:t>
      </w:r>
      <w:r>
        <w:t xml:space="preserve">shows whether the most important</w:t>
      </w:r>
      <w:r>
        <w:t xml:space="preserve"> </w:t>
      </w:r>
      <w:r>
        <w:t xml:space="preserve">region changes with the AMOC pathway.</w:t>
      </w:r>
    </w:p>
    <w:tbl>
      <w:tblPr>
        <w:tblStyle w:val="Table"/>
        <w:tblW w:type="pct" w:w="5000"/>
        <w:tblLayout w:type="fixed"/>
        <w:tblLook w:firstRow="0" w:lastRow="0" w:firstColumn="0" w:lastColumn="0" w:noHBand="0" w:noVBand="0" w:val="0000"/>
      </w:tblPr>
      <w:tblGrid>
        <w:gridCol w:w="7920"/>
      </w:tblGrid>
      <w:tr>
        <w:tc>
          <w:tcPr/>
          <w:bookmarkStart w:id="16" w:name="tbl-summary"/>
          <w:p>
            <w:pPr>
              <w:jc w:val="center"/>
            </w:pPr>
            <w:pPr>
              <w:jc w:val="left"/>
              <w:spacing w:before="200"/>
              <w:pStyle w:val="ImageCaption"/>
            </w:pPr>
            <w:r>
              <w:t xml:space="preserve">Table 1: Mixed pathway, 21.5–10 ka, 500-yr grid. Most important: largest share (in brackets). Most variable: largest SD. Most abrupt: largest SD Δ.</w:t>
            </w:r>
          </w:p>
          <w:tbl>
            <w:tblPr>
              <w:tblStyle w:val="Table"/>
              <w:tblW w:type="pct" w:w="5000"/>
              <w:tblLayout w:type="fixed"/>
              <w:tblLook w:firstRow="1" w:lastRow="0" w:firstColumn="0" w:lastColumn="0" w:noHBand="0" w:noVBand="0" w:val="0020"/>
            </w:tblPr>
            <w:tblGrid>
              <w:gridCol w:w="1841"/>
              <w:gridCol w:w="736"/>
              <w:gridCol w:w="2210"/>
              <w:gridCol w:w="1565"/>
              <w:gridCol w:w="1565"/>
            </w:tblGrid>
            <w:tr>
              <w:trPr>
                <w:tblHeader w:val="on"/>
              </w:trPr>
              <w:tc>
                <w:tcPr/>
                <w:p>
                  <w:pPr>
                    <w:pStyle w:val="Compact"/>
                    <w:jc w:val="left"/>
                    <w:jc w:val="center"/>
                  </w:pPr>
                  <w:r>
                    <w:t xml:space="preserve">Site</w:t>
                  </w:r>
                </w:p>
              </w:tc>
              <w:tc>
                <w:tcPr/>
                <w:p>
                  <w:pPr>
                    <w:pStyle w:val="Compact"/>
                    <w:jc w:val="left"/>
                    <w:jc w:val="center"/>
                  </w:pPr>
                  <w:r>
                    <w:t xml:space="preserve">Forcing</w:t>
                  </w:r>
                </w:p>
              </w:tc>
              <w:tc>
                <w:tcPr/>
                <w:p>
                  <w:pPr>
                    <w:pStyle w:val="Compact"/>
                    <w:jc w:val="left"/>
                    <w:jc w:val="center"/>
                  </w:pPr>
                  <w:r>
                    <w:t xml:space="preserve">Most important</w:t>
                  </w:r>
                </w:p>
              </w:tc>
              <w:tc>
                <w:tcPr/>
                <w:p>
                  <w:pPr>
                    <w:pStyle w:val="Compact"/>
                    <w:jc w:val="left"/>
                    <w:jc w:val="center"/>
                  </w:pPr>
                  <w:r>
                    <w:t xml:space="preserve">Most variable</w:t>
                  </w:r>
                </w:p>
              </w:tc>
              <w:tc>
                <w:tcPr/>
                <w:p>
                  <w:pPr>
                    <w:pStyle w:val="Compact"/>
                    <w:jc w:val="left"/>
                    <w:jc w:val="center"/>
                  </w:pPr>
                  <w:r>
                    <w:t xml:space="preserve">Most abrupt</w:t>
                  </w:r>
                </w:p>
              </w:tc>
            </w:tr>
            <w:tr>
              <w:tc>
                <w:tcPr/>
                <w:p>
                  <w:pPr>
                    <w:pStyle w:val="Compact"/>
                    <w:jc w:val="left"/>
                    <w:jc w:val="center"/>
                  </w:pPr>
                  <w:r>
                    <w:t xml:space="preserve">La Vallina (NISA)</w:t>
                  </w:r>
                </w:p>
              </w:tc>
              <w:tc>
                <w:tcPr/>
                <w:p>
                  <w:pPr>
                    <w:pStyle w:val="Compact"/>
                    <w:jc w:val="left"/>
                    <w:jc w:val="center"/>
                  </w:pPr>
                  <w:r>
                    <w:t xml:space="preserve">GLAC-1D</w:t>
                  </w:r>
                </w:p>
              </w:tc>
              <w:tc>
                <w:tcPr/>
                <w:p>
                  <w:pPr>
                    <w:pStyle w:val="Compact"/>
                    <w:jc w:val="left"/>
                    <w:jc w:val="center"/>
                  </w:pPr>
                  <w:r>
                    <w:t xml:space="preserve">LAU_LabradorSea (24 %)</w:t>
                  </w:r>
                </w:p>
              </w:tc>
              <w:tc>
                <w:tcPr/>
                <w:p>
                  <w:pPr>
                    <w:pStyle w:val="Compact"/>
                    <w:jc w:val="left"/>
                    <w:jc w:val="center"/>
                  </w:pPr>
                  <w:r>
                    <w:t xml:space="preserve">EIS_BayOfBiscay</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LAU_GulfOfMexico (36 %)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jc w:val="left"/>
                    <w:jc w:val="center"/>
                  </w:pPr>
                  <w:r>
                    <w:t xml:space="preserve">Cave Without a Name</w:t>
                  </w:r>
                </w:p>
              </w:tc>
              <w:tc>
                <w:tcPr/>
                <w:p>
                  <w:pPr>
                    <w:pStyle w:val="Compact"/>
                    <w:jc w:val="left"/>
                    <w:jc w:val="center"/>
                  </w:pPr>
                  <w:r>
                    <w:t xml:space="preserve">GLAC-1D</w:t>
                  </w:r>
                </w:p>
              </w:tc>
              <w:tc>
                <w:tcPr/>
                <w:p>
                  <w:pPr>
                    <w:pStyle w:val="Compact"/>
                    <w:jc w:val="left"/>
                    <w:jc w:val="center"/>
                  </w:pPr>
                  <w:r>
                    <w:t xml:space="preserve">LAU_GulfOfMexico (68 %)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pPr>
                </w:p>
              </w:tc>
              <w:tc>
                <w:tcPr/>
                <w:p>
                  <w:pPr>
                    <w:pStyle w:val="Compact"/>
                    <w:jc w:val="left"/>
                    <w:jc w:val="center"/>
                  </w:pPr>
                  <w:r>
                    <w:t xml:space="preserve">ICE-6G</w:t>
                  </w:r>
                </w:p>
              </w:tc>
              <w:tc>
                <w:tcPr/>
                <w:p>
                  <w:pPr>
                    <w:pStyle w:val="Compact"/>
                    <w:jc w:val="left"/>
                    <w:jc w:val="center"/>
                  </w:pPr>
                  <w:r>
                    <w:t xml:space="preserve">LAU_GulfOfMexico (86 %)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jc w:val="left"/>
                    <w:jc w:val="center"/>
                  </w:pPr>
                  <w:r>
                    <w:t xml:space="preserve">NGRIP</w:t>
                  </w:r>
                </w:p>
              </w:tc>
              <w:tc>
                <w:tcPr/>
                <w:p>
                  <w:pPr>
                    <w:pStyle w:val="Compact"/>
                    <w:jc w:val="left"/>
                    <w:jc w:val="center"/>
                  </w:pPr>
                  <w:r>
                    <w:t xml:space="preserve">GLAC-1D</w:t>
                  </w:r>
                </w:p>
              </w:tc>
              <w:tc>
                <w:tcPr/>
                <w:p>
                  <w:pPr>
                    <w:pStyle w:val="Compact"/>
                    <w:jc w:val="left"/>
                    <w:jc w:val="center"/>
                  </w:pPr>
                  <w:r>
                    <w:t xml:space="preserve">EIS_NorwegianSea (24 %)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LAU_Arctic (25 %)</w:t>
                  </w:r>
                </w:p>
              </w:tc>
              <w:tc>
                <w:tcPr/>
                <w:p>
                  <w:pPr>
                    <w:pStyle w:val="Compact"/>
                    <w:jc w:val="left"/>
                    <w:jc w:val="center"/>
                  </w:pPr>
                  <w:r>
                    <w:t xml:space="preserve">LAU_Arctic</w:t>
                  </w:r>
                </w:p>
              </w:tc>
              <w:tc>
                <w:tcPr/>
                <w:p>
                  <w:pPr>
                    <w:pStyle w:val="Compact"/>
                    <w:jc w:val="left"/>
                    <w:jc w:val="center"/>
                  </w:pPr>
                  <w:r>
                    <w:t xml:space="preserve">EIS_NorwegianSea</w:t>
                  </w:r>
                </w:p>
              </w:tc>
            </w:tr>
            <w:tr>
              <w:tc>
                <w:tcPr/>
                <w:p>
                  <w:pPr>
                    <w:pStyle w:val="Compact"/>
                    <w:jc w:val="left"/>
                    <w:jc w:val="center"/>
                  </w:pPr>
                  <w:r>
                    <w:t xml:space="preserve">MD95-2010</w:t>
                  </w:r>
                </w:p>
              </w:tc>
              <w:tc>
                <w:tcPr/>
                <w:p>
                  <w:pPr>
                    <w:pStyle w:val="Compact"/>
                    <w:jc w:val="left"/>
                    <w:jc w:val="center"/>
                  </w:pPr>
                  <w:r>
                    <w:t xml:space="preserve">GLAC-1D</w:t>
                  </w:r>
                </w:p>
              </w:tc>
              <w:tc>
                <w:tcPr/>
                <w:p>
                  <w:pPr>
                    <w:pStyle w:val="Compact"/>
                    <w:jc w:val="left"/>
                    <w:jc w:val="center"/>
                  </w:pPr>
                  <w:r>
                    <w:t xml:space="preserve">EIS_NorwegianSea (32 %)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EIS_NorwegianSea (30 %)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jc w:val="left"/>
                    <w:jc w:val="center"/>
                  </w:pPr>
                  <w:r>
                    <w:t xml:space="preserve">PS2644-5</w:t>
                  </w:r>
                </w:p>
              </w:tc>
              <w:tc>
                <w:tcPr/>
                <w:p>
                  <w:pPr>
                    <w:pStyle w:val="Compact"/>
                    <w:jc w:val="left"/>
                    <w:jc w:val="center"/>
                  </w:pPr>
                  <w:r>
                    <w:t xml:space="preserve">GLAC-1D</w:t>
                  </w:r>
                </w:p>
              </w:tc>
              <w:tc>
                <w:tcPr/>
                <w:p>
                  <w:pPr>
                    <w:pStyle w:val="Compact"/>
                    <w:jc w:val="left"/>
                    <w:jc w:val="center"/>
                  </w:pPr>
                  <w:r>
                    <w:t xml:space="preserve">EIS_NorwegianSea (33 %)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LAU_Arctic (35 %)</w:t>
                  </w:r>
                </w:p>
              </w:tc>
              <w:tc>
                <w:tcPr/>
                <w:p>
                  <w:pPr>
                    <w:pStyle w:val="Compact"/>
                    <w:jc w:val="left"/>
                    <w:jc w:val="center"/>
                  </w:pPr>
                  <w:r>
                    <w:t xml:space="preserve">LAU_Arctic</w:t>
                  </w:r>
                </w:p>
              </w:tc>
              <w:tc>
                <w:tcPr/>
                <w:p>
                  <w:pPr>
                    <w:pStyle w:val="Compact"/>
                    <w:jc w:val="left"/>
                    <w:jc w:val="center"/>
                  </w:pPr>
                  <w:r>
                    <w:t xml:space="preserve">EIS_NorwegianSea</w:t>
                  </w:r>
                </w:p>
              </w:tc>
            </w:tr>
            <w:tr>
              <w:tc>
                <w:tcPr/>
                <w:p>
                  <w:pPr>
                    <w:pStyle w:val="Compact"/>
                    <w:jc w:val="left"/>
                    <w:jc w:val="center"/>
                  </w:pPr>
                  <w:r>
                    <w:t xml:space="preserve">MD03-2664</w:t>
                  </w:r>
                </w:p>
              </w:tc>
              <w:tc>
                <w:tcPr/>
                <w:p>
                  <w:pPr>
                    <w:pStyle w:val="Compact"/>
                    <w:jc w:val="left"/>
                    <w:jc w:val="center"/>
                  </w:pPr>
                  <w:r>
                    <w:t xml:space="preserve">GLAC-1D</w:t>
                  </w:r>
                </w:p>
              </w:tc>
              <w:tc>
                <w:tcPr/>
                <w:p>
                  <w:pPr>
                    <w:pStyle w:val="Compact"/>
                    <w:jc w:val="left"/>
                    <w:jc w:val="center"/>
                  </w:pPr>
                  <w:r>
                    <w:t xml:space="preserve">EIS_NorwegianSea (31 %)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EIS_NorwegianSea (28 %)</w:t>
                  </w:r>
                </w:p>
              </w:tc>
              <w:tc>
                <w:tcPr/>
                <w:p>
                  <w:pPr>
                    <w:pStyle w:val="Compact"/>
                    <w:jc w:val="left"/>
                    <w:jc w:val="center"/>
                  </w:pPr>
                  <w:r>
                    <w:t xml:space="preserve">LAU_Arctic</w:t>
                  </w:r>
                </w:p>
              </w:tc>
              <w:tc>
                <w:tcPr/>
                <w:p>
                  <w:pPr>
                    <w:pStyle w:val="Compact"/>
                    <w:jc w:val="left"/>
                    <w:jc w:val="center"/>
                  </w:pPr>
                  <w:r>
                    <w:t xml:space="preserve">EIS_NorwegianSea</w:t>
                  </w:r>
                </w:p>
              </w:tc>
            </w:tr>
            <w:tr>
              <w:tc>
                <w:tcPr/>
                <w:p>
                  <w:pPr>
                    <w:pStyle w:val="Compact"/>
                    <w:jc w:val="left"/>
                    <w:jc w:val="center"/>
                  </w:pPr>
                  <w:r>
                    <w:t xml:space="preserve">ODP980</w:t>
                  </w:r>
                </w:p>
              </w:tc>
              <w:tc>
                <w:tcPr/>
                <w:p>
                  <w:pPr>
                    <w:pStyle w:val="Compact"/>
                    <w:jc w:val="left"/>
                    <w:jc w:val="center"/>
                  </w:pPr>
                  <w:r>
                    <w:t xml:space="preserve">GLAC-1D</w:t>
                  </w:r>
                </w:p>
              </w:tc>
              <w:tc>
                <w:tcPr/>
                <w:p>
                  <w:pPr>
                    <w:pStyle w:val="Compact"/>
                    <w:jc w:val="left"/>
                    <w:jc w:val="center"/>
                  </w:pPr>
                  <w:r>
                    <w:t xml:space="preserve">LAU_LabradorSea (30 %)</w:t>
                  </w:r>
                </w:p>
              </w:tc>
              <w:tc>
                <w:tcPr/>
                <w:p>
                  <w:pPr>
                    <w:pStyle w:val="Compact"/>
                    <w:jc w:val="left"/>
                    <w:jc w:val="center"/>
                  </w:pPr>
                  <w:r>
                    <w:t xml:space="preserve">LAU_LabradorSea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LAU_GulfOfMexico (28 %)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jc w:val="left"/>
                    <w:jc w:val="center"/>
                  </w:pPr>
                  <w:r>
                    <w:t xml:space="preserve">MD95-2042</w:t>
                  </w:r>
                </w:p>
              </w:tc>
              <w:tc>
                <w:tcPr/>
                <w:p>
                  <w:pPr>
                    <w:pStyle w:val="Compact"/>
                    <w:jc w:val="left"/>
                    <w:jc w:val="center"/>
                  </w:pPr>
                  <w:r>
                    <w:t xml:space="preserve">GLAC-1D</w:t>
                  </w:r>
                </w:p>
              </w:tc>
              <w:tc>
                <w:tcPr/>
                <w:p>
                  <w:pPr>
                    <w:pStyle w:val="Compact"/>
                    <w:jc w:val="left"/>
                    <w:jc w:val="center"/>
                  </w:pPr>
                  <w:r>
                    <w:t xml:space="preserve">LAU_GulfOfMexico (23 %)</w:t>
                  </w:r>
                </w:p>
              </w:tc>
              <w:tc>
                <w:tcPr/>
                <w:p>
                  <w:pPr>
                    <w:pStyle w:val="Compact"/>
                    <w:jc w:val="left"/>
                    <w:jc w:val="center"/>
                  </w:pPr>
                  <w:r>
                    <w:t xml:space="preserve">EIS_NorwegianSea</w:t>
                  </w:r>
                </w:p>
              </w:tc>
              <w:tc>
                <w:tcPr/>
                <w:p>
                  <w:pPr>
                    <w:pStyle w:val="Compact"/>
                    <w:jc w:val="left"/>
                    <w:jc w:val="center"/>
                  </w:pPr>
                  <w:r>
                    <w:t xml:space="preserve">EIS_NorwegianSea</w:t>
                  </w:r>
                </w:p>
              </w:tc>
            </w:tr>
            <w:tr>
              <w:tc>
                <w:tcPr/>
                <w:p>
                  <w:pPr>
                    <w:pStyle w:val="Compact"/>
                  </w:pPr>
                </w:p>
              </w:tc>
              <w:tc>
                <w:tcPr/>
                <w:p>
                  <w:pPr>
                    <w:pStyle w:val="Compact"/>
                    <w:jc w:val="left"/>
                    <w:jc w:val="center"/>
                  </w:pPr>
                  <w:r>
                    <w:t xml:space="preserve">ICE-6G</w:t>
                  </w:r>
                </w:p>
              </w:tc>
              <w:tc>
                <w:tcPr/>
                <w:p>
                  <w:pPr>
                    <w:pStyle w:val="Compact"/>
                    <w:jc w:val="left"/>
                    <w:jc w:val="center"/>
                  </w:pPr>
                  <w:r>
                    <w:t xml:space="preserve">LAU_GulfOfMexico (48 %)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jc w:val="left"/>
                    <w:jc w:val="center"/>
                  </w:pPr>
                  <w:r>
                    <w:t xml:space="preserve">MD02-2552</w:t>
                  </w:r>
                </w:p>
              </w:tc>
              <w:tc>
                <w:tcPr/>
                <w:p>
                  <w:pPr>
                    <w:pStyle w:val="Compact"/>
                    <w:jc w:val="left"/>
                    <w:jc w:val="center"/>
                  </w:pPr>
                  <w:r>
                    <w:t xml:space="preserve">GLAC-1D</w:t>
                  </w:r>
                </w:p>
              </w:tc>
              <w:tc>
                <w:tcPr/>
                <w:p>
                  <w:pPr>
                    <w:pStyle w:val="Compact"/>
                    <w:jc w:val="left"/>
                    <w:jc w:val="center"/>
                  </w:pPr>
                  <w:r>
                    <w:t xml:space="preserve">LAU_GulfOfMexico (82 %)</w:t>
                  </w:r>
                </w:p>
              </w:tc>
              <w:tc>
                <w:tcPr/>
                <w:p>
                  <w:pPr>
                    <w:pStyle w:val="Compact"/>
                    <w:jc w:val="left"/>
                    <w:jc w:val="center"/>
                  </w:pPr>
                  <w:r>
                    <w:t xml:space="preserve">LAU_GulfOfMexico</w:t>
                  </w:r>
                </w:p>
              </w:tc>
              <w:tc>
                <w:tcPr/>
                <w:p>
                  <w:pPr>
                    <w:pStyle w:val="Compact"/>
                    <w:jc w:val="left"/>
                    <w:jc w:val="center"/>
                  </w:pPr>
                  <w:r>
                    <w:t xml:space="preserve">LAU_GulfOfMexico</w:t>
                  </w:r>
                </w:p>
              </w:tc>
            </w:tr>
            <w:tr>
              <w:tc>
                <w:tcPr/>
                <w:p>
                  <w:pPr>
                    <w:pStyle w:val="Compact"/>
                  </w:pPr>
                </w:p>
              </w:tc>
              <w:tc>
                <w:tcPr/>
                <w:p>
                  <w:pPr>
                    <w:pStyle w:val="Compact"/>
                    <w:jc w:val="left"/>
                    <w:jc w:val="center"/>
                  </w:pPr>
                  <w:r>
                    <w:t xml:space="preserve">ICE-6G</w:t>
                  </w:r>
                </w:p>
              </w:tc>
              <w:tc>
                <w:tcPr/>
                <w:p>
                  <w:pPr>
                    <w:pStyle w:val="Compact"/>
                    <w:jc w:val="left"/>
                    <w:jc w:val="center"/>
                  </w:pPr>
                  <w:r>
                    <w:t xml:space="preserve">LAU_GulfOfMexico (92 %)</w:t>
                  </w:r>
                </w:p>
              </w:tc>
              <w:tc>
                <w:tcPr/>
                <w:p>
                  <w:pPr>
                    <w:pStyle w:val="Compact"/>
                    <w:jc w:val="left"/>
                    <w:jc w:val="center"/>
                  </w:pPr>
                  <w:r>
                    <w:t xml:space="preserve">LAU_GulfOfMexico</w:t>
                  </w:r>
                </w:p>
              </w:tc>
              <w:tc>
                <w:tcPr/>
                <w:p>
                  <w:pPr>
                    <w:pStyle w:val="Compact"/>
                    <w:jc w:val="left"/>
                    <w:jc w:val="center"/>
                  </w:pPr>
                  <w:r>
                    <w:t xml:space="preserve">LAU_GulfOfMexico</w:t>
                  </w:r>
                </w:p>
              </w:tc>
            </w:tr>
          </w:tbl>
          <w:bookmarkEnd w:id="1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 w:name="tbl-pathways"/>
          <w:p>
            <w:pPr>
              <w:jc w:val="center"/>
            </w:pPr>
            <w:pPr>
              <w:jc w:val="left"/>
              <w:spacing w:before="200"/>
              <w:pStyle w:val="ImageCaption"/>
            </w:pPr>
            <w:r>
              <w:t xml:space="preserve">Table 2: Most important source region per AMOC pathway. Codes: Med EIS_MedSea, Bri EIS_BayOfBiscay, Fen EIS_NorwegianSea, EurArc EIS_Arctic, AmeArc LAU_Arctic, GIS GIS_GreenlandSea, NLau LAU_LabradorSea, SLau LAU_StLawrence, GoM LAU_GulfOfMexico.</w:t>
            </w:r>
          </w:p>
          <w:tbl>
            <w:tblPr>
              <w:tblStyle w:val="Table"/>
              <w:tblW w:type="pct" w:w="5000"/>
              <w:tblLayout w:type="fixed"/>
              <w:tblLook w:firstRow="1" w:lastRow="0" w:firstColumn="0" w:lastColumn="0" w:noHBand="0" w:noVBand="0" w:val="0020"/>
            </w:tblPr>
            <w:tblGrid>
              <w:gridCol w:w="1600"/>
              <w:gridCol w:w="1040"/>
              <w:gridCol w:w="1120"/>
              <w:gridCol w:w="1120"/>
              <w:gridCol w:w="960"/>
              <w:gridCol w:w="1040"/>
              <w:gridCol w:w="1040"/>
            </w:tblGrid>
            <w:tr>
              <w:trPr>
                <w:tblHeader w:val="on"/>
              </w:trPr>
              <w:tc>
                <w:tcPr/>
                <w:p>
                  <w:pPr>
                    <w:pStyle w:val="Compact"/>
                    <w:jc w:val="left"/>
                    <w:jc w:val="center"/>
                  </w:pPr>
                  <w:r>
                    <w:t xml:space="preserve">Site</w:t>
                  </w:r>
                </w:p>
              </w:tc>
              <w:tc>
                <w:tcPr/>
                <w:p>
                  <w:pPr>
                    <w:pStyle w:val="Compact"/>
                    <w:jc w:val="left"/>
                    <w:jc w:val="center"/>
                  </w:pPr>
                  <w:r>
                    <w:t xml:space="preserve">GLAC-1D cold</w:t>
                  </w:r>
                </w:p>
              </w:tc>
              <w:tc>
                <w:tcPr/>
                <w:p>
                  <w:pPr>
                    <w:pStyle w:val="Compact"/>
                    <w:jc w:val="left"/>
                    <w:jc w:val="center"/>
                  </w:pPr>
                  <w:r>
                    <w:t xml:space="preserve">GLAC-1D zonal</w:t>
                  </w:r>
                </w:p>
              </w:tc>
              <w:tc>
                <w:tcPr/>
                <w:p>
                  <w:pPr>
                    <w:pStyle w:val="Compact"/>
                    <w:jc w:val="left"/>
                    <w:jc w:val="center"/>
                  </w:pPr>
                  <w:r>
                    <w:t xml:space="preserve">GLAC-1D mixed</w:t>
                  </w:r>
                </w:p>
              </w:tc>
              <w:tc>
                <w:tcPr/>
                <w:p>
                  <w:pPr>
                    <w:pStyle w:val="Compact"/>
                    <w:jc w:val="left"/>
                    <w:jc w:val="center"/>
                  </w:pPr>
                  <w:r>
                    <w:t xml:space="preserve">ICE-6G cold</w:t>
                  </w:r>
                </w:p>
              </w:tc>
              <w:tc>
                <w:tcPr/>
                <w:p>
                  <w:pPr>
                    <w:pStyle w:val="Compact"/>
                    <w:jc w:val="left"/>
                    <w:jc w:val="center"/>
                  </w:pPr>
                  <w:r>
                    <w:t xml:space="preserve">ICE-6G zonal</w:t>
                  </w:r>
                </w:p>
              </w:tc>
              <w:tc>
                <w:tcPr/>
                <w:p>
                  <w:pPr>
                    <w:pStyle w:val="Compact"/>
                    <w:jc w:val="left"/>
                    <w:jc w:val="center"/>
                  </w:pPr>
                  <w:r>
                    <w:t xml:space="preserve">ICE-6G mixed</w:t>
                  </w:r>
                </w:p>
              </w:tc>
            </w:tr>
            <w:tr>
              <w:tc>
                <w:tcPr/>
                <w:p>
                  <w:pPr>
                    <w:pStyle w:val="Compact"/>
                    <w:jc w:val="left"/>
                    <w:jc w:val="center"/>
                  </w:pPr>
                  <w:r>
                    <w:t xml:space="preserve">La Vallina (NISA)</w:t>
                  </w:r>
                </w:p>
              </w:tc>
              <w:tc>
                <w:tcPr/>
                <w:p>
                  <w:pPr>
                    <w:pStyle w:val="Compact"/>
                    <w:jc w:val="left"/>
                    <w:jc w:val="center"/>
                  </w:pPr>
                  <w:r>
                    <w:t xml:space="preserve">Bri</w:t>
                  </w:r>
                </w:p>
              </w:tc>
              <w:tc>
                <w:tcPr/>
                <w:p>
                  <w:pPr>
                    <w:pStyle w:val="Compact"/>
                    <w:jc w:val="left"/>
                    <w:jc w:val="center"/>
                  </w:pPr>
                  <w:r>
                    <w:t xml:space="preserve">NLau</w:t>
                  </w:r>
                </w:p>
              </w:tc>
              <w:tc>
                <w:tcPr/>
                <w:p>
                  <w:pPr>
                    <w:pStyle w:val="Compact"/>
                    <w:jc w:val="left"/>
                    <w:jc w:val="center"/>
                  </w:pPr>
                  <w:r>
                    <w:t xml:space="preserve">NLau</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r>
            <w:tr>
              <w:tc>
                <w:tcPr/>
                <w:p>
                  <w:pPr>
                    <w:pStyle w:val="Compact"/>
                    <w:jc w:val="left"/>
                    <w:jc w:val="center"/>
                  </w:pPr>
                  <w:r>
                    <w:t xml:space="preserve">Cave Without a Name</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r>
            <w:tr>
              <w:tc>
                <w:tcPr/>
                <w:p>
                  <w:pPr>
                    <w:pStyle w:val="Compact"/>
                    <w:jc w:val="left"/>
                    <w:jc w:val="center"/>
                  </w:pPr>
                  <w:r>
                    <w:t xml:space="preserve">NGRIP</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AmeArc</w:t>
                  </w:r>
                </w:p>
              </w:tc>
            </w:tr>
            <w:tr>
              <w:tc>
                <w:tcPr/>
                <w:p>
                  <w:pPr>
                    <w:pStyle w:val="Compact"/>
                    <w:jc w:val="left"/>
                    <w:jc w:val="center"/>
                  </w:pPr>
                  <w:r>
                    <w:t xml:space="preserve">MD95-2010</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GoM</w:t>
                  </w:r>
                </w:p>
              </w:tc>
              <w:tc>
                <w:tcPr/>
                <w:p>
                  <w:pPr>
                    <w:pStyle w:val="Compact"/>
                    <w:jc w:val="left"/>
                    <w:jc w:val="center"/>
                  </w:pPr>
                  <w:r>
                    <w:t xml:space="preserve">Fen</w:t>
                  </w:r>
                </w:p>
              </w:tc>
            </w:tr>
            <w:tr>
              <w:tc>
                <w:tcPr/>
                <w:p>
                  <w:pPr>
                    <w:pStyle w:val="Compact"/>
                    <w:jc w:val="left"/>
                    <w:jc w:val="center"/>
                  </w:pPr>
                  <w:r>
                    <w:t xml:space="preserve">PS2644-5</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AmeArc</w:t>
                  </w:r>
                </w:p>
              </w:tc>
            </w:tr>
            <w:tr>
              <w:tc>
                <w:tcPr/>
                <w:p>
                  <w:pPr>
                    <w:pStyle w:val="Compact"/>
                    <w:jc w:val="left"/>
                    <w:jc w:val="center"/>
                  </w:pPr>
                  <w:r>
                    <w:t xml:space="preserve">MD03-2664</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Fen</w:t>
                  </w:r>
                </w:p>
              </w:tc>
              <w:tc>
                <w:tcPr/>
                <w:p>
                  <w:pPr>
                    <w:pStyle w:val="Compact"/>
                    <w:jc w:val="left"/>
                    <w:jc w:val="center"/>
                  </w:pPr>
                  <w:r>
                    <w:t xml:space="preserve">Fen</w:t>
                  </w:r>
                </w:p>
              </w:tc>
              <w:tc>
                <w:tcPr/>
                <w:p>
                  <w:pPr>
                    <w:pStyle w:val="Compact"/>
                    <w:jc w:val="left"/>
                    <w:jc w:val="center"/>
                  </w:pPr>
                  <w:r>
                    <w:t xml:space="preserve">AmeArc</w:t>
                  </w:r>
                </w:p>
              </w:tc>
              <w:tc>
                <w:tcPr/>
                <w:p>
                  <w:pPr>
                    <w:pStyle w:val="Compact"/>
                    <w:jc w:val="left"/>
                    <w:jc w:val="center"/>
                  </w:pPr>
                  <w:r>
                    <w:t xml:space="preserve">Fen</w:t>
                  </w:r>
                </w:p>
              </w:tc>
            </w:tr>
            <w:tr>
              <w:tc>
                <w:tcPr/>
                <w:p>
                  <w:pPr>
                    <w:pStyle w:val="Compact"/>
                    <w:jc w:val="left"/>
                    <w:jc w:val="center"/>
                  </w:pPr>
                  <w:r>
                    <w:t xml:space="preserve">ODP980</w:t>
                  </w:r>
                </w:p>
              </w:tc>
              <w:tc>
                <w:tcPr/>
                <w:p>
                  <w:pPr>
                    <w:pStyle w:val="Compact"/>
                    <w:jc w:val="left"/>
                    <w:jc w:val="center"/>
                  </w:pPr>
                  <w:r>
                    <w:t xml:space="preserve">NLau</w:t>
                  </w:r>
                </w:p>
              </w:tc>
              <w:tc>
                <w:tcPr/>
                <w:p>
                  <w:pPr>
                    <w:pStyle w:val="Compact"/>
                    <w:jc w:val="left"/>
                    <w:jc w:val="center"/>
                  </w:pPr>
                  <w:r>
                    <w:t xml:space="preserve">NLau</w:t>
                  </w:r>
                </w:p>
              </w:tc>
              <w:tc>
                <w:tcPr/>
                <w:p>
                  <w:pPr>
                    <w:pStyle w:val="Compact"/>
                    <w:jc w:val="left"/>
                    <w:jc w:val="center"/>
                  </w:pPr>
                  <w:r>
                    <w:t xml:space="preserve">NLau</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r>
            <w:tr>
              <w:tc>
                <w:tcPr/>
                <w:p>
                  <w:pPr>
                    <w:pStyle w:val="Compact"/>
                    <w:jc w:val="left"/>
                    <w:jc w:val="center"/>
                  </w:pPr>
                  <w:r>
                    <w:t xml:space="preserve">MD95-2042</w:t>
                  </w:r>
                </w:p>
              </w:tc>
              <w:tc>
                <w:tcPr/>
                <w:p>
                  <w:pPr>
                    <w:pStyle w:val="Compact"/>
                    <w:jc w:val="left"/>
                    <w:jc w:val="center"/>
                  </w:pPr>
                  <w:r>
                    <w:t xml:space="preserve">Bri</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r>
            <w:tr>
              <w:tc>
                <w:tcPr/>
                <w:p>
                  <w:pPr>
                    <w:pStyle w:val="Compact"/>
                    <w:jc w:val="left"/>
                    <w:jc w:val="center"/>
                  </w:pPr>
                  <w:r>
                    <w:t xml:space="preserve">MD02-2552</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c>
                <w:tcPr/>
                <w:p>
                  <w:pPr>
                    <w:pStyle w:val="Compact"/>
                    <w:jc w:val="left"/>
                    <w:jc w:val="center"/>
                  </w:pPr>
                  <w:r>
                    <w:t xml:space="preserve">GoM</w:t>
                  </w:r>
                </w:p>
              </w:tc>
            </w:tr>
          </w:tbl>
          <w:bookmarkEnd w:id="17"/>
          <w:p/>
        </w:tc>
      </w:tr>
    </w:tbl>
    <w:bookmarkStart w:id="54" w:name="region-profiles-per-site"/>
    <w:p>
      <w:pPr>
        <w:pStyle w:val="Heading2"/>
      </w:pPr>
      <w:r>
        <w:t xml:space="preserve">Region profiles per site</w:t>
      </w:r>
    </w:p>
    <w:p>
      <w:pPr>
        <w:pStyle w:val="FirstParagraph"/>
      </w:pPr>
      <w:r>
        <w:t xml:space="preserve">The following figures show the five numbers for every source region at one</w:t>
      </w:r>
      <w:r>
        <w:t xml:space="preserve"> </w:t>
      </w:r>
      <w:r>
        <w:t xml:space="preserve">site, for GLAC-1D and ICE-6G in the mixed pathway. A large polygon means that</w:t>
      </w:r>
      <w:r>
        <w:t xml:space="preserve"> </w:t>
      </w:r>
      <w:r>
        <w:t xml:space="preserve">the region matters at that site. Where the blue and orange polygons differ,</w:t>
      </w:r>
      <w:r>
        <w:t xml:space="preserve"> </w:t>
      </w:r>
      <w:r>
        <w:t xml:space="preserve">the two reconstructions disagree about that region.</w:t>
      </w:r>
    </w:p>
    <w:tbl>
      <w:tblPr>
        <w:tblStyle w:val="Table"/>
        <w:tblW w:type="pct" w:w="5000"/>
        <w:tblLayout w:type="fixed"/>
        <w:tblLook w:firstRow="0" w:lastRow="0" w:firstColumn="0" w:lastColumn="0" w:noHBand="0" w:noVBand="0" w:val="0000"/>
      </w:tblPr>
      <w:tblGrid>
        <w:gridCol w:w="7920"/>
      </w:tblGrid>
      <w:tr>
        <w:tc>
          <w:tcPr/>
          <w:bookmarkStart w:id="21" w:name="fig-spider-nisa"/>
          <w:p>
            <w:pPr>
              <w:pStyle w:val="Compact"/>
              <w:jc w:val="center"/>
            </w:pPr>
            <w:r>
              <w:drawing>
                <wp:inline>
                  <wp:extent cx="5334000" cy="5334000"/>
                  <wp:effectExtent b="0" l="0" r="0" t="0"/>
                  <wp:docPr descr="" title="" id="19" name="Picture"/>
                  <a:graphic>
                    <a:graphicData uri="http://schemas.openxmlformats.org/drawingml/2006/picture">
                      <pic:pic>
                        <pic:nvPicPr>
                          <pic:cNvPr descr="site_anomalies_v2_files/figure-docx/fig-spider-nisa-1.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 Vallina (NISA), speleothem. Five numbers per source region (Share, Dominant, SD, Var. share, SD Δ), mixed pathway, 21.5–10 ka. Each spoke is scaled to the site’s largest value of that number. Blue: GLAC-1D; orange: ICE-6G.</w:t>
            </w:r>
          </w:p>
          <w:bookmarkEnd w:id="21"/>
        </w:tc>
      </w:tr>
    </w:tbl>
    <w:tbl>
      <w:tblPr>
        <w:tblStyle w:val="Table"/>
        <w:tblW w:type="pct" w:w="5000"/>
        <w:tblLayout w:type="fixed"/>
        <w:tblLook w:firstRow="0" w:lastRow="0" w:firstColumn="0" w:lastColumn="0" w:noHBand="0" w:noVBand="0" w:val="0000"/>
      </w:tblPr>
      <w:tblGrid>
        <w:gridCol w:w="7920"/>
      </w:tblGrid>
      <w:tr>
        <w:tc>
          <w:tcPr/>
          <w:bookmarkStart w:id="25" w:name="fig-spider-cwn"/>
          <w:p>
            <w:pPr>
              <w:pStyle w:val="Compact"/>
              <w:jc w:val="center"/>
            </w:pPr>
            <w:r>
              <w:drawing>
                <wp:inline>
                  <wp:extent cx="5334000" cy="5334000"/>
                  <wp:effectExtent b="0" l="0" r="0" t="0"/>
                  <wp:docPr descr="" title="" id="23" name="Picture"/>
                  <a:graphic>
                    <a:graphicData uri="http://schemas.openxmlformats.org/drawingml/2006/picture">
                      <pic:pic>
                        <pic:nvPicPr>
                          <pic:cNvPr descr="site_anomalies_v2_files/figure-docx/fig-spider-cwn-1.png" id="24"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Cave Without a Name, speleothem. As for NISA.</w:t>
            </w:r>
          </w:p>
          <w:bookmarkEnd w:id="25"/>
        </w:tc>
      </w:tr>
    </w:tbl>
    <w:tbl>
      <w:tblPr>
        <w:tblStyle w:val="Table"/>
        <w:tblW w:type="pct" w:w="5000"/>
        <w:tblLayout w:type="fixed"/>
        <w:tblLook w:firstRow="0" w:lastRow="0" w:firstColumn="0" w:lastColumn="0" w:noHBand="0" w:noVBand="0" w:val="0000"/>
      </w:tblPr>
      <w:tblGrid>
        <w:gridCol w:w="7920"/>
      </w:tblGrid>
      <w:tr>
        <w:tc>
          <w:tcPr/>
          <w:bookmarkStart w:id="29" w:name="fig-spider-ngrip"/>
          <w:p>
            <w:pPr>
              <w:pStyle w:val="Compact"/>
              <w:jc w:val="center"/>
            </w:pPr>
            <w:r>
              <w:drawing>
                <wp:inline>
                  <wp:extent cx="5334000" cy="5334000"/>
                  <wp:effectExtent b="0" l="0" r="0" t="0"/>
                  <wp:docPr descr="" title="" id="27" name="Picture"/>
                  <a:graphic>
                    <a:graphicData uri="http://schemas.openxmlformats.org/drawingml/2006/picture">
                      <pic:pic>
                        <pic:nvPicPr>
                          <pic:cNvPr descr="site_anomalies_v2_files/figure-docx/fig-spider-ngrip-1.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NGRIP, ice core. As for NISA.</w:t>
            </w:r>
          </w:p>
          <w:bookmarkEnd w:id="29"/>
        </w:tc>
      </w:tr>
    </w:tbl>
    <w:tbl>
      <w:tblPr>
        <w:tblStyle w:val="Table"/>
        <w:tblW w:type="pct" w:w="5000"/>
        <w:tblLayout w:type="fixed"/>
        <w:tblLook w:firstRow="0" w:lastRow="0" w:firstColumn="0" w:lastColumn="0" w:noHBand="0" w:noVBand="0" w:val="0000"/>
      </w:tblPr>
      <w:tblGrid>
        <w:gridCol w:w="7920"/>
      </w:tblGrid>
      <w:tr>
        <w:tc>
          <w:tcPr/>
          <w:bookmarkStart w:id="33" w:name="fig-spider-md952010"/>
          <w:p>
            <w:pPr>
              <w:pStyle w:val="Compact"/>
              <w:jc w:val="center"/>
            </w:pPr>
            <w:r>
              <w:drawing>
                <wp:inline>
                  <wp:extent cx="5334000" cy="5334000"/>
                  <wp:effectExtent b="0" l="0" r="0" t="0"/>
                  <wp:docPr descr="" title="" id="31" name="Picture"/>
                  <a:graphic>
                    <a:graphicData uri="http://schemas.openxmlformats.org/drawingml/2006/picture">
                      <pic:pic>
                        <pic:nvPicPr>
                          <pic:cNvPr descr="site_anomalies_v2_files/figure-docx/fig-spider-md952010-1.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MD95-2010, Norwegian Sea core. As for NISA.</w:t>
            </w:r>
          </w:p>
          <w:bookmarkEnd w:id="33"/>
        </w:tc>
      </w:tr>
    </w:tbl>
    <w:tbl>
      <w:tblPr>
        <w:tblStyle w:val="Table"/>
        <w:tblW w:type="pct" w:w="5000"/>
        <w:tblLayout w:type="fixed"/>
        <w:tblLook w:firstRow="0" w:lastRow="0" w:firstColumn="0" w:lastColumn="0" w:noHBand="0" w:noVBand="0" w:val="0000"/>
      </w:tblPr>
      <w:tblGrid>
        <w:gridCol w:w="7920"/>
      </w:tblGrid>
      <w:tr>
        <w:tc>
          <w:tcPr/>
          <w:bookmarkStart w:id="37" w:name="fig-spider-ps2644"/>
          <w:p>
            <w:pPr>
              <w:pStyle w:val="Compact"/>
              <w:jc w:val="center"/>
            </w:pPr>
            <w:r>
              <w:drawing>
                <wp:inline>
                  <wp:extent cx="5334000" cy="5334000"/>
                  <wp:effectExtent b="0" l="0" r="0" t="0"/>
                  <wp:docPr descr="" title="" id="35" name="Picture"/>
                  <a:graphic>
                    <a:graphicData uri="http://schemas.openxmlformats.org/drawingml/2006/picture">
                      <pic:pic>
                        <pic:nvPicPr>
                          <pic:cNvPr descr="site_anomalies_v2_files/figure-docx/fig-spider-ps2644-1.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PS2644-5, Denmark Strait core. As for NISA.</w:t>
            </w:r>
          </w:p>
          <w:bookmarkEnd w:id="37"/>
        </w:tc>
      </w:tr>
    </w:tbl>
    <w:tbl>
      <w:tblPr>
        <w:tblStyle w:val="Table"/>
        <w:tblW w:type="pct" w:w="5000"/>
        <w:tblLayout w:type="fixed"/>
        <w:tblLook w:firstRow="0" w:lastRow="0" w:firstColumn="0" w:lastColumn="0" w:noHBand="0" w:noVBand="0" w:val="0000"/>
      </w:tblPr>
      <w:tblGrid>
        <w:gridCol w:w="7920"/>
      </w:tblGrid>
      <w:tr>
        <w:tc>
          <w:tcPr/>
          <w:bookmarkStart w:id="41" w:name="fig-spider-md032664"/>
          <w:p>
            <w:pPr>
              <w:pStyle w:val="Compact"/>
              <w:jc w:val="center"/>
            </w:pPr>
            <w:r>
              <w:drawing>
                <wp:inline>
                  <wp:extent cx="5334000" cy="5334000"/>
                  <wp:effectExtent b="0" l="0" r="0" t="0"/>
                  <wp:docPr descr="" title="" id="39" name="Picture"/>
                  <a:graphic>
                    <a:graphicData uri="http://schemas.openxmlformats.org/drawingml/2006/picture">
                      <pic:pic>
                        <pic:nvPicPr>
                          <pic:cNvPr descr="site_anomalies_v2_files/figure-docx/fig-spider-md032664-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MD03-2664, Labrador Sea core. As for NISA.</w:t>
            </w:r>
          </w:p>
          <w:bookmarkEnd w:id="41"/>
        </w:tc>
      </w:tr>
    </w:tbl>
    <w:tbl>
      <w:tblPr>
        <w:tblStyle w:val="Table"/>
        <w:tblW w:type="pct" w:w="5000"/>
        <w:tblLayout w:type="fixed"/>
        <w:tblLook w:firstRow="0" w:lastRow="0" w:firstColumn="0" w:lastColumn="0" w:noHBand="0" w:noVBand="0" w:val="0000"/>
      </w:tblPr>
      <w:tblGrid>
        <w:gridCol w:w="7920"/>
      </w:tblGrid>
      <w:tr>
        <w:tc>
          <w:tcPr/>
          <w:bookmarkStart w:id="45" w:name="fig-spider-odp980"/>
          <w:p>
            <w:pPr>
              <w:pStyle w:val="Compact"/>
              <w:jc w:val="center"/>
            </w:pPr>
            <w:r>
              <w:drawing>
                <wp:inline>
                  <wp:extent cx="5334000" cy="5334000"/>
                  <wp:effectExtent b="0" l="0" r="0" t="0"/>
                  <wp:docPr descr="" title="" id="43" name="Picture"/>
                  <a:graphic>
                    <a:graphicData uri="http://schemas.openxmlformats.org/drawingml/2006/picture">
                      <pic:pic>
                        <pic:nvPicPr>
                          <pic:cNvPr descr="site_anomalies_v2_files/figure-docx/fig-spider-odp980-1.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ODP980, Feni Drift core. As for NISA.</w:t>
            </w:r>
          </w:p>
          <w:bookmarkEnd w:id="45"/>
        </w:tc>
      </w:tr>
    </w:tbl>
    <w:tbl>
      <w:tblPr>
        <w:tblStyle w:val="Table"/>
        <w:tblW w:type="pct" w:w="5000"/>
        <w:tblLayout w:type="fixed"/>
        <w:tblLook w:firstRow="0" w:lastRow="0" w:firstColumn="0" w:lastColumn="0" w:noHBand="0" w:noVBand="0" w:val="0000"/>
      </w:tblPr>
      <w:tblGrid>
        <w:gridCol w:w="7920"/>
      </w:tblGrid>
      <w:tr>
        <w:tc>
          <w:tcPr/>
          <w:bookmarkStart w:id="49" w:name="fig-spider-md952042"/>
          <w:p>
            <w:pPr>
              <w:pStyle w:val="Compact"/>
              <w:jc w:val="center"/>
            </w:pPr>
            <w:r>
              <w:drawing>
                <wp:inline>
                  <wp:extent cx="5334000" cy="5334000"/>
                  <wp:effectExtent b="0" l="0" r="0" t="0"/>
                  <wp:docPr descr="" title="" id="47" name="Picture"/>
                  <a:graphic>
                    <a:graphicData uri="http://schemas.openxmlformats.org/drawingml/2006/picture">
                      <pic:pic>
                        <pic:nvPicPr>
                          <pic:cNvPr descr="site_anomalies_v2_files/figure-docx/fig-spider-md952042-1.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MD95-2042, Iberian margin core. As for NISA.</w:t>
            </w:r>
          </w:p>
          <w:bookmarkEnd w:id="49"/>
        </w:tc>
      </w:tr>
    </w:tbl>
    <w:tbl>
      <w:tblPr>
        <w:tblStyle w:val="Table"/>
        <w:tblW w:type="pct" w:w="5000"/>
        <w:tblLayout w:type="fixed"/>
        <w:tblLook w:firstRow="0" w:lastRow="0" w:firstColumn="0" w:lastColumn="0" w:noHBand="0" w:noVBand="0" w:val="0000"/>
      </w:tblPr>
      <w:tblGrid>
        <w:gridCol w:w="7920"/>
      </w:tblGrid>
      <w:tr>
        <w:tc>
          <w:tcPr/>
          <w:bookmarkStart w:id="53" w:name="fig-spider-md022552"/>
          <w:p>
            <w:pPr>
              <w:pStyle w:val="Compact"/>
              <w:jc w:val="center"/>
            </w:pPr>
            <w:r>
              <w:drawing>
                <wp:inline>
                  <wp:extent cx="5334000" cy="5334000"/>
                  <wp:effectExtent b="0" l="0" r="0" t="0"/>
                  <wp:docPr descr="" title="" id="51" name="Picture"/>
                  <a:graphic>
                    <a:graphicData uri="http://schemas.openxmlformats.org/drawingml/2006/picture">
                      <pic:pic>
                        <pic:nvPicPr>
                          <pic:cNvPr descr="site_anomalies_v2_files/figure-docx/fig-spider-md022552-1.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MD02-2552, Gulf of Mexico core. As for NISA.</w:t>
            </w:r>
          </w:p>
          <w:bookmarkEnd w:id="53"/>
        </w:tc>
      </w:tr>
    </w:tbl>
    <w:bookmarkEnd w:id="54"/>
    <w:bookmarkEnd w:id="55"/>
    <w:bookmarkStart w:id="56" w:name="caveats"/>
    <w:p>
      <w:pPr>
        <w:pStyle w:val="Heading1"/>
      </w:pPr>
      <w:r>
        <w:t xml:space="preserve">Caveats</w:t>
      </w:r>
    </w:p>
    <w:p>
      <w:pPr>
        <w:pStyle w:val="Compact"/>
        <w:numPr>
          <w:ilvl w:val="0"/>
          <w:numId w:val="1002"/>
        </w:numPr>
      </w:pPr>
      <w:r>
        <w:rPr>
          <w:b/>
          <w:bCs/>
        </w:rPr>
        <w:t xml:space="preserve">Linearity.</w:t>
      </w:r>
      <w:r>
        <w:t xml:space="preserve"> </w:t>
      </w:r>
      <w:r>
        <w:t xml:space="preserve">The source anomaly is linear in discharge. Endres et al.</w:t>
      </w:r>
      <w:r>
        <w:t xml:space="preserve"> </w:t>
      </w:r>
      <w:r>
        <w:t xml:space="preserve">(2026b) use a mixing fraction that saturates for large inputs, so the</w:t>
      </w:r>
      <w:r>
        <w:t xml:space="preserve"> </w:t>
      </w:r>
      <w:r>
        <w:t xml:space="preserve">largest pulses are overstated here.</w:t>
      </w:r>
    </w:p>
    <w:p>
      <w:pPr>
        <w:pStyle w:val="Compact"/>
        <w:numPr>
          <w:ilvl w:val="0"/>
          <w:numId w:val="1002"/>
        </w:numPr>
      </w:pPr>
      <w:r>
        <w:rPr>
          <w:b/>
          <w:bCs/>
        </w:rPr>
        <w:t xml:space="preserve">Fixed boundary conditions.</w:t>
      </w:r>
      <w:r>
        <w:t xml:space="preserve"> </w:t>
      </w:r>
      <w:r>
        <w:t xml:space="preserve">The cold and zonal pulse responses come from</w:t>
      </w:r>
      <w:r>
        <w:t xml:space="preserve"> </w:t>
      </w:r>
      <w:r>
        <w:t xml:space="preserve">17.8 ka simulations. The boundary conditions of the meridional parent run</w:t>
      </w:r>
      <w:r>
        <w:t xml:space="preserve"> </w:t>
      </w:r>
      <w:r>
        <w:t xml:space="preserve">(xpram) are not yet confirmed. The AMOC modes switch abruptly on a fixed</w:t>
      </w:r>
      <w:r>
        <w:t xml:space="preserve"> </w:t>
      </w:r>
      <w:r>
        <w:t xml:space="preserve">schedule.</w:t>
      </w:r>
    </w:p>
    <w:p>
      <w:pPr>
        <w:pStyle w:val="Compact"/>
        <w:numPr>
          <w:ilvl w:val="0"/>
          <w:numId w:val="1002"/>
        </w:numPr>
      </w:pPr>
      <w:r>
        <w:rPr>
          <w:b/>
          <w:bCs/>
        </w:rPr>
        <w:t xml:space="preserve">Meridional kernel.</w:t>
      </w:r>
      <w:r>
        <w:t xml:space="preserve"> </w:t>
      </w:r>
      <w:r>
        <w:t xml:space="preserve">The meridional pulse run branches from xpram, not</w:t>
      </w:r>
      <w:r>
        <w:t xml:space="preserve"> </w:t>
      </w:r>
      <w:r>
        <w:t xml:space="preserve">from the paper’s meridional run (xpral). It is used only in the mixed</w:t>
      </w:r>
      <w:r>
        <w:t xml:space="preserve"> </w:t>
      </w:r>
      <w:r>
        <w:t xml:space="preserve">pathway between 14.7 and 13.7 ka.</w:t>
      </w:r>
    </w:p>
    <w:p>
      <w:pPr>
        <w:pStyle w:val="Compact"/>
        <w:numPr>
          <w:ilvl w:val="0"/>
          <w:numId w:val="1002"/>
        </w:numPr>
      </w:pPr>
      <w:r>
        <w:rPr>
          <w:b/>
          <w:bCs/>
        </w:rPr>
        <w:t xml:space="preserve">Land sites.</w:t>
      </w:r>
      <w:r>
        <w:t xml:space="preserve"> </w:t>
      </w:r>
      <w:r>
        <w:t xml:space="preserve">NISA is weighted by the trajectory uptake masks. The 2025.05</w:t>
      </w:r>
      <w:r>
        <w:t xml:space="preserve"> </w:t>
      </w:r>
      <w:r>
        <w:t xml:space="preserve">convolution notebook used a different moisture-source field, which gave a</w:t>
      </w:r>
      <w:r>
        <w:t xml:space="preserve"> </w:t>
      </w:r>
      <w:r>
        <w:t xml:space="preserve">smaller NISA anomaly with the same timing.</w:t>
      </w:r>
    </w:p>
    <w:p>
      <w:pPr>
        <w:pStyle w:val="Compact"/>
        <w:numPr>
          <w:ilvl w:val="0"/>
          <w:numId w:val="1002"/>
        </w:numPr>
      </w:pPr>
      <w:r>
        <w:rPr>
          <w:b/>
          <w:bCs/>
        </w:rPr>
        <w:t xml:space="preserve">Forcing factor.</w:t>
      </w:r>
      <w:r>
        <w:t xml:space="preserve"> </w:t>
      </w:r>
      <w:r>
        <w:t xml:space="preserve">This report uses the forcing as it is (factor 1). The</w:t>
      </w:r>
      <w:r>
        <w:t xml:space="preserve"> </w:t>
      </w:r>
      <w:r>
        <w:t xml:space="preserve">2025.05 convolution notebook multiplied it by 10, and which factor is right</w:t>
      </w:r>
      <w:r>
        <w:t xml:space="preserve"> </w:t>
      </w:r>
      <w:r>
        <w:t xml:space="preserve">is under review. Shares, dominance, variance shares and the spider shapes</w:t>
      </w:r>
      <w:r>
        <w:t xml:space="preserve"> </w:t>
      </w:r>
      <w:r>
        <w:t xml:space="preserve">are the same under both; anomaly values and SDs would be ten times larger.</w:t>
      </w:r>
    </w:p>
    <w:p>
      <w:pPr>
        <w:pStyle w:val="Compact"/>
        <w:numPr>
          <w:ilvl w:val="0"/>
          <w:numId w:val="1002"/>
        </w:numPr>
      </w:pPr>
      <w:r>
        <w:rPr>
          <w:b/>
          <w:bCs/>
        </w:rPr>
        <w:t xml:space="preserve">Metrics.</w:t>
      </w:r>
      <w:r>
        <w:t xml:space="preserve"> </w:t>
      </w:r>
      <w:r>
        <w:t xml:space="preserve">The numbers describe the forward model, not the proxy</w:t>
      </w:r>
      <w:r>
        <w:t xml:space="preserve"> </w:t>
      </w:r>
      <w:r>
        <w:t xml:space="preserve">records. Spokes are scaled per site, so a large polygon at one site cannot</w:t>
      </w:r>
      <w:r>
        <w:t xml:space="preserve"> </w:t>
      </w:r>
      <w:r>
        <w:t xml:space="preserve">be compared in absolute terms with a large polygon at another.</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meltwater arrives: source-region contributions at nine proxy sites (forward model v2)</dc:title>
  <dc:creator>Laura Endres</dc:creator>
  <cp:keywords/>
  <dcterms:created xsi:type="dcterms:W3CDTF">2026-10-01T07:29:48Z</dcterms:created>
  <dcterms:modified xsi:type="dcterms:W3CDTF">2026-10-01T07:29:48Z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