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 range of stalagmite Glas (La Vallina cave, northern Iberia)</w:t>
      </w:r>
    </w:p>
    <w:p>
      <w:pPr>
        <w:pStyle w:val="Author"/>
      </w:pPr>
      <w:r>
        <w:t xml:space="preserve">Laura Endres</w:t>
      </w:r>
    </w:p>
    <w:p>
      <w:pPr>
        <w:pStyle w:val="Date"/>
      </w:pPr>
      <w:r>
        <w:t xml:space="preserve">2026-09-29</w:t>
      </w:r>
    </w:p>
    <w:bookmarkStart w:id="9" w:name="question"/>
    <w:p>
      <w:pPr>
        <w:pStyle w:val="Heading1"/>
      </w:pPr>
      <w:r>
        <w:t xml:space="preserve">Question</w:t>
      </w:r>
    </w:p>
    <w:p>
      <w:pPr>
        <w:pStyle w:val="FirstParagraph"/>
      </w:pPr>
      <w:r>
        <w:t xml:space="preserve">What age range do the data from the NISA stalagmite</w:t>
      </w:r>
      <w:r>
        <w:t xml:space="preserve"> </w:t>
      </w:r>
      <w:r>
        <w:rPr>
          <w:i/>
          <w:iCs/>
        </w:rPr>
        <w:t xml:space="preserve">Glas</w:t>
      </w:r>
      <w:r>
        <w:t xml:space="preserve"> </w:t>
      </w:r>
      <w:r>
        <w:t xml:space="preserve">cover?</w:t>
      </w:r>
    </w:p>
    <w:bookmarkEnd w:id="9"/>
    <w:bookmarkStart w:id="10" w:name="data-and-methods"/>
    <w:p>
      <w:pPr>
        <w:pStyle w:val="Heading1"/>
      </w:pPr>
      <w:r>
        <w:t xml:space="preserve">Data and methods</w:t>
      </w:r>
    </w:p>
    <w:p>
      <w:pPr>
        <w:pStyle w:val="FirstParagraph"/>
      </w:pPr>
      <w:r>
        <w:t xml:space="preserve">The analysis uses the SISAL-format database excerpt in</w:t>
      </w:r>
      <w:r>
        <w:t xml:space="preserve"> </w:t>
      </w:r>
      <w:r>
        <w:rPr>
          <w:rStyle w:val="VerbatimChar"/>
        </w:rPr>
        <w:t xml:space="preserve">data/</w:t>
      </w:r>
      <w:r>
        <w:t xml:space="preserve">. Stalagmite</w:t>
      </w:r>
      <w:r>
        <w:t xml:space="preserve"> </w:t>
      </w:r>
      <w:r>
        <w:rPr>
          <w:i/>
          <w:iCs/>
        </w:rPr>
        <w:t xml:space="preserve">Glas</w:t>
      </w:r>
      <w:r>
        <w:t xml:space="preserve"> </w:t>
      </w:r>
      <w:r>
        <w:t xml:space="preserve">is entity 903 (324-GLAS), from</w:t>
      </w:r>
      <w:r>
        <w:t xml:space="preserve"> </w:t>
      </w:r>
      <w:r>
        <w:t xml:space="preserve">La Vallina cave (43.41 °N,</w:t>
      </w:r>
      <w:r>
        <w:t xml:space="preserve"> </w:t>
      </w:r>
      <w:r>
        <w:t xml:space="preserve">4.8067 °W, 70 m a.s.l.) in</w:t>
      </w:r>
      <w:r>
        <w:t xml:space="preserve"> </w:t>
      </w:r>
      <w:r>
        <w:t xml:space="preserve">northern Iberia. The entity is linked to Endres, L., Pérez-Mejı́as, C., Ivanovic, R., Gregoire, L., Hughes, A. L. C., Cheng, H., &amp; Stoll, H. (2025). Interplay of north atlantic freshening and deep convection during the last deglaciation constrained by iberian speleothems. EGUsphere, 2025, 1–37.</w:t>
      </w:r>
    </w:p>
    <w:p>
      <w:pPr>
        <w:pStyle w:val="BodyText"/>
      </w:pPr>
      <w:r>
        <w:t xml:space="preserve">The age range comes from the original, author-published chronology</w:t>
      </w:r>
      <w:r>
        <w:t xml:space="preserve"> </w:t>
      </w:r>
      <w:r>
        <w:t xml:space="preserve">(</w:t>
      </w:r>
      <w:r>
        <w:rPr>
          <w:rStyle w:val="VerbatimChar"/>
        </w:rPr>
        <w:t xml:space="preserve">original_chronology.csv</w:t>
      </w:r>
      <w:r>
        <w:t xml:space="preserve">, age model type:</w:t>
      </w:r>
      <w:r>
        <w:t xml:space="preserve"> </w:t>
      </w:r>
      <w:r>
        <w:rPr>
          <w:i/>
          <w:iCs/>
        </w:rPr>
        <w:t xml:space="preserve">Bayesian Bchron</w:t>
      </w:r>
      <w:r>
        <w:t xml:space="preserve">),</w:t>
      </w:r>
      <w:r>
        <w:t xml:space="preserve"> </w:t>
      </w:r>
      <w:r>
        <w:t xml:space="preserve">joined to the entity’s samples in</w:t>
      </w:r>
      <w:r>
        <w:t xml:space="preserve"> </w:t>
      </w:r>
      <w:r>
        <w:rPr>
          <w:rStyle w:val="VerbatimChar"/>
        </w:rPr>
        <w:t xml:space="preserve">sample.csv</w:t>
      </w:r>
      <w:r>
        <w:t xml:space="preserve">. No Glas samples have SISAL-generated chronologies in</w:t>
      </w:r>
      <w:r>
        <w:t xml:space="preserve"> </w:t>
      </w:r>
      <w:r>
        <w:rPr>
          <w:rStyle w:val="VerbatimChar"/>
        </w:rPr>
        <w:t xml:space="preserve">sisal_chronology.csv</w:t>
      </w:r>
      <w:r>
        <w:t xml:space="preserve"> </w:t>
      </w:r>
      <w:r>
        <w:t xml:space="preserve">(0 rows), so the original age model is the only sample-level chronology available. The</w:t>
      </w:r>
      <w:r>
        <w:t xml:space="preserve"> </w:t>
      </w:r>
      <w:r>
        <w:t xml:space="preserve">U–Th dates in</w:t>
      </w:r>
      <w:r>
        <w:t xml:space="preserve"> </w:t>
      </w:r>
      <w:r>
        <w:rPr>
          <w:rStyle w:val="VerbatimChar"/>
        </w:rPr>
        <w:t xml:space="preserve">dating.csv</w:t>
      </w:r>
      <w:r>
        <w:t xml:space="preserve"> </w:t>
      </w:r>
      <w:r>
        <w:t xml:space="preserve">(25 dates, all flagged</w:t>
      </w:r>
      <w:r>
        <w:t xml:space="preserve"> </w:t>
      </w:r>
      <w:r>
        <w:rPr>
          <w:rStyle w:val="VerbatimChar"/>
        </w:rPr>
        <w:t xml:space="preserve">date_used = yes</w:t>
      </w:r>
      <w:r>
        <w:t xml:space="preserve">) are used to check the age model. Ages are reported as years</w:t>
      </w:r>
      <w:r>
        <w:t xml:space="preserve"> </w:t>
      </w:r>
      <w:r>
        <w:t xml:space="preserve">before present (BP, present = 1950 CE), the SISAL convention; the database</w:t>
      </w:r>
      <w:r>
        <w:t xml:space="preserve"> </w:t>
      </w:r>
      <w:r>
        <w:t xml:space="preserve">excerpt’s schema does not state units explicitly.</w:t>
      </w:r>
    </w:p>
    <w:bookmarkEnd w:id="10"/>
    <w:bookmarkStart w:id="16" w:name="results"/>
    <w:p>
      <w:pPr>
        <w:pStyle w:val="Heading1"/>
      </w:pPr>
      <w:r>
        <w:t xml:space="preserve">Results</w:t>
      </w:r>
    </w:p>
    <w:p>
      <w:pPr>
        <w:pStyle w:val="FirstParagraph"/>
      </w:pPr>
      <w:r>
        <w:t xml:space="preserve">The Glas record contains 532 samples between</w:t>
      </w:r>
      <w:r>
        <w:t xml:space="preserve"> </w:t>
      </w:r>
      <w:r>
        <w:t xml:space="preserve">3.9 mm and 39.6 mm depth from the top.</w:t>
      </w:r>
      <w:r>
        <w:t xml:space="preserve"> </w:t>
      </w:r>
      <w:r>
        <w:t xml:space="preserve">Each sample has δ</w:t>
      </w:r>
      <w:r>
        <w:rPr>
          <w:vertAlign w:val="superscript"/>
        </w:rPr>
        <w:t xml:space="preserve">18</w:t>
      </w:r>
      <w:r>
        <w:t xml:space="preserve">O (n = 532), δ</w:t>
      </w:r>
      <w:r>
        <w:rPr>
          <w:vertAlign w:val="superscript"/>
        </w:rPr>
        <w:t xml:space="preserve">13</w:t>
      </w:r>
      <w:r>
        <w:t xml:space="preserve">C, Mg/Ca and Sr/Ca</w:t>
      </w:r>
      <w:r>
        <w:t xml:space="preserve"> </w:t>
      </w:r>
      <w:r>
        <w:t xml:space="preserve">measurements.</w:t>
      </w:r>
    </w:p>
    <w:p>
      <w:pPr>
        <w:pStyle w:val="BodyText"/>
      </w:pPr>
      <w:r>
        <w:rPr>
          <w:b/>
          <w:bCs/>
        </w:rPr>
        <w:t xml:space="preserve">The data cover 11,939 to 23,819 years BP</w:t>
      </w:r>
      <w:r>
        <w:rPr>
          <w:b/>
          <w:bCs/>
        </w:rPr>
        <w:t xml:space="preserve"> </w:t>
      </w:r>
      <w:r>
        <w:rPr>
          <w:b/>
          <w:bCs/>
        </w:rPr>
        <w:t xml:space="preserve">(about 11.9–23.8 ka), a span of</w:t>
      </w:r>
      <w:r>
        <w:rPr>
          <w:b/>
          <w:bCs/>
        </w:rPr>
        <w:t xml:space="preserve"> </w:t>
      </w:r>
      <w:r>
        <w:rPr>
          <w:b/>
          <w:bCs/>
        </w:rPr>
        <w:t xml:space="preserve">11,880 years.</w:t>
      </w:r>
      <w:r>
        <w:t xml:space="preserve"> </w:t>
      </w:r>
      <w:r>
        <w:t xml:space="preserve">This runs from the Last Glacial Maximum through the</w:t>
      </w:r>
      <w:r>
        <w:t xml:space="preserve"> </w:t>
      </w:r>
      <w:r>
        <w:t xml:space="preserve">last deglaciation to the Younger Dryas / early Holocene transition.</w:t>
      </w:r>
    </w:p>
    <w:tbl>
      <w:tblPr>
        <w:tblStyle w:val="Table"/>
        <w:tblW w:type="pct" w:w="5000"/>
        <w:tblLayout w:type="fixed"/>
        <w:tblLook w:firstRow="0" w:lastRow="0" w:firstColumn="0" w:lastColumn="0" w:noHBand="0" w:noVBand="0" w:val="0000"/>
      </w:tblPr>
      <w:tblGrid>
        <w:gridCol w:w="7920"/>
      </w:tblGrid>
      <w:tr>
        <w:tc>
          <w:tcPr/>
          <w:bookmarkStart w:id="11" w:name="tbl-range"/>
          <w:p>
            <w:pPr>
              <w:jc w:val="center"/>
            </w:pPr>
            <w:pPr>
              <w:jc w:val="left"/>
              <w:spacing w:before="200"/>
              <w:pStyle w:val="ImageCaption"/>
            </w:pPr>
            <w:r>
              <w:t xml:space="preserve">Table 1: Youngest and oldest samples of stalagmite Glas in the original (Bchron) chronology. Uncertainties are as given in the database (+ older / − younger).</w:t>
            </w:r>
          </w:p>
          <w:tbl>
            <w:tblPr>
              <w:tblStyle w:val="Table"/>
              <w:tblW w:type="pct" w:w="5000"/>
              <w:tblLayout w:type="fixed"/>
              <w:tblLook w:firstRow="1" w:lastRow="0" w:firstColumn="0" w:lastColumn="0" w:noHBand="0" w:noVBand="0" w:val="0020"/>
            </w:tblPr>
            <w:tblGrid>
              <w:gridCol w:w="1747"/>
              <w:gridCol w:w="1281"/>
              <w:gridCol w:w="1397"/>
              <w:gridCol w:w="1747"/>
              <w:gridCol w:w="1747"/>
            </w:tblGrid>
            <w:tr>
              <w:trPr>
                <w:tblHeader w:val="on"/>
              </w:trPr>
              <w:tc>
                <w:tcPr/>
                <w:p>
                  <w:pPr>
                    <w:pStyle w:val="Compact"/>
                    <w:jc w:val="left"/>
                    <w:jc w:val="center"/>
                  </w:pPr>
                  <w:r>
                    <w:t xml:space="preserve">Endpoint</w:t>
                  </w:r>
                </w:p>
              </w:tc>
              <w:tc>
                <w:tcPr/>
                <w:p>
                  <w:pPr>
                    <w:pStyle w:val="Compact"/>
                    <w:jc w:val="right"/>
                    <w:jc w:val="center"/>
                  </w:pPr>
                  <w:r>
                    <w:t xml:space="preserve">Depth (mm)</w:t>
                  </w:r>
                </w:p>
              </w:tc>
              <w:tc>
                <w:tcPr/>
                <w:p>
                  <w:pPr>
                    <w:pStyle w:val="Compact"/>
                    <w:jc w:val="left"/>
                    <w:jc w:val="center"/>
                  </w:pPr>
                  <w:r>
                    <w:t xml:space="preserve">Age (yr BP)</w:t>
                  </w:r>
                </w:p>
              </w:tc>
              <w:tc>
                <w:tcPr/>
                <w:p>
                  <w:pPr>
                    <w:pStyle w:val="Compact"/>
                    <w:jc w:val="right"/>
                    <w:jc w:val="center"/>
                  </w:pPr>
                  <w:r>
                    <w:t xml:space="preserve">+ uncert. (yr)</w:t>
                  </w:r>
                </w:p>
              </w:tc>
              <w:tc>
                <w:tcPr/>
                <w:p>
                  <w:pPr>
                    <w:pStyle w:val="Compact"/>
                    <w:jc w:val="right"/>
                    <w:jc w:val="center"/>
                  </w:pPr>
                  <w:r>
                    <w:t xml:space="preserve">− uncert. (yr)</w:t>
                  </w:r>
                </w:p>
              </w:tc>
            </w:tr>
            <w:tr>
              <w:tc>
                <w:tcPr/>
                <w:p>
                  <w:pPr>
                    <w:pStyle w:val="Compact"/>
                    <w:jc w:val="left"/>
                    <w:jc w:val="center"/>
                  </w:pPr>
                  <w:r>
                    <w:t xml:space="preserve">Youngest (top)</w:t>
                  </w:r>
                </w:p>
              </w:tc>
              <w:tc>
                <w:tcPr/>
                <w:p>
                  <w:pPr>
                    <w:pStyle w:val="Compact"/>
                    <w:jc w:val="right"/>
                    <w:jc w:val="center"/>
                  </w:pPr>
                  <w:r>
                    <w:t xml:space="preserve">3.9</w:t>
                  </w:r>
                </w:p>
              </w:tc>
              <w:tc>
                <w:tcPr/>
                <w:p>
                  <w:pPr>
                    <w:pStyle w:val="Compact"/>
                    <w:jc w:val="left"/>
                    <w:jc w:val="center"/>
                  </w:pPr>
                  <w:r>
                    <w:t xml:space="preserve">11,939</w:t>
                  </w:r>
                </w:p>
              </w:tc>
              <w:tc>
                <w:tcPr/>
                <w:p>
                  <w:pPr>
                    <w:pStyle w:val="Compact"/>
                    <w:jc w:val="right"/>
                    <w:jc w:val="center"/>
                  </w:pPr>
                  <w:r>
                    <w:t xml:space="preserve">590</w:t>
                  </w:r>
                </w:p>
              </w:tc>
              <w:tc>
                <w:tcPr/>
                <w:p>
                  <w:pPr>
                    <w:pStyle w:val="Compact"/>
                    <w:jc w:val="right"/>
                    <w:jc w:val="center"/>
                  </w:pPr>
                  <w:r>
                    <w:t xml:space="preserve">598</w:t>
                  </w:r>
                </w:p>
              </w:tc>
            </w:tr>
            <w:tr>
              <w:tc>
                <w:tcPr/>
                <w:p>
                  <w:pPr>
                    <w:pStyle w:val="Compact"/>
                    <w:jc w:val="left"/>
                    <w:jc w:val="center"/>
                  </w:pPr>
                  <w:r>
                    <w:t xml:space="preserve">Oldest (base)</w:t>
                  </w:r>
                </w:p>
              </w:tc>
              <w:tc>
                <w:tcPr/>
                <w:p>
                  <w:pPr>
                    <w:pStyle w:val="Compact"/>
                    <w:jc w:val="right"/>
                    <w:jc w:val="center"/>
                  </w:pPr>
                  <w:r>
                    <w:t xml:space="preserve">39.6</w:t>
                  </w:r>
                </w:p>
              </w:tc>
              <w:tc>
                <w:tcPr/>
                <w:p>
                  <w:pPr>
                    <w:pStyle w:val="Compact"/>
                    <w:jc w:val="left"/>
                    <w:jc w:val="center"/>
                  </w:pPr>
                  <w:r>
                    <w:t xml:space="preserve">23,819</w:t>
                  </w:r>
                </w:p>
              </w:tc>
              <w:tc>
                <w:tcPr/>
                <w:p>
                  <w:pPr>
                    <w:pStyle w:val="Compact"/>
                    <w:jc w:val="right"/>
                    <w:jc w:val="center"/>
                  </w:pPr>
                  <w:r>
                    <w:t xml:space="preserve">1223</w:t>
                  </w:r>
                </w:p>
              </w:tc>
              <w:tc>
                <w:tcPr/>
                <w:p>
                  <w:pPr>
                    <w:pStyle w:val="Compact"/>
                    <w:jc w:val="right"/>
                    <w:jc w:val="center"/>
                  </w:pPr>
                  <w:r>
                    <w:t xml:space="preserve">290</w:t>
                  </w:r>
                </w:p>
              </w:tc>
            </w:tr>
          </w:tbl>
          <w:bookmarkEnd w:id="11"/>
          <w:p/>
        </w:tc>
      </w:tr>
    </w:tbl>
    <w:p>
      <w:pPr>
        <w:pStyle w:val="BodyText"/>
      </w:pPr>
      <w:r>
        <w:t xml:space="preserve">The record has no hiatuses (0 entries in</w:t>
      </w:r>
      <w:r>
        <w:t xml:space="preserve"> </w:t>
      </w:r>
      <w:r>
        <w:rPr>
          <w:rStyle w:val="VerbatimChar"/>
        </w:rPr>
        <w:t xml:space="preserve">hiatus.csv</w:t>
      </w:r>
      <w:r>
        <w:t xml:space="preserve">). The median</w:t>
      </w:r>
      <w:r>
        <w:t xml:space="preserve"> </w:t>
      </w:r>
      <w:r>
        <w:t xml:space="preserve">sampling resolution is 15 years, and the largest step between</w:t>
      </w:r>
      <w:r>
        <w:t xml:space="preserve"> </w:t>
      </w:r>
      <w:r>
        <w:t xml:space="preserve">consecutive samples is 108 years. The U–Th dates span</w:t>
      </w:r>
      <w:r>
        <w:t xml:space="preserve"> </w:t>
      </w:r>
      <w:r>
        <w:t xml:space="preserve">10,956–23,524 years BP</w:t>
      </w:r>
      <w:r>
        <w:t xml:space="preserve"> </w:t>
      </w:r>
      <w:r>
        <w:t xml:space="preserve">(3.3–38.3 mm) and</w:t>
      </w:r>
      <w:r>
        <w:t xml:space="preserve"> </w:t>
      </w:r>
      <w:r>
        <w:t xml:space="preserve">bracket the sampled interval (</w:t>
      </w:r>
      <w:hyperlink w:anchor="fig-agedepth">
        <w:r>
          <w:rPr>
            <w:rStyle w:val="Hyperlink"/>
          </w:rPr>
          <w:t xml:space="preserve">Figure 1</w:t>
        </w:r>
      </w:hyperlink>
      <w:r>
        <w:t xml:space="preserve">). The youngest date lies at</w:t>
      </w:r>
      <w:r>
        <w:t xml:space="preserve"> </w:t>
      </w:r>
      <w:r>
        <w:t xml:space="preserve">3.3 mm, above the uppermost isotope sample, so the</w:t>
      </w:r>
      <w:r>
        <w:t xml:space="preserve"> </w:t>
      </w:r>
      <w:r>
        <w:t xml:space="preserve">stalagmite grew into the early Holocene. The measured data, however, stop at</w:t>
      </w:r>
      <w:r>
        <w:t xml:space="preserve"> </w:t>
      </w:r>
      <w:r>
        <w:t xml:space="preserve">about 11.9 ka.</w:t>
      </w:r>
    </w:p>
    <w:tbl>
      <w:tblPr>
        <w:tblStyle w:val="Table"/>
        <w:tblW w:type="pct" w:w="5000"/>
        <w:tblLayout w:type="fixed"/>
        <w:tblLook w:firstRow="0" w:lastRow="0" w:firstColumn="0" w:lastColumn="0" w:noHBand="0" w:noVBand="0" w:val="0000"/>
      </w:tblPr>
      <w:tblGrid>
        <w:gridCol w:w="7920"/>
      </w:tblGrid>
      <w:tr>
        <w:tc>
          <w:tcPr/>
          <w:bookmarkStart w:id="15" w:name="fig-agedepth"/>
          <w:p>
            <w:pPr>
              <w:pStyle w:val="Compact"/>
              <w:jc w:val="center"/>
            </w:pPr>
            <w:r>
              <w:drawing>
                <wp:inline>
                  <wp:extent cx="5334000" cy="3556000"/>
                  <wp:effectExtent b="0" l="0" r="0" t="0"/>
                  <wp:docPr descr="" title="" id="13" name="Picture"/>
                  <a:graphic>
                    <a:graphicData uri="http://schemas.openxmlformats.org/drawingml/2006/picture">
                      <pic:pic>
                        <pic:nvPicPr>
                          <pic:cNvPr descr="glas_age_range_files/figure-docx/fig-agedepth-1.png" id="14" name="Picture"/>
                          <pic:cNvPicPr>
                            <a:picLocks noChangeArrowheads="1" noChangeAspect="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Age–depth model of stalagmite Glas. The line and shading show the original Bchron chronology with its uncertainty envelope, and the points show U–Th dates with their uncertainties as given in the database. Dashed lines mark the age range covered by the sampled data.</w:t>
            </w:r>
          </w:p>
          <w:bookmarkEnd w:id="15"/>
        </w:tc>
      </w:tr>
    </w:tbl>
    <w:bookmarkEnd w:id="16"/>
    <w:bookmarkStart w:id="17" w:name="answer"/>
    <w:p>
      <w:pPr>
        <w:pStyle w:val="Heading1"/>
      </w:pPr>
      <w:r>
        <w:t xml:space="preserve">Answer</w:t>
      </w:r>
    </w:p>
    <w:p>
      <w:pPr>
        <w:pStyle w:val="FirstParagraph"/>
      </w:pPr>
      <w:r>
        <w:t xml:space="preserve">The published data from stalagmite</w:t>
      </w:r>
      <w:r>
        <w:t xml:space="preserve"> </w:t>
      </w:r>
      <w:r>
        <w:rPr>
          <w:i/>
          <w:iCs/>
        </w:rPr>
        <w:t xml:space="preserve">Glas</w:t>
      </w:r>
      <w:r>
        <w:t xml:space="preserve"> </w:t>
      </w:r>
      <w:r>
        <w:t xml:space="preserve">(La Vallina cave, entity</w:t>
      </w:r>
      <w:r>
        <w:t xml:space="preserve"> </w:t>
      </w:r>
      <w:r>
        <w:t xml:space="preserve">903) cover</w:t>
      </w:r>
      <w:r>
        <w:t xml:space="preserve"> </w:t>
      </w:r>
      <w:r>
        <w:rPr>
          <w:b/>
          <w:bCs/>
        </w:rPr>
        <w:t xml:space="preserve">11.9 to 23.8</w:t>
      </w:r>
      <w:r>
        <w:rPr>
          <w:b/>
          <w:bCs/>
        </w:rPr>
        <w:t xml:space="preserve"> </w:t>
      </w:r>
      <w:r>
        <w:rPr>
          <w:b/>
          <w:bCs/>
        </w:rPr>
        <w:t xml:space="preserve">ka BP</w:t>
      </w:r>
      <w:r>
        <w:t xml:space="preserve"> </w:t>
      </w:r>
      <w:r>
        <w:t xml:space="preserve">(11,939–23,819 years BP; about</w:t>
      </w:r>
      <w:r>
        <w:t xml:space="preserve"> </w:t>
      </w:r>
      <w:r>
        <w:t xml:space="preserve">11.9 kyr). This range is based on 532 continuously</w:t>
      </w:r>
      <w:r>
        <w:t xml:space="preserve"> </w:t>
      </w:r>
      <w:r>
        <w:t xml:space="preserve">sampled δ</w:t>
      </w:r>
      <w:r>
        <w:rPr>
          <w:vertAlign w:val="superscript"/>
        </w:rPr>
        <w:t xml:space="preserve">18</w:t>
      </w:r>
      <w:r>
        <w:t xml:space="preserve">O, δ</w:t>
      </w:r>
      <w:r>
        <w:rPr>
          <w:vertAlign w:val="superscript"/>
        </w:rPr>
        <w:t xml:space="preserve">13</w:t>
      </w:r>
      <w:r>
        <w:t xml:space="preserve">C and trace-element measurements on the original Bchron</w:t>
      </w:r>
      <w:r>
        <w:t xml:space="preserve"> </w:t>
      </w:r>
      <w:r>
        <w:t xml:space="preserve">age model. Allowing for the age-model uncertainties at the endpoints, the range</w:t>
      </w:r>
      <w:r>
        <w:t xml:space="preserve"> </w:t>
      </w:r>
      <w:r>
        <w:t xml:space="preserve">widens to about 11.3–25.0 ka.</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 range of stalagmite Glas (La Vallina cave, northern Iberia)</dc:title>
  <dc:creator>Laura Endres</dc:creator>
  <cp:keywords/>
  <dcterms:created xsi:type="dcterms:W3CDTF">2026-09-29T08:56:28Z</dcterms:created>
  <dcterms:modified xsi:type="dcterms:W3CDTF">2026-09-29T08:56:28Z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2026-09-29</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