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9.png" ContentType="image/png"/>
  <Override PartName="/word/media/rId32.png" ContentType="image/png"/>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What the Colombian drinking-water quality file measures, and how much of it is there</w:t>
      </w:r>
    </w:p>
    <w:p>
      <w:pPr>
        <w:pStyle w:val="Subtitle"/>
      </w:pPr>
      <w:r>
        <w:t xml:space="preserve">Structure and completeness of the</w:t>
      </w:r>
      <w:r>
        <w:t xml:space="preserve"> </w:t>
      </w:r>
      <w:r>
        <w:rPr>
          <w:i/>
          <w:iCs/>
        </w:rPr>
        <w:t xml:space="preserve">Calidad del Agua para Consumo Humano en Colombia</w:t>
      </w:r>
      <w:r>
        <w:t xml:space="preserve"> </w:t>
      </w:r>
      <w:r>
        <w:t xml:space="preserve">dataset</w:t>
      </w:r>
    </w:p>
    <w:p>
      <w:pPr>
        <w:pStyle w:val="Author"/>
      </w:pPr>
      <w:r>
        <w:t xml:space="preserve">Adriana Clavijo Daza</w:t>
      </w:r>
    </w:p>
    <w:p>
      <w:pPr>
        <w:pStyle w:val="Date"/>
      </w:pPr>
      <w:r>
        <w:t xml:space="preserve">2026-09-29</w:t>
      </w:r>
    </w:p>
    <w:p>
      <w:pPr>
        <w:pStyle w:val="AbstractTitle"/>
      </w:pPr>
      <w:r>
        <w:t xml:space="preserve">Abstract</w:t>
      </w:r>
    </w:p>
    <w:p>
      <w:pPr>
        <w:pStyle w:val="Abstract"/>
      </w:pPr>
      <w:r>
        <w:t xml:space="preserve">This note describes what the Colombian drinking-water quality file held in</w:t>
      </w:r>
      <w:r>
        <w:t xml:space="preserve"> </w:t>
      </w:r>
      <w:r>
        <w:t xml:space="preserve">this repository measures and how complete it is. The observational unit is</w:t>
      </w:r>
      <w:r>
        <w:t xml:space="preserve"> </w:t>
      </w:r>
      <w:r>
        <w:t xml:space="preserve">the municipality-year: each row carries the annual Water Quality Risk Index</w:t>
      </w:r>
      <w:r>
        <w:t xml:space="preserve"> </w:t>
      </w:r>
      <w:r>
        <w:t xml:space="preserve">(IRCA) of one municipality in one calendar year, with separate values for</w:t>
      </w:r>
      <w:r>
        <w:t xml:space="preserve"> </w:t>
      </w:r>
      <w:r>
        <w:t xml:space="preserve">the whole municipality, its urban area and its rural area, and</w:t>
      </w:r>
      <w:r>
        <w:t xml:space="preserve"> </w:t>
      </w:r>
      <w:r>
        <w:t xml:space="preserve">department-year aggregates are stacked in the same file. The overall IRCA</w:t>
      </w:r>
      <w:r>
        <w:t xml:space="preserve"> </w:t>
      </w:r>
      <w:r>
        <w:t xml:space="preserve">is never missing and every calendar year from 2007 to 2024 is present, but</w:t>
      </w:r>
      <w:r>
        <w:t xml:space="preserve"> </w:t>
      </w:r>
      <w:r>
        <w:t xml:space="preserve">the rural index is unavailable in about half of the municipal rows, about</w:t>
      </w:r>
      <w:r>
        <w:t xml:space="preserve"> </w:t>
      </w:r>
      <w:r>
        <w:t xml:space="preserve">6% of the municipality-years that the national municipal register implies</w:t>
      </w:r>
      <w:r>
        <w:t xml:space="preserve"> </w:t>
      </w:r>
      <w:r>
        <w:t xml:space="preserve">are absent, two thirds of municipalities have an uninterrupted series, and</w:t>
      </w:r>
      <w:r>
        <w:t xml:space="preserve"> </w:t>
      </w:r>
      <w:r>
        <w:t xml:space="preserve">Chocó is missing more than four fifths of its municipality-years.</w:t>
      </w:r>
    </w:p>
    <w:bookmarkStart w:id="25" w:name="data-and-validation"/>
    <w:p>
      <w:pPr>
        <w:pStyle w:val="Heading1"/>
      </w:pPr>
      <w:r>
        <w:t xml:space="preserve">1. Data and validation</w:t>
      </w:r>
    </w:p>
    <w:p>
      <w:pPr>
        <w:pStyle w:val="FirstParagraph"/>
      </w:pPr>
      <w:r>
        <w:t xml:space="preserve">The repository holds one file,</w:t>
      </w:r>
      <w:r>
        <w:t xml:space="preserve"> </w:t>
      </w:r>
      <w:r>
        <w:rPr>
          <w:rStyle w:val="VerbatimChar"/>
        </w:rPr>
        <w:t xml:space="preserve">Calidad_del_Agua_para_Consumo_Humano_en_Colombia_20260915.csv</w:t>
      </w:r>
      <w:r>
        <w:t xml:space="preserve">, published on</w:t>
      </w:r>
      <w:r>
        <w:t xml:space="preserve"> </w:t>
      </w:r>
      <w:r>
        <w:t xml:space="preserve">Colombia’s open-data portal from the national drinking-water surveillance</w:t>
      </w:r>
      <w:r>
        <w:t xml:space="preserve"> </w:t>
      </w:r>
      <w:r>
        <w:t xml:space="preserve">system</w:t>
      </w:r>
      <w:r>
        <w:t xml:space="preserve"> </w:t>
      </w:r>
      <w:r>
        <w:t xml:space="preserve">(Instituto Nacional de Salud and Ministerio de Salud y Protección Social 2026)</w:t>
      </w:r>
      <w:r>
        <w:t xml:space="preserve">. Territorial health authorities sample water supplies</w:t>
      </w:r>
      <w:r>
        <w:t xml:space="preserve"> </w:t>
      </w:r>
      <w:r>
        <w:t xml:space="preserve">through the year, and the samples are consolidated into the</w:t>
      </w:r>
      <w:r>
        <w:t xml:space="preserve"> </w:t>
      </w:r>
      <w:r>
        <w:rPr>
          <w:i/>
          <w:iCs/>
        </w:rPr>
        <w:t xml:space="preserve">Índice de Riesgo</w:t>
      </w:r>
      <w:r>
        <w:rPr>
          <w:i/>
          <w:iCs/>
        </w:rPr>
        <w:t xml:space="preserve"> </w:t>
      </w:r>
      <w:r>
        <w:rPr>
          <w:i/>
          <w:iCs/>
        </w:rPr>
        <w:t xml:space="preserve">de la Calidad del Agua para Consumo Humano</w:t>
      </w:r>
      <w:r>
        <w:t xml:space="preserve"> </w:t>
      </w:r>
      <w:r>
        <w:t xml:space="preserve">(IRCA), a 0 to 100 score of</w:t>
      </w:r>
      <w:r>
        <w:t xml:space="preserve"> </w:t>
      </w:r>
      <w:r>
        <w:t xml:space="preserve">deviation from the standards of Resolution 2115 of 2007, classed into five</w:t>
      </w:r>
      <w:r>
        <w:t xml:space="preserve"> </w:t>
      </w:r>
      <w:r>
        <w:t xml:space="preserve">risk bands: no risk (0 to 5), low (5.1 to 14), medium (14.1 to 35), high</w:t>
      </w:r>
      <w:r>
        <w:t xml:space="preserve"> </w:t>
      </w:r>
      <w:r>
        <w:t xml:space="preserve">(35.1 to 80) and sanitarily unviable (above 80)</w:t>
      </w:r>
      <w:r>
        <w:t xml:space="preserve"> </w:t>
      </w:r>
      <w:r>
        <w:t xml:space="preserve">(Ministerio de la Protección Social and Ministerio de Ambiente, Vivienda y Desarrollo Territorial 2007)</w:t>
      </w:r>
      <w:r>
        <w:t xml:space="preserve">. This note</w:t>
      </w:r>
      <w:r>
        <w:t xml:space="preserve"> </w:t>
      </w:r>
      <w:r>
        <w:t xml:space="preserve">describes the structure of the file and then assesses its completeness.</w:t>
      </w:r>
    </w:p>
    <w:p>
      <w:pPr>
        <w:pStyle w:val="BodyText"/>
      </w:pPr>
      <w:r>
        <w:t xml:space="preserve">The file was imported with every column as text, and the structure that the</w:t>
      </w:r>
      <w:r>
        <w:t xml:space="preserve"> </w:t>
      </w:r>
      <w:r>
        <w:t xml:space="preserve">rest of this note relies on was asserted in code rather than assumed: the</w:t>
      </w:r>
      <w:r>
        <w:t xml:space="preserve"> </w:t>
      </w:r>
      <w:r>
        <w:t xml:space="preserve">column set, the row count, the absence of empty cells, the format of the</w:t>
      </w:r>
      <w:r>
        <w:t xml:space="preserve"> </w:t>
      </w:r>
      <w:r>
        <w:t xml:space="preserve">codes, the parsing of the year, the fact that the token</w:t>
      </w:r>
      <w:r>
        <w:t xml:space="preserve"> </w:t>
      </w:r>
      <w:r>
        <w:rPr>
          <w:rStyle w:val="VerbatimChar"/>
        </w:rPr>
        <w:t xml:space="preserve">ND</w:t>
      </w:r>
      <w:r>
        <w:t xml:space="preserve"> </w:t>
      </w:r>
      <w:r>
        <w:t xml:space="preserve">is the only</w:t>
      </w:r>
      <w:r>
        <w:t xml:space="preserve"> </w:t>
      </w:r>
      <w:r>
        <w:t xml:space="preserve">non-numeric value in the index columns, the spelling set of the risk labels,</w:t>
      </w:r>
      <w:r>
        <w:t xml:space="preserve"> </w:t>
      </w:r>
      <w:r>
        <w:t xml:space="preserve">and the uniqueness of the keys (27 checks, all passing at</w:t>
      </w:r>
      <w:r>
        <w:t xml:space="preserve"> </w:t>
      </w:r>
      <w:r>
        <w:t xml:space="preserve">render time).</w:t>
      </w:r>
      <w:r>
        <w:t xml:space="preserve"> </w:t>
      </w:r>
      <w:hyperlink w:anchor="tbl-columns">
        <w:r>
          <w:rPr>
            <w:rStyle w:val="Hyperlink"/>
          </w:rPr>
          <w:t xml:space="preserve">Table 1</w:t>
        </w:r>
      </w:hyperlink>
      <w:r>
        <w:t xml:space="preserve"> </w:t>
      </w:r>
      <w:r>
        <w:t xml:space="preserve">describes the columns and what was done to each</w:t>
      </w:r>
      <w:r>
        <w:t xml:space="preserve"> </w:t>
      </w:r>
      <w:r>
        <w:t xml:space="preserve">on import.</w:t>
      </w:r>
    </w:p>
    <w:tbl>
      <w:tblPr>
        <w:tblStyle w:val="Table"/>
        <w:tblW w:type="pct" w:w="5000"/>
        <w:tblLayout w:type="fixed"/>
        <w:tblLook w:firstRow="0" w:lastRow="0" w:firstColumn="0" w:lastColumn="0" w:noHBand="0" w:noVBand="0" w:val="0000"/>
      </w:tblPr>
      <w:tblGrid>
        <w:gridCol w:w="7920"/>
      </w:tblGrid>
      <w:tr>
        <w:tc>
          <w:tcPr/>
          <w:bookmarkStart w:id="20" w:name="tbl-columns"/>
          <w:p>
            <w:pPr>
              <w:jc w:val="center"/>
            </w:pPr>
            <w:pPr>
              <w:jc w:val="start"/>
              <w:spacing w:before="200"/>
              <w:pStyle w:val="ImageCaption"/>
            </w:pPr>
            <w:r>
              <w:t xml:space="preserve">Table 1: Columns of the data file, their role, and how each was treated on import.</w:t>
            </w:r>
          </w:p>
          <w:tbl>
            <w:tblPr>
              <w:tblStyle w:val="Table"/>
              <w:tblW w:type="pct" w:w="5000"/>
              <w:tblLayout w:type="fixed"/>
              <w:tblLook w:firstRow="1" w:lastRow="0" w:firstColumn="0" w:lastColumn="0" w:noHBand="0" w:noVBand="0" w:val="0020"/>
            </w:tblPr>
            <w:tblGrid>
              <w:gridCol w:w="1656"/>
              <w:gridCol w:w="864"/>
              <w:gridCol w:w="1080"/>
              <w:gridCol w:w="4320"/>
            </w:tblGrid>
            <w:tr>
              <w:trPr>
                <w:tblHeader w:val="on"/>
              </w:trPr>
              <w:tc>
                <w:tcPr/>
                <w:p>
                  <w:pPr>
                    <w:pStyle w:val="Compact"/>
                    <w:jc w:val="left"/>
                    <w:jc w:val="center"/>
                  </w:pPr>
                  <w:r>
                    <w:t xml:space="preserve">Column</w:t>
                  </w:r>
                </w:p>
              </w:tc>
              <w:tc>
                <w:tcPr/>
                <w:p>
                  <w:pPr>
                    <w:pStyle w:val="Compact"/>
                    <w:jc w:val="left"/>
                    <w:jc w:val="center"/>
                  </w:pPr>
                  <w:r>
                    <w:t xml:space="preserve">Role</w:t>
                  </w:r>
                </w:p>
              </w:tc>
              <w:tc>
                <w:tcPr/>
                <w:p>
                  <w:pPr>
                    <w:pStyle w:val="Compact"/>
                    <w:jc w:val="left"/>
                    <w:jc w:val="center"/>
                  </w:pPr>
                  <w:r>
                    <w:t xml:space="preserve">Cleaned type</w:t>
                  </w:r>
                </w:p>
              </w:tc>
              <w:tc>
                <w:tcPr/>
                <w:p>
                  <w:pPr>
                    <w:pStyle w:val="Compact"/>
                    <w:jc w:val="left"/>
                    <w:jc w:val="center"/>
                  </w:pPr>
                  <w:r>
                    <w:t xml:space="preserve">Note on import</w:t>
                  </w:r>
                </w:p>
              </w:tc>
            </w:tr>
            <w:tr>
              <w:tc>
                <w:tcPr/>
                <w:p>
                  <w:pPr>
                    <w:pStyle w:val="Compact"/>
                    <w:jc w:val="left"/>
                    <w:jc w:val="center"/>
                  </w:pPr>
                  <w:r>
                    <w:t xml:space="preserve">DepartamentoCodigo</w:t>
                  </w:r>
                </w:p>
              </w:tc>
              <w:tc>
                <w:tcPr/>
                <w:p>
                  <w:pPr>
                    <w:pStyle w:val="Compact"/>
                    <w:jc w:val="left"/>
                    <w:jc w:val="center"/>
                  </w:pPr>
                  <w:r>
                    <w:t xml:space="preserve">Identifier</w:t>
                  </w:r>
                </w:p>
              </w:tc>
              <w:tc>
                <w:tcPr/>
                <w:p>
                  <w:pPr>
                    <w:pStyle w:val="Compact"/>
                    <w:jc w:val="left"/>
                    <w:jc w:val="center"/>
                  </w:pPr>
                  <w:r>
                    <w:t xml:space="preserve">Character key</w:t>
                  </w:r>
                </w:p>
              </w:tc>
              <w:tc>
                <w:tcPr/>
                <w:p>
                  <w:pPr>
                    <w:pStyle w:val="Compact"/>
                    <w:jc w:val="left"/>
                    <w:jc w:val="center"/>
                  </w:pPr>
                  <w:r>
                    <w:t xml:space="preserve">Two-digit DANE code, leading zero kept</w:t>
                  </w:r>
                </w:p>
              </w:tc>
            </w:tr>
            <w:tr>
              <w:tc>
                <w:tcPr/>
                <w:p>
                  <w:pPr>
                    <w:pStyle w:val="Compact"/>
                    <w:jc w:val="left"/>
                    <w:jc w:val="center"/>
                  </w:pPr>
                  <w:r>
                    <w:t xml:space="preserve">Departamento</w:t>
                  </w:r>
                </w:p>
              </w:tc>
              <w:tc>
                <w:tcPr/>
                <w:p>
                  <w:pPr>
                    <w:pStyle w:val="Compact"/>
                    <w:jc w:val="left"/>
                    <w:jc w:val="center"/>
                  </w:pPr>
                  <w:r>
                    <w:t xml:space="preserve">Identifier</w:t>
                  </w:r>
                </w:p>
              </w:tc>
              <w:tc>
                <w:tcPr/>
                <w:p>
                  <w:pPr>
                    <w:pStyle w:val="Compact"/>
                    <w:jc w:val="left"/>
                    <w:jc w:val="center"/>
                  </w:pPr>
                  <w:r>
                    <w:t xml:space="preserve">Label</w:t>
                  </w:r>
                </w:p>
              </w:tc>
              <w:tc>
                <w:tcPr/>
                <w:p>
                  <w:pPr>
                    <w:pStyle w:val="Compact"/>
                    <w:jc w:val="left"/>
                    <w:jc w:val="center"/>
                  </w:pPr>
                  <w:r>
                    <w:t xml:space="preserve">Name; one department has two spellings</w:t>
                  </w:r>
                </w:p>
              </w:tc>
            </w:tr>
            <w:tr>
              <w:tc>
                <w:tcPr/>
                <w:p>
                  <w:pPr>
                    <w:pStyle w:val="Compact"/>
                    <w:jc w:val="left"/>
                    <w:jc w:val="center"/>
                  </w:pPr>
                  <w:r>
                    <w:t xml:space="preserve">MunicipioCodigo</w:t>
                  </w:r>
                </w:p>
              </w:tc>
              <w:tc>
                <w:tcPr/>
                <w:p>
                  <w:pPr>
                    <w:pStyle w:val="Compact"/>
                    <w:jc w:val="left"/>
                    <w:jc w:val="center"/>
                  </w:pPr>
                  <w:r>
                    <w:t xml:space="preserve">Identifier</w:t>
                  </w:r>
                </w:p>
              </w:tc>
              <w:tc>
                <w:tcPr/>
                <w:p>
                  <w:pPr>
                    <w:pStyle w:val="Compact"/>
                    <w:jc w:val="left"/>
                    <w:jc w:val="center"/>
                  </w:pPr>
                  <w:r>
                    <w:t xml:space="preserve">Character key</w:t>
                  </w:r>
                </w:p>
              </w:tc>
              <w:tc>
                <w:tcPr/>
                <w:p>
                  <w:pPr>
                    <w:pStyle w:val="Compact"/>
                    <w:jc w:val="left"/>
                    <w:jc w:val="center"/>
                  </w:pPr>
                  <w:r>
                    <w:t xml:space="preserve">Five-digit DANE code;</w:t>
                  </w:r>
                  <w:r>
                    <w:t xml:space="preserve"> </w:t>
                  </w:r>
                  <w:r>
                    <w:rPr>
                      <w:rStyle w:val="VerbatimChar"/>
                    </w:rPr>
                    <w:t xml:space="preserve">#TODOS</w:t>
                  </w:r>
                  <w:r>
                    <w:t xml:space="preserve"> </w:t>
                  </w:r>
                  <w:r>
                    <w:t xml:space="preserve">marks a department aggregate</w:t>
                  </w:r>
                </w:p>
              </w:tc>
            </w:tr>
            <w:tr>
              <w:tc>
                <w:tcPr/>
                <w:p>
                  <w:pPr>
                    <w:pStyle w:val="Compact"/>
                    <w:jc w:val="left"/>
                    <w:jc w:val="center"/>
                  </w:pPr>
                  <w:r>
                    <w:t xml:space="preserve">Municipio</w:t>
                  </w:r>
                </w:p>
              </w:tc>
              <w:tc>
                <w:tcPr/>
                <w:p>
                  <w:pPr>
                    <w:pStyle w:val="Compact"/>
                    <w:jc w:val="left"/>
                    <w:jc w:val="center"/>
                  </w:pPr>
                  <w:r>
                    <w:t xml:space="preserve">Identifier</w:t>
                  </w:r>
                </w:p>
              </w:tc>
              <w:tc>
                <w:tcPr/>
                <w:p>
                  <w:pPr>
                    <w:pStyle w:val="Compact"/>
                    <w:jc w:val="left"/>
                    <w:jc w:val="center"/>
                  </w:pPr>
                  <w:r>
                    <w:t xml:space="preserve">Label</w:t>
                  </w:r>
                </w:p>
              </w:tc>
              <w:tc>
                <w:tcPr/>
                <w:p>
                  <w:pPr>
                    <w:pStyle w:val="Compact"/>
                    <w:jc w:val="left"/>
                    <w:jc w:val="center"/>
                  </w:pPr>
                  <w:r>
                    <w:t xml:space="preserve">Name; not stable across years</w:t>
                  </w:r>
                </w:p>
              </w:tc>
            </w:tr>
            <w:tr>
              <w:tc>
                <w:tcPr/>
                <w:p>
                  <w:pPr>
                    <w:pStyle w:val="Compact"/>
                    <w:jc w:val="left"/>
                    <w:jc w:val="center"/>
                  </w:pPr>
                  <w:r>
                    <w:t xml:space="preserve">Año</w:t>
                  </w:r>
                </w:p>
              </w:tc>
              <w:tc>
                <w:tcPr/>
                <w:p>
                  <w:pPr>
                    <w:pStyle w:val="Compact"/>
                    <w:jc w:val="left"/>
                    <w:jc w:val="center"/>
                  </w:pPr>
                  <w:r>
                    <w:t xml:space="preserve">Identifier</w:t>
                  </w:r>
                </w:p>
              </w:tc>
              <w:tc>
                <w:tcPr/>
                <w:p>
                  <w:pPr>
                    <w:pStyle w:val="Compact"/>
                    <w:jc w:val="left"/>
                    <w:jc w:val="center"/>
                  </w:pPr>
                  <w:r>
                    <w:t xml:space="preserve">Integer</w:t>
                  </w:r>
                </w:p>
              </w:tc>
              <w:tc>
                <w:tcPr/>
                <w:p>
                  <w:pPr>
                    <w:pStyle w:val="Compact"/>
                    <w:jc w:val="left"/>
                    <w:jc w:val="center"/>
                  </w:pPr>
                  <w:r>
                    <w:t xml:space="preserve">Stored as text with a thousands separator (2,024)</w:t>
                  </w:r>
                </w:p>
              </w:tc>
            </w:tr>
            <w:tr>
              <w:tc>
                <w:tcPr/>
                <w:p>
                  <w:pPr>
                    <w:pStyle w:val="Compact"/>
                    <w:jc w:val="left"/>
                    <w:jc w:val="center"/>
                  </w:pPr>
                  <w:r>
                    <w:t xml:space="preserve">IRCA</w:t>
                  </w:r>
                </w:p>
              </w:tc>
              <w:tc>
                <w:tcPr/>
                <w:p>
                  <w:pPr>
                    <w:pStyle w:val="Compact"/>
                    <w:jc w:val="left"/>
                    <w:jc w:val="center"/>
                  </w:pPr>
                  <w:r>
                    <w:t xml:space="preserve">Measurement</w:t>
                  </w:r>
                </w:p>
              </w:tc>
              <w:tc>
                <w:tcPr/>
                <w:p>
                  <w:pPr>
                    <w:pStyle w:val="Compact"/>
                    <w:jc w:val="left"/>
                    <w:jc w:val="center"/>
                  </w:pPr>
                  <w:r>
                    <w:t xml:space="preserve">Numeric 0–100</w:t>
                  </w:r>
                </w:p>
              </w:tc>
              <w:tc>
                <w:tcPr/>
                <w:p>
                  <w:pPr>
                    <w:pStyle w:val="Compact"/>
                    <w:jc w:val="left"/>
                    <w:jc w:val="center"/>
                  </w:pPr>
                  <w:r>
                    <w:t xml:space="preserve">Annual index, whole unit</w:t>
                  </w:r>
                </w:p>
              </w:tc>
            </w:tr>
            <w:tr>
              <w:tc>
                <w:tcPr/>
                <w:p>
                  <w:pPr>
                    <w:pStyle w:val="Compact"/>
                    <w:jc w:val="left"/>
                    <w:jc w:val="center"/>
                  </w:pPr>
                  <w:r>
                    <w:t xml:space="preserve">Nivel de riesgo</w:t>
                  </w:r>
                </w:p>
              </w:tc>
              <w:tc>
                <w:tcPr/>
                <w:p>
                  <w:pPr>
                    <w:pStyle w:val="Compact"/>
                    <w:jc w:val="left"/>
                    <w:jc w:val="center"/>
                  </w:pPr>
                  <w:r>
                    <w:t xml:space="preserve">Measurement</w:t>
                  </w:r>
                </w:p>
              </w:tc>
              <w:tc>
                <w:tcPr/>
                <w:p>
                  <w:pPr>
                    <w:pStyle w:val="Compact"/>
                    <w:jc w:val="left"/>
                    <w:jc w:val="center"/>
                  </w:pPr>
                  <w:r>
                    <w:t xml:space="preserve">5-level factor</w:t>
                  </w:r>
                </w:p>
              </w:tc>
              <w:tc>
                <w:tcPr/>
                <w:p>
                  <w:pPr>
                    <w:pStyle w:val="Compact"/>
                    <w:jc w:val="left"/>
                    <w:jc w:val="center"/>
                  </w:pPr>
                  <w:r>
                    <w:t xml:space="preserve">Two spellings per band mapped to one</w:t>
                  </w:r>
                </w:p>
              </w:tc>
            </w:tr>
            <w:tr>
              <w:tc>
                <w:tcPr/>
                <w:p>
                  <w:pPr>
                    <w:pStyle w:val="Compact"/>
                    <w:jc w:val="left"/>
                    <w:jc w:val="center"/>
                  </w:pPr>
                  <w:r>
                    <w:t xml:space="preserve">IRCAurbano</w:t>
                  </w:r>
                </w:p>
              </w:tc>
              <w:tc>
                <w:tcPr/>
                <w:p>
                  <w:pPr>
                    <w:pStyle w:val="Compact"/>
                    <w:jc w:val="left"/>
                    <w:jc w:val="center"/>
                  </w:pPr>
                  <w:r>
                    <w:t xml:space="preserve">Measurement</w:t>
                  </w:r>
                </w:p>
              </w:tc>
              <w:tc>
                <w:tcPr/>
                <w:p>
                  <w:pPr>
                    <w:pStyle w:val="Compact"/>
                    <w:jc w:val="left"/>
                    <w:jc w:val="center"/>
                  </w:pPr>
                  <w:r>
                    <w:t xml:space="preserve">Numeric 0–100</w:t>
                  </w:r>
                </w:p>
              </w:tc>
              <w:tc>
                <w:tcPr/>
                <w:p>
                  <w:pPr>
                    <w:pStyle w:val="Compact"/>
                    <w:jc w:val="left"/>
                    <w:jc w:val="center"/>
                  </w:pPr>
                  <w:r>
                    <w:t xml:space="preserve">Urban area;</w:t>
                  </w:r>
                  <w:r>
                    <w:t xml:space="preserve"> </w:t>
                  </w:r>
                  <w:r>
                    <w:rPr>
                      <w:rStyle w:val="VerbatimChar"/>
                    </w:rPr>
                    <w:t xml:space="preserve">ND</w:t>
                  </w:r>
                  <w:r>
                    <w:t xml:space="preserve"> </w:t>
                  </w:r>
                  <w:r>
                    <w:t xml:space="preserve">read as missing</w:t>
                  </w:r>
                </w:p>
              </w:tc>
            </w:tr>
            <w:tr>
              <w:tc>
                <w:tcPr/>
                <w:p>
                  <w:pPr>
                    <w:pStyle w:val="Compact"/>
                    <w:jc w:val="left"/>
                    <w:jc w:val="center"/>
                  </w:pPr>
                  <w:r>
                    <w:t xml:space="preserve">Nivel de riesgo urbano</w:t>
                  </w:r>
                </w:p>
              </w:tc>
              <w:tc>
                <w:tcPr/>
                <w:p>
                  <w:pPr>
                    <w:pStyle w:val="Compact"/>
                    <w:jc w:val="left"/>
                    <w:jc w:val="center"/>
                  </w:pPr>
                  <w:r>
                    <w:t xml:space="preserve">Measurement</w:t>
                  </w:r>
                </w:p>
              </w:tc>
              <w:tc>
                <w:tcPr/>
                <w:p>
                  <w:pPr>
                    <w:pStyle w:val="Compact"/>
                    <w:jc w:val="left"/>
                    <w:jc w:val="center"/>
                  </w:pPr>
                  <w:r>
                    <w:t xml:space="preserve">5-level factor</w:t>
                  </w:r>
                </w:p>
              </w:tc>
              <w:tc>
                <w:tcPr/>
                <w:p>
                  <w:pPr>
                    <w:pStyle w:val="Compact"/>
                    <w:jc w:val="left"/>
                    <w:jc w:val="center"/>
                  </w:pPr>
                  <w:r>
                    <w:t xml:space="preserve">Missing when the value is</w:t>
                  </w:r>
                  <w:r>
                    <w:t xml:space="preserve"> </w:t>
                  </w:r>
                  <w:r>
                    <w:rPr>
                      <w:rStyle w:val="VerbatimChar"/>
                    </w:rPr>
                    <w:t xml:space="preserve">ND</w:t>
                  </w:r>
                </w:p>
              </w:tc>
            </w:tr>
            <w:tr>
              <w:tc>
                <w:tcPr/>
                <w:p>
                  <w:pPr>
                    <w:pStyle w:val="Compact"/>
                    <w:jc w:val="left"/>
                    <w:jc w:val="center"/>
                  </w:pPr>
                  <w:r>
                    <w:t xml:space="preserve">IRCArural</w:t>
                  </w:r>
                </w:p>
              </w:tc>
              <w:tc>
                <w:tcPr/>
                <w:p>
                  <w:pPr>
                    <w:pStyle w:val="Compact"/>
                    <w:jc w:val="left"/>
                    <w:jc w:val="center"/>
                  </w:pPr>
                  <w:r>
                    <w:t xml:space="preserve">Measurement</w:t>
                  </w:r>
                </w:p>
              </w:tc>
              <w:tc>
                <w:tcPr/>
                <w:p>
                  <w:pPr>
                    <w:pStyle w:val="Compact"/>
                    <w:jc w:val="left"/>
                    <w:jc w:val="center"/>
                  </w:pPr>
                  <w:r>
                    <w:t xml:space="preserve">Numeric 0–100</w:t>
                  </w:r>
                </w:p>
              </w:tc>
              <w:tc>
                <w:tcPr/>
                <w:p>
                  <w:pPr>
                    <w:pStyle w:val="Compact"/>
                    <w:jc w:val="left"/>
                    <w:jc w:val="center"/>
                  </w:pPr>
                  <w:r>
                    <w:t xml:space="preserve">Rural area;</w:t>
                  </w:r>
                  <w:r>
                    <w:t xml:space="preserve"> </w:t>
                  </w:r>
                  <w:r>
                    <w:rPr>
                      <w:rStyle w:val="VerbatimChar"/>
                    </w:rPr>
                    <w:t xml:space="preserve">ND</w:t>
                  </w:r>
                  <w:r>
                    <w:t xml:space="preserve"> </w:t>
                  </w:r>
                  <w:r>
                    <w:t xml:space="preserve">read as missing</w:t>
                  </w:r>
                </w:p>
              </w:tc>
            </w:tr>
            <w:tr>
              <w:tc>
                <w:tcPr/>
                <w:p>
                  <w:pPr>
                    <w:pStyle w:val="Compact"/>
                    <w:jc w:val="left"/>
                    <w:jc w:val="center"/>
                  </w:pPr>
                  <w:r>
                    <w:t xml:space="preserve">Nivel de riesgo rural</w:t>
                  </w:r>
                </w:p>
              </w:tc>
              <w:tc>
                <w:tcPr/>
                <w:p>
                  <w:pPr>
                    <w:pStyle w:val="Compact"/>
                    <w:jc w:val="left"/>
                    <w:jc w:val="center"/>
                  </w:pPr>
                  <w:r>
                    <w:t xml:space="preserve">Measurement</w:t>
                  </w:r>
                </w:p>
              </w:tc>
              <w:tc>
                <w:tcPr/>
                <w:p>
                  <w:pPr>
                    <w:pStyle w:val="Compact"/>
                    <w:jc w:val="left"/>
                    <w:jc w:val="center"/>
                  </w:pPr>
                  <w:r>
                    <w:t xml:space="preserve">5-level factor</w:t>
                  </w:r>
                </w:p>
              </w:tc>
              <w:tc>
                <w:tcPr/>
                <w:p>
                  <w:pPr>
                    <w:pStyle w:val="Compact"/>
                    <w:jc w:val="left"/>
                    <w:jc w:val="center"/>
                  </w:pPr>
                  <w:r>
                    <w:t xml:space="preserve">Missing when the value is</w:t>
                  </w:r>
                  <w:r>
                    <w:t xml:space="preserve"> </w:t>
                  </w:r>
                  <w:r>
                    <w:rPr>
                      <w:rStyle w:val="VerbatimChar"/>
                    </w:rPr>
                    <w:t xml:space="preserve">ND</w:t>
                  </w:r>
                </w:p>
              </w:tc>
            </w:tr>
          </w:tbl>
          <w:bookmarkEnd w:id="20"/>
          <w:p/>
        </w:tc>
      </w:tr>
    </w:tbl>
    <w:p>
      <w:pPr>
        <w:pStyle w:val="BodyText"/>
      </w:pPr>
      <w:r>
        <w:t xml:space="preserve">Completeness needs a reference set of units that ought to be present. Two</w:t>
      </w:r>
      <w:r>
        <w:t xml:space="preserve"> </w:t>
      </w:r>
      <w:r>
        <w:t xml:space="preserve">are used. The</w:t>
      </w:r>
      <w:r>
        <w:t xml:space="preserve"> </w:t>
      </w:r>
      <w:r>
        <w:rPr>
          <w:i/>
          <w:iCs/>
        </w:rPr>
        <w:t xml:space="preserve">internal</w:t>
      </w:r>
      <w:r>
        <w:t xml:space="preserve"> </w:t>
      </w:r>
      <w:r>
        <w:t xml:space="preserve">frame is every municipality code that appears at</w:t>
      </w:r>
      <w:r>
        <w:t xml:space="preserve"> </w:t>
      </w:r>
      <w:r>
        <w:t xml:space="preserve">least once, crossed with every year that appears at least once; it asks</w:t>
      </w:r>
      <w:r>
        <w:t xml:space="preserve"> </w:t>
      </w:r>
      <w:r>
        <w:t xml:space="preserve">whether the file is balanced on its own terms. The</w:t>
      </w:r>
      <w:r>
        <w:t xml:space="preserve"> </w:t>
      </w:r>
      <w:r>
        <w:rPr>
          <w:i/>
          <w:iCs/>
        </w:rPr>
        <w:t xml:space="preserve">external</w:t>
      </w:r>
      <w:r>
        <w:t xml:space="preserve"> </w:t>
      </w:r>
      <w:r>
        <w:t xml:space="preserve">frame is the</w:t>
      </w:r>
      <w:r>
        <w:t xml:space="preserve"> </w:t>
      </w:r>
      <w:r>
        <w:t xml:space="preserve">municipal register of the DANE Marco Geoestadístico Nacional 2020</w:t>
      </w:r>
      <w:r>
        <w:t xml:space="preserve"> </w:t>
      </w:r>
      <w:r>
        <w:t xml:space="preserve">(Departamento Administrativo Nacional de Estadística (DANE) 2020)</w:t>
      </w:r>
      <w:r>
        <w:t xml:space="preserve">, which lists 1,122 units, minus the</w:t>
      </w:r>
      <w:r>
        <w:t xml:space="preserve"> </w:t>
      </w:r>
      <w:r>
        <w:t xml:space="preserve">19 non-municipalised areas of Amazonas, Guainía and</w:t>
      </w:r>
      <w:r>
        <w:t xml:space="preserve"> </w:t>
      </w:r>
      <w:r>
        <w:t xml:space="preserve">Vaupés, which have no municipal administration and never appear in the file;</w:t>
      </w:r>
      <w:r>
        <w:t xml:space="preserve"> </w:t>
      </w:r>
      <w:r>
        <w:t xml:space="preserve">that leaves 1,103 municipalities and asks whether the</w:t>
      </w:r>
      <w:r>
        <w:t xml:space="preserve"> </w:t>
      </w:r>
      <w:r>
        <w:t xml:space="preserve">country is covered. The register is a 2020 snapshot, so the few</w:t>
      </w:r>
      <w:r>
        <w:t xml:space="preserve"> </w:t>
      </w:r>
      <w:r>
        <w:t xml:space="preserve">municipalities created after 2007 slightly overstate the external shortfall</w:t>
      </w:r>
      <w:r>
        <w:t xml:space="preserve"> </w:t>
      </w:r>
      <w:r>
        <w:t xml:space="preserve">in early years.</w:t>
      </w:r>
      <w:r>
        <w:t xml:space="preserve"> </w:t>
      </w:r>
      <w:hyperlink w:anchor="fig-map">
        <w:r>
          <w:rPr>
            <w:rStyle w:val="Hyperlink"/>
          </w:rPr>
          <w:t xml:space="preserve">Figure 1</w:t>
        </w:r>
      </w:hyperlink>
      <w:r>
        <w:t xml:space="preserve"> </w:t>
      </w:r>
      <w:r>
        <w:t xml:space="preserve">shows the measurement and the coverage on that</w:t>
      </w:r>
      <w:r>
        <w:t xml:space="preserve"> </w:t>
      </w:r>
      <w:r>
        <w:t xml:space="preserve">register.</w:t>
      </w:r>
    </w:p>
    <w:tbl>
      <w:tblPr>
        <w:tblStyle w:val="Table"/>
        <w:tblW w:type="pct" w:w="5000"/>
        <w:tblLayout w:type="fixed"/>
        <w:tblLook w:firstRow="0" w:lastRow="0" w:firstColumn="0" w:lastColumn="0" w:noHBand="0" w:noVBand="0" w:val="0000"/>
      </w:tblPr>
      <w:tblGrid>
        <w:gridCol w:w="7920"/>
      </w:tblGrid>
      <w:tr>
        <w:tc>
          <w:tcPr/>
          <w:bookmarkStart w:id="24" w:name="fig-map"/>
          <w:p>
            <w:pPr>
              <w:jc w:val="center"/>
            </w:pPr>
            <w:r>
              <w:drawing>
                <wp:inline>
                  <wp:extent cx="5334000" cy="3774830"/>
                  <wp:effectExtent b="0" l="0" r="0" t="0"/>
                  <wp:docPr descr="" title="" id="22" name="Picture"/>
                  <a:graphic>
                    <a:graphicData uri="http://schemas.openxmlformats.org/drawingml/2006/picture">
                      <pic:pic>
                        <pic:nvPicPr>
                          <pic:cNvPr descr="index_files/figure-docx/map-static-1.png" id="23" name="Picture"/>
                          <pic:cNvPicPr>
                            <a:picLocks noChangeArrowheads="1" noChangeAspect="1"/>
                          </pic:cNvPicPr>
                        </pic:nvPicPr>
                        <pic:blipFill>
                          <a:blip r:embed="rId21"/>
                          <a:stretch>
                            <a:fillRect/>
                          </a:stretch>
                        </pic:blipFill>
                        <pic:spPr bwMode="auto">
                          <a:xfrm>
                            <a:off x="0" y="0"/>
                            <a:ext cx="5334000" cy="3774830"/>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Annual IRCA by municipality in 2019 (left) and number of years, out</w:t>
            </w:r>
            <w:r>
              <w:t xml:space="preserve"> </w:t>
            </w:r>
            <w:r>
              <w:t xml:space="preserve">of 18, in which each municipality appears in the file (right).</w:t>
            </w:r>
            <w:r>
              <w:t xml:space="preserve"> </w:t>
            </w:r>
            <w:r>
              <w:t xml:space="preserve">Municipalities that never appear are outlined in orange; non-municipalised</w:t>
            </w:r>
            <w:r>
              <w:t xml:space="preserve"> </w:t>
            </w:r>
            <w:r>
              <w:t xml:space="preserve">areas are not expected. Boundaries: DANE 2020.</w:t>
            </w:r>
          </w:p>
          <w:bookmarkEnd w:id="24"/>
        </w:tc>
      </w:tr>
    </w:tbl>
    <w:p>
      <w:r>
        <w:br w:type="page"/>
      </w:r>
    </w:p>
    <w:bookmarkEnd w:id="25"/>
    <w:bookmarkStart w:id="31" w:name="the-observational-unit"/>
    <w:p>
      <w:pPr>
        <w:pStyle w:val="Heading1"/>
      </w:pPr>
      <w:r>
        <w:t xml:space="preserve">2. The observational unit</w:t>
      </w:r>
    </w:p>
    <w:bookmarkStart w:id="27" w:name="what-a-row-looks-like"/>
    <w:p>
      <w:pPr>
        <w:pStyle w:val="Heading2"/>
      </w:pPr>
      <w:r>
        <w:t xml:space="preserve">2.1 What a row looks like</w:t>
      </w:r>
    </w:p>
    <w:p>
      <w:pPr>
        <w:pStyle w:val="FirstParagraph"/>
      </w:pPr>
      <w:r>
        <w:t xml:space="preserve">The file has 19,160 rows and 11 columns.</w:t>
      </w:r>
      <w:r>
        <w:t xml:space="preserve"> </w:t>
      </w:r>
      <w:hyperlink w:anchor="tbl-example">
        <w:r>
          <w:rPr>
            <w:rStyle w:val="Hyperlink"/>
          </w:rPr>
          <w:t xml:space="preserve">Table 2</w:t>
        </w:r>
      </w:hyperlink>
      <w:r>
        <w:t xml:space="preserve"> </w:t>
      </w:r>
      <w:r>
        <w:t xml:space="preserve">reproduces four rows verbatim. Each row names a place and a year and reports</w:t>
      </w:r>
      <w:r>
        <w:t xml:space="preserve"> </w:t>
      </w:r>
      <w:r>
        <w:t xml:space="preserve">three indices: one for the whole territorial unit, one for its urban area</w:t>
      </w:r>
      <w:r>
        <w:t xml:space="preserve"> </w:t>
      </w:r>
      <w:r>
        <w:t xml:space="preserve">and one for its rural area, each accompanied in the full file by a risk band</w:t>
      </w:r>
      <w:r>
        <w:t xml:space="preserve"> </w:t>
      </w:r>
      <w:r>
        <w:t xml:space="preserve">derived from it. The same municipality code recurs year after year, so a row</w:t>
      </w:r>
      <w:r>
        <w:t xml:space="preserve"> </w:t>
      </w:r>
      <w:r>
        <w:t xml:space="preserve">is not a place but a place in a year. The name attached to a code can change</w:t>
      </w:r>
      <w:r>
        <w:t xml:space="preserve"> </w:t>
      </w:r>
      <w:r>
        <w:t xml:space="preserve">between years while the code stays fixed. The token</w:t>
      </w:r>
      <w:r>
        <w:t xml:space="preserve"> </w:t>
      </w:r>
      <w:r>
        <w:rPr>
          <w:rStyle w:val="VerbatimChar"/>
        </w:rPr>
        <w:t xml:space="preserve">ND</w:t>
      </w:r>
      <w:r>
        <w:t xml:space="preserve"> </w:t>
      </w:r>
      <w:r>
        <w:t xml:space="preserve">stands in for a</w:t>
      </w:r>
      <w:r>
        <w:t xml:space="preserve"> </w:t>
      </w:r>
      <w:r>
        <w:t xml:space="preserve">component that was not reported. The fourth row carries</w:t>
      </w:r>
      <w:r>
        <w:t xml:space="preserve"> </w:t>
      </w:r>
      <w:r>
        <w:rPr>
          <w:rStyle w:val="VerbatimChar"/>
        </w:rPr>
        <w:t xml:space="preserve">#TODOS</w:t>
      </w:r>
      <w:r>
        <w:t xml:space="preserve"> </w:t>
      </w:r>
      <w:r>
        <w:t xml:space="preserve">in place of</w:t>
      </w:r>
      <w:r>
        <w:t xml:space="preserve"> </w:t>
      </w:r>
      <w:r>
        <w:t xml:space="preserve">a municipality: it describes the department as a whole for that year, and</w:t>
      </w:r>
      <w:r>
        <w:t xml:space="preserve"> </w:t>
      </w:r>
      <w:r>
        <w:t xml:space="preserve">569 such rows are interleaved with the</w:t>
      </w:r>
      <w:r>
        <w:t xml:space="preserve"> </w:t>
      </w:r>
      <w:r>
        <w:t xml:space="preserve">18,591 municipal rows.</w:t>
      </w:r>
    </w:p>
    <w:tbl>
      <w:tblPr>
        <w:tblStyle w:val="Table"/>
        <w:tblW w:type="pct" w:w="5000"/>
        <w:tblLayout w:type="fixed"/>
        <w:tblLook w:firstRow="0" w:lastRow="0" w:firstColumn="0" w:lastColumn="0" w:noHBand="0" w:noVBand="0" w:val="0000"/>
      </w:tblPr>
      <w:tblGrid>
        <w:gridCol w:w="7920"/>
      </w:tblGrid>
      <w:tr>
        <w:tc>
          <w:tcPr/>
          <w:bookmarkStart w:id="26" w:name="tbl-example"/>
          <w:p>
            <w:pPr>
              <w:jc w:val="center"/>
            </w:pPr>
            <w:pPr>
              <w:jc w:val="start"/>
              <w:spacing w:before="200"/>
              <w:pStyle w:val="ImageCaption"/>
            </w:pPr>
            <w:r>
              <w:t xml:space="preserve">Table 2: Four rows of the file, reproduced verbatim: the same municipality in two consecutive years under two names, a municipality with no rural index, and the department-level aggregate for the same department and year.</w:t>
            </w:r>
          </w:p>
          <w:tbl>
            <w:tblPr>
              <w:tblStyle w:val="Table"/>
              <w:tblW w:type="pct" w:w="5000"/>
              <w:tblLayout w:type="fixed"/>
              <w:tblLook w:firstRow="1" w:lastRow="0" w:firstColumn="0" w:lastColumn="0" w:noHBand="0" w:noVBand="0" w:val="0020"/>
            </w:tblPr>
            <w:tblGrid>
              <w:gridCol w:w="1729"/>
              <w:gridCol w:w="1456"/>
              <w:gridCol w:w="1820"/>
              <w:gridCol w:w="546"/>
              <w:gridCol w:w="455"/>
              <w:gridCol w:w="1001"/>
              <w:gridCol w:w="910"/>
            </w:tblGrid>
            <w:tr>
              <w:trPr>
                <w:tblHeader w:val="on"/>
              </w:trPr>
              <w:tc>
                <w:tcPr/>
                <w:p>
                  <w:pPr>
                    <w:pStyle w:val="Compact"/>
                    <w:jc w:val="left"/>
                    <w:jc w:val="center"/>
                  </w:pPr>
                  <w:r>
                    <w:t xml:space="preserve">DepartamentoCodigo</w:t>
                  </w:r>
                </w:p>
              </w:tc>
              <w:tc>
                <w:tcPr/>
                <w:p>
                  <w:pPr>
                    <w:pStyle w:val="Compact"/>
                    <w:jc w:val="left"/>
                    <w:jc w:val="center"/>
                  </w:pPr>
                  <w:r>
                    <w:t xml:space="preserve">MunicipioCodigo</w:t>
                  </w:r>
                </w:p>
              </w:tc>
              <w:tc>
                <w:tcPr/>
                <w:p>
                  <w:pPr>
                    <w:pStyle w:val="Compact"/>
                    <w:jc w:val="left"/>
                    <w:jc w:val="center"/>
                  </w:pPr>
                  <w:r>
                    <w:t xml:space="preserve">Municipio</w:t>
                  </w:r>
                </w:p>
              </w:tc>
              <w:tc>
                <w:tcPr/>
                <w:p>
                  <w:pPr>
                    <w:pStyle w:val="Compact"/>
                    <w:jc w:val="left"/>
                    <w:jc w:val="center"/>
                  </w:pPr>
                  <w:r>
                    <w:t xml:space="preserve">Año</w:t>
                  </w:r>
                </w:p>
              </w:tc>
              <w:tc>
                <w:tcPr/>
                <w:p>
                  <w:pPr>
                    <w:pStyle w:val="Compact"/>
                    <w:jc w:val="left"/>
                    <w:jc w:val="center"/>
                  </w:pPr>
                  <w:r>
                    <w:t xml:space="preserve">IRCA</w:t>
                  </w:r>
                </w:p>
              </w:tc>
              <w:tc>
                <w:tcPr/>
                <w:p>
                  <w:pPr>
                    <w:pStyle w:val="Compact"/>
                    <w:jc w:val="left"/>
                    <w:jc w:val="center"/>
                  </w:pPr>
                  <w:r>
                    <w:t xml:space="preserve">IRCAurbano</w:t>
                  </w:r>
                </w:p>
              </w:tc>
              <w:tc>
                <w:tcPr/>
                <w:p>
                  <w:pPr>
                    <w:pStyle w:val="Compact"/>
                    <w:jc w:val="left"/>
                    <w:jc w:val="center"/>
                  </w:pPr>
                  <w:r>
                    <w:t xml:space="preserve">IRCArural</w:t>
                  </w:r>
                </w:p>
              </w:tc>
            </w:tr>
            <w:tr>
              <w:tc>
                <w:tcPr/>
                <w:p>
                  <w:pPr>
                    <w:pStyle w:val="Compact"/>
                    <w:jc w:val="left"/>
                    <w:jc w:val="center"/>
                  </w:pPr>
                  <w:r>
                    <w:t xml:space="preserve">76</w:t>
                  </w:r>
                </w:p>
              </w:tc>
              <w:tc>
                <w:tcPr/>
                <w:p>
                  <w:pPr>
                    <w:pStyle w:val="Compact"/>
                    <w:jc w:val="left"/>
                    <w:jc w:val="center"/>
                  </w:pPr>
                  <w:r>
                    <w:t xml:space="preserve">76001</w:t>
                  </w:r>
                </w:p>
              </w:tc>
              <w:tc>
                <w:tcPr/>
                <w:p>
                  <w:pPr>
                    <w:pStyle w:val="Compact"/>
                    <w:jc w:val="left"/>
                    <w:jc w:val="center"/>
                  </w:pPr>
                  <w:r>
                    <w:t xml:space="preserve">Cali</w:t>
                  </w:r>
                </w:p>
              </w:tc>
              <w:tc>
                <w:tcPr/>
                <w:p>
                  <w:pPr>
                    <w:pStyle w:val="Compact"/>
                    <w:jc w:val="left"/>
                    <w:jc w:val="center"/>
                  </w:pPr>
                  <w:r>
                    <w:t xml:space="preserve">2,024</w:t>
                  </w:r>
                </w:p>
              </w:tc>
              <w:tc>
                <w:tcPr/>
                <w:p>
                  <w:pPr>
                    <w:pStyle w:val="Compact"/>
                    <w:jc w:val="left"/>
                    <w:jc w:val="center"/>
                  </w:pPr>
                  <w:r>
                    <w:t xml:space="preserve">0.2</w:t>
                  </w:r>
                </w:p>
              </w:tc>
              <w:tc>
                <w:tcPr/>
                <w:p>
                  <w:pPr>
                    <w:pStyle w:val="Compact"/>
                    <w:jc w:val="left"/>
                    <w:jc w:val="center"/>
                  </w:pPr>
                  <w:r>
                    <w:t xml:space="preserve">0.1</w:t>
                  </w:r>
                </w:p>
              </w:tc>
              <w:tc>
                <w:tcPr/>
                <w:p>
                  <w:pPr>
                    <w:pStyle w:val="Compact"/>
                    <w:jc w:val="left"/>
                    <w:jc w:val="center"/>
                  </w:pPr>
                  <w:r>
                    <w:t xml:space="preserve">2.5</w:t>
                  </w:r>
                </w:p>
              </w:tc>
            </w:tr>
            <w:tr>
              <w:tc>
                <w:tcPr/>
                <w:p>
                  <w:pPr>
                    <w:pStyle w:val="Compact"/>
                    <w:jc w:val="left"/>
                    <w:jc w:val="center"/>
                  </w:pPr>
                  <w:r>
                    <w:t xml:space="preserve">76</w:t>
                  </w:r>
                </w:p>
              </w:tc>
              <w:tc>
                <w:tcPr/>
                <w:p>
                  <w:pPr>
                    <w:pStyle w:val="Compact"/>
                    <w:jc w:val="left"/>
                    <w:jc w:val="center"/>
                  </w:pPr>
                  <w:r>
                    <w:t xml:space="preserve">76001</w:t>
                  </w:r>
                </w:p>
              </w:tc>
              <w:tc>
                <w:tcPr/>
                <w:p>
                  <w:pPr>
                    <w:pStyle w:val="Compact"/>
                    <w:jc w:val="left"/>
                    <w:jc w:val="center"/>
                  </w:pPr>
                  <w:r>
                    <w:t xml:space="preserve">Santiago de Cali</w:t>
                  </w:r>
                </w:p>
              </w:tc>
              <w:tc>
                <w:tcPr/>
                <w:p>
                  <w:pPr>
                    <w:pStyle w:val="Compact"/>
                    <w:jc w:val="left"/>
                    <w:jc w:val="center"/>
                  </w:pPr>
                  <w:r>
                    <w:t xml:space="preserve">2,023</w:t>
                  </w:r>
                </w:p>
              </w:tc>
              <w:tc>
                <w:tcPr/>
                <w:p>
                  <w:pPr>
                    <w:pStyle w:val="Compact"/>
                    <w:jc w:val="left"/>
                    <w:jc w:val="center"/>
                  </w:pPr>
                  <w:r>
                    <w:t xml:space="preserve">0.3</w:t>
                  </w:r>
                </w:p>
              </w:tc>
              <w:tc>
                <w:tcPr/>
                <w:p>
                  <w:pPr>
                    <w:pStyle w:val="Compact"/>
                    <w:jc w:val="left"/>
                    <w:jc w:val="center"/>
                  </w:pPr>
                  <w:r>
                    <w:t xml:space="preserve">0.3</w:t>
                  </w:r>
                </w:p>
              </w:tc>
              <w:tc>
                <w:tcPr/>
                <w:p>
                  <w:pPr>
                    <w:pStyle w:val="Compact"/>
                    <w:jc w:val="left"/>
                    <w:jc w:val="center"/>
                  </w:pPr>
                  <w:r>
                    <w:t xml:space="preserve">0.0</w:t>
                  </w:r>
                </w:p>
              </w:tc>
            </w:tr>
            <w:tr>
              <w:tc>
                <w:tcPr/>
                <w:p>
                  <w:pPr>
                    <w:pStyle w:val="Compact"/>
                    <w:jc w:val="left"/>
                    <w:jc w:val="center"/>
                  </w:pPr>
                  <w:r>
                    <w:t xml:space="preserve">76</w:t>
                  </w:r>
                </w:p>
              </w:tc>
              <w:tc>
                <w:tcPr/>
                <w:p>
                  <w:pPr>
                    <w:pStyle w:val="Compact"/>
                    <w:jc w:val="left"/>
                    <w:jc w:val="center"/>
                  </w:pPr>
                  <w:r>
                    <w:t xml:space="preserve">76111</w:t>
                  </w:r>
                </w:p>
              </w:tc>
              <w:tc>
                <w:tcPr/>
                <w:p>
                  <w:pPr>
                    <w:pStyle w:val="Compact"/>
                    <w:jc w:val="left"/>
                    <w:jc w:val="center"/>
                  </w:pPr>
                  <w:r>
                    <w:t xml:space="preserve">Guadalajara de Buga</w:t>
                  </w:r>
                </w:p>
              </w:tc>
              <w:tc>
                <w:tcPr/>
                <w:p>
                  <w:pPr>
                    <w:pStyle w:val="Compact"/>
                    <w:jc w:val="left"/>
                    <w:jc w:val="center"/>
                  </w:pPr>
                  <w:r>
                    <w:t xml:space="preserve">2,024</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ND</w:t>
                  </w:r>
                </w:p>
              </w:tc>
            </w:tr>
            <w:tr>
              <w:tc>
                <w:tcPr/>
                <w:p>
                  <w:pPr>
                    <w:pStyle w:val="Compact"/>
                    <w:jc w:val="left"/>
                    <w:jc w:val="center"/>
                  </w:pPr>
                  <w:r>
                    <w:t xml:space="preserve">76</w:t>
                  </w:r>
                </w:p>
              </w:tc>
              <w:tc>
                <w:tcPr/>
                <w:p>
                  <w:pPr>
                    <w:pStyle w:val="Compact"/>
                    <w:jc w:val="left"/>
                    <w:jc w:val="center"/>
                  </w:pPr>
                  <w:r>
                    <w:t xml:space="preserve">#TODOS</w:t>
                  </w:r>
                </w:p>
              </w:tc>
              <w:tc>
                <w:tcPr/>
                <w:p>
                  <w:pPr>
                    <w:pStyle w:val="Compact"/>
                    <w:jc w:val="left"/>
                    <w:jc w:val="center"/>
                  </w:pPr>
                  <w:r>
                    <w:t xml:space="preserve">#TODOS</w:t>
                  </w:r>
                </w:p>
              </w:tc>
              <w:tc>
                <w:tcPr/>
                <w:p>
                  <w:pPr>
                    <w:pStyle w:val="Compact"/>
                    <w:jc w:val="left"/>
                    <w:jc w:val="center"/>
                  </w:pPr>
                  <w:r>
                    <w:t xml:space="preserve">2,024</w:t>
                  </w:r>
                </w:p>
              </w:tc>
              <w:tc>
                <w:tcPr/>
                <w:p>
                  <w:pPr>
                    <w:pStyle w:val="Compact"/>
                    <w:jc w:val="left"/>
                    <w:jc w:val="center"/>
                  </w:pPr>
                  <w:r>
                    <w:t xml:space="preserve">3.9</w:t>
                  </w:r>
                </w:p>
              </w:tc>
              <w:tc>
                <w:tcPr/>
                <w:p>
                  <w:pPr>
                    <w:pStyle w:val="Compact"/>
                    <w:jc w:val="left"/>
                    <w:jc w:val="center"/>
                  </w:pPr>
                  <w:r>
                    <w:t xml:space="preserve">0.4</w:t>
                  </w:r>
                </w:p>
              </w:tc>
              <w:tc>
                <w:tcPr/>
                <w:p>
                  <w:pPr>
                    <w:pStyle w:val="Compact"/>
                    <w:jc w:val="left"/>
                    <w:jc w:val="center"/>
                  </w:pPr>
                  <w:r>
                    <w:t xml:space="preserve">12.5</w:t>
                  </w:r>
                </w:p>
              </w:tc>
            </w:tr>
          </w:tbl>
          <w:bookmarkEnd w:id="26"/>
          <w:p/>
        </w:tc>
      </w:tr>
    </w:tbl>
    <w:bookmarkEnd w:id="27"/>
    <w:bookmarkStart w:id="29" w:name="what-identifies-a-row"/>
    <w:p>
      <w:pPr>
        <w:pStyle w:val="Heading2"/>
      </w:pPr>
      <w:r>
        <w:t xml:space="preserve">2.2 What identifies a row</w:t>
      </w:r>
    </w:p>
    <w:p>
      <w:pPr>
        <w:pStyle w:val="FirstParagraph"/>
      </w:pPr>
      <w:hyperlink w:anchor="tbl-keys">
        <w:r>
          <w:rPr>
            <w:rStyle w:val="Hyperlink"/>
          </w:rPr>
          <w:t xml:space="preserve">Table 3</w:t>
        </w:r>
      </w:hyperlink>
      <w:r>
        <w:t xml:space="preserve"> </w:t>
      </w:r>
      <w:r>
        <w:t xml:space="preserve">tests candidate identifiers on the municipal rows. A municipality</w:t>
      </w:r>
      <w:r>
        <w:t xml:space="preserve"> </w:t>
      </w:r>
      <w:r>
        <w:t xml:space="preserve">code alone recurs across years. A municipality name with a year is not</w:t>
      </w:r>
      <w:r>
        <w:t xml:space="preserve"> </w:t>
      </w:r>
      <w:r>
        <w:t xml:space="preserve">unique either, because 63 names are shared by</w:t>
      </w:r>
      <w:r>
        <w:t xml:space="preserve"> </w:t>
      </w:r>
      <w:r>
        <w:t xml:space="preserve">municipalities in different departments. Adding the department name makes</w:t>
      </w:r>
      <w:r>
        <w:t xml:space="preserve"> </w:t>
      </w:r>
      <w:r>
        <w:t xml:space="preserve">the key unique, but names are not stable: municipality 76001 appears as</w:t>
      </w:r>
      <w:r>
        <w:t xml:space="preserve"> </w:t>
      </w:r>
      <w:r>
        <w:t xml:space="preserve">“Santiago de Cali”</w:t>
      </w:r>
      <w:r>
        <w:t xml:space="preserve"> </w:t>
      </w:r>
      <w:r>
        <w:t xml:space="preserve">and as</w:t>
      </w:r>
      <w:r>
        <w:t xml:space="preserve"> </w:t>
      </w:r>
      <w:r>
        <w:t xml:space="preserve">“Cali”</w:t>
      </w:r>
      <w:r>
        <w:t xml:space="preserve">, and over the period more than one name is</w:t>
      </w:r>
      <w:r>
        <w:t xml:space="preserve"> </w:t>
      </w:r>
      <w:r>
        <w:t xml:space="preserve">attached to 1 of the 1,095 codes. The</w:t>
      </w:r>
      <w:r>
        <w:t xml:space="preserve"> </w:t>
      </w:r>
      <w:r>
        <w:t xml:space="preserve">municipality code with the year identifies every municipal row exactly once,</w:t>
      </w:r>
      <w:r>
        <w:t xml:space="preserve"> </w:t>
      </w:r>
      <w:r>
        <w:t xml:space="preserve">and because the first two digits of every municipality code equal the</w:t>
      </w:r>
      <w:r>
        <w:t xml:space="preserve"> </w:t>
      </w:r>
      <w:r>
        <w:t xml:space="preserve">department code, the department adds no information. On the aggregate rows,</w:t>
      </w:r>
      <w:r>
        <w:t xml:space="preserve"> </w:t>
      </w:r>
      <w:r>
        <w:t xml:space="preserve">department code with year is likewise unique.</w:t>
      </w:r>
    </w:p>
    <w:tbl>
      <w:tblPr>
        <w:tblStyle w:val="Table"/>
        <w:tblW w:type="pct" w:w="5000"/>
        <w:tblLayout w:type="fixed"/>
        <w:tblLook w:firstRow="0" w:lastRow="0" w:firstColumn="0" w:lastColumn="0" w:noHBand="0" w:noVBand="0" w:val="0000"/>
      </w:tblPr>
      <w:tblGrid>
        <w:gridCol w:w="7920"/>
      </w:tblGrid>
      <w:tr>
        <w:tc>
          <w:tcPr/>
          <w:bookmarkStart w:id="28" w:name="tbl-keys"/>
          <w:p>
            <w:pPr>
              <w:jc w:val="center"/>
            </w:pPr>
            <w:pPr>
              <w:jc w:val="start"/>
              <w:spacing w:before="200"/>
              <w:pStyle w:val="ImageCaption"/>
            </w:pPr>
            <w:r>
              <w:t xml:space="preserve">Table 3: Candidate identifiers tested on the municipal rows and, in the last line, on the department aggregate rows.</w:t>
            </w:r>
          </w:p>
          <w:tbl>
            <w:tblPr>
              <w:tblStyle w:val="Table"/>
              <w:tblW w:type="pct" w:w="5000"/>
              <w:tblLayout w:type="fixed"/>
              <w:tblLook w:firstRow="1" w:lastRow="0" w:firstColumn="0" w:lastColumn="0" w:noHBand="0" w:noVBand="0" w:val="0020"/>
            </w:tblPr>
            <w:tblGrid>
              <w:gridCol w:w="4153"/>
              <w:gridCol w:w="1545"/>
              <w:gridCol w:w="676"/>
              <w:gridCol w:w="1545"/>
            </w:tblGrid>
            <w:tr>
              <w:trPr>
                <w:tblHeader w:val="on"/>
              </w:trPr>
              <w:tc>
                <w:tcPr/>
                <w:p>
                  <w:pPr>
                    <w:pStyle w:val="Compact"/>
                    <w:jc w:val="left"/>
                    <w:jc w:val="center"/>
                  </w:pPr>
                  <w:r>
                    <w:t xml:space="preserve">Candidate key</w:t>
                  </w:r>
                </w:p>
              </w:tc>
              <w:tc>
                <w:tcPr/>
                <w:p>
                  <w:pPr>
                    <w:pStyle w:val="Compact"/>
                    <w:jc w:val="right"/>
                    <w:jc w:val="center"/>
                  </w:pPr>
                  <w:r>
                    <w:t xml:space="preserve">Distinct values</w:t>
                  </w:r>
                </w:p>
              </w:tc>
              <w:tc>
                <w:tcPr/>
                <w:p>
                  <w:pPr>
                    <w:pStyle w:val="Compact"/>
                    <w:jc w:val="right"/>
                    <w:jc w:val="center"/>
                  </w:pPr>
                  <w:r>
                    <w:t xml:space="preserve">Rows</w:t>
                  </w:r>
                </w:p>
              </w:tc>
              <w:tc>
                <w:tcPr/>
                <w:p>
                  <w:pPr>
                    <w:pStyle w:val="Compact"/>
                    <w:jc w:val="right"/>
                    <w:jc w:val="center"/>
                  </w:pPr>
                  <w:r>
                    <w:t xml:space="preserve">Duplicated rows</w:t>
                  </w:r>
                </w:p>
              </w:tc>
            </w:tr>
            <w:tr>
              <w:tc>
                <w:tcPr/>
                <w:p>
                  <w:pPr>
                    <w:pStyle w:val="Compact"/>
                    <w:jc w:val="left"/>
                    <w:jc w:val="center"/>
                  </w:pPr>
                  <w:r>
                    <w:t xml:space="preserve">Municipality code</w:t>
                  </w:r>
                </w:p>
              </w:tc>
              <w:tc>
                <w:tcPr/>
                <w:p>
                  <w:pPr>
                    <w:pStyle w:val="Compact"/>
                    <w:jc w:val="right"/>
                    <w:jc w:val="center"/>
                  </w:pPr>
                  <w:r>
                    <w:t xml:space="preserve">1,095</w:t>
                  </w:r>
                </w:p>
              </w:tc>
              <w:tc>
                <w:tcPr/>
                <w:p>
                  <w:pPr>
                    <w:pStyle w:val="Compact"/>
                    <w:jc w:val="right"/>
                    <w:jc w:val="center"/>
                  </w:pPr>
                  <w:r>
                    <w:t xml:space="preserve">18,591</w:t>
                  </w:r>
                </w:p>
              </w:tc>
              <w:tc>
                <w:tcPr/>
                <w:p>
                  <w:pPr>
                    <w:pStyle w:val="Compact"/>
                    <w:jc w:val="right"/>
                    <w:jc w:val="center"/>
                  </w:pPr>
                  <w:r>
                    <w:t xml:space="preserve">17,496</w:t>
                  </w:r>
                </w:p>
              </w:tc>
            </w:tr>
            <w:tr>
              <w:tc>
                <w:tcPr/>
                <w:p>
                  <w:pPr>
                    <w:pStyle w:val="Compact"/>
                    <w:jc w:val="left"/>
                    <w:jc w:val="center"/>
                  </w:pPr>
                  <w:r>
                    <w:t xml:space="preserve">Municipality name + year</w:t>
                  </w:r>
                </w:p>
              </w:tc>
              <w:tc>
                <w:tcPr/>
                <w:p>
                  <w:pPr>
                    <w:pStyle w:val="Compact"/>
                    <w:jc w:val="right"/>
                    <w:jc w:val="center"/>
                  </w:pPr>
                  <w:r>
                    <w:t xml:space="preserve">17,249</w:t>
                  </w:r>
                </w:p>
              </w:tc>
              <w:tc>
                <w:tcPr/>
                <w:p>
                  <w:pPr>
                    <w:pStyle w:val="Compact"/>
                    <w:jc w:val="right"/>
                    <w:jc w:val="center"/>
                  </w:pPr>
                  <w:r>
                    <w:t xml:space="preserve">18,591</w:t>
                  </w:r>
                </w:p>
              </w:tc>
              <w:tc>
                <w:tcPr/>
                <w:p>
                  <w:pPr>
                    <w:pStyle w:val="Compact"/>
                    <w:jc w:val="right"/>
                    <w:jc w:val="center"/>
                  </w:pPr>
                  <w:r>
                    <w:t xml:space="preserve">1,342</w:t>
                  </w:r>
                </w:p>
              </w:tc>
            </w:tr>
            <w:tr>
              <w:tc>
                <w:tcPr/>
                <w:p>
                  <w:pPr>
                    <w:pStyle w:val="Compact"/>
                    <w:jc w:val="left"/>
                    <w:jc w:val="center"/>
                  </w:pPr>
                  <w:r>
                    <w:t xml:space="preserve">Department name + municipality name + year</w:t>
                  </w:r>
                </w:p>
              </w:tc>
              <w:tc>
                <w:tcPr/>
                <w:p>
                  <w:pPr>
                    <w:pStyle w:val="Compact"/>
                    <w:jc w:val="right"/>
                    <w:jc w:val="center"/>
                  </w:pPr>
                  <w:r>
                    <w:t xml:space="preserve">18,591</w:t>
                  </w:r>
                </w:p>
              </w:tc>
              <w:tc>
                <w:tcPr/>
                <w:p>
                  <w:pPr>
                    <w:pStyle w:val="Compact"/>
                    <w:jc w:val="right"/>
                    <w:jc w:val="center"/>
                  </w:pPr>
                  <w:r>
                    <w:t xml:space="preserve">18,591</w:t>
                  </w:r>
                </w:p>
              </w:tc>
              <w:tc>
                <w:tcPr/>
                <w:p>
                  <w:pPr>
                    <w:pStyle w:val="Compact"/>
                    <w:jc w:val="right"/>
                    <w:jc w:val="center"/>
                  </w:pPr>
                  <w:r>
                    <w:t xml:space="preserve">0</w:t>
                  </w:r>
                </w:p>
              </w:tc>
            </w:tr>
            <w:tr>
              <w:tc>
                <w:tcPr/>
                <w:p>
                  <w:pPr>
                    <w:pStyle w:val="Compact"/>
                    <w:jc w:val="left"/>
                    <w:jc w:val="center"/>
                  </w:pPr>
                  <w:r>
                    <w:t xml:space="preserve">Municipality code + year</w:t>
                  </w:r>
                </w:p>
              </w:tc>
              <w:tc>
                <w:tcPr/>
                <w:p>
                  <w:pPr>
                    <w:pStyle w:val="Compact"/>
                    <w:jc w:val="right"/>
                    <w:jc w:val="center"/>
                  </w:pPr>
                  <w:r>
                    <w:t xml:space="preserve">18,591</w:t>
                  </w:r>
                </w:p>
              </w:tc>
              <w:tc>
                <w:tcPr/>
                <w:p>
                  <w:pPr>
                    <w:pStyle w:val="Compact"/>
                    <w:jc w:val="right"/>
                    <w:jc w:val="center"/>
                  </w:pPr>
                  <w:r>
                    <w:t xml:space="preserve">18,591</w:t>
                  </w:r>
                </w:p>
              </w:tc>
              <w:tc>
                <w:tcPr/>
                <w:p>
                  <w:pPr>
                    <w:pStyle w:val="Compact"/>
                    <w:jc w:val="right"/>
                    <w:jc w:val="center"/>
                  </w:pPr>
                  <w:r>
                    <w:t xml:space="preserve">0</w:t>
                  </w:r>
                </w:p>
              </w:tc>
            </w:tr>
            <w:tr>
              <w:tc>
                <w:tcPr/>
                <w:p>
                  <w:pPr>
                    <w:pStyle w:val="Compact"/>
                    <w:jc w:val="left"/>
                    <w:jc w:val="center"/>
                  </w:pPr>
                  <w:r>
                    <w:t xml:space="preserve">Department code + year (aggregate rows)</w:t>
                  </w:r>
                </w:p>
              </w:tc>
              <w:tc>
                <w:tcPr/>
                <w:p>
                  <w:pPr>
                    <w:pStyle w:val="Compact"/>
                    <w:jc w:val="right"/>
                    <w:jc w:val="center"/>
                  </w:pPr>
                  <w:r>
                    <w:t xml:space="preserve">569</w:t>
                  </w:r>
                </w:p>
              </w:tc>
              <w:tc>
                <w:tcPr/>
                <w:p>
                  <w:pPr>
                    <w:pStyle w:val="Compact"/>
                    <w:jc w:val="right"/>
                    <w:jc w:val="center"/>
                  </w:pPr>
                  <w:r>
                    <w:t xml:space="preserve">569</w:t>
                  </w:r>
                </w:p>
              </w:tc>
              <w:tc>
                <w:tcPr/>
                <w:p>
                  <w:pPr>
                    <w:pStyle w:val="Compact"/>
                    <w:jc w:val="right"/>
                    <w:jc w:val="center"/>
                  </w:pPr>
                  <w:r>
                    <w:t xml:space="preserve">0</w:t>
                  </w:r>
                </w:p>
              </w:tc>
            </w:tr>
          </w:tbl>
          <w:bookmarkEnd w:id="28"/>
          <w:p/>
        </w:tc>
      </w:tr>
    </w:tbl>
    <w:p>
      <w:pPr>
        <w:pStyle w:val="BodyText"/>
      </w:pPr>
      <w:r>
        <w:t xml:space="preserve">The municipal rows cover 1,095 municipality codes in</w:t>
      </w:r>
      <w:r>
        <w:t xml:space="preserve"> </w:t>
      </w:r>
      <w:r>
        <w:t xml:space="preserve">33 departments over 18 years, 2007 to</w:t>
      </w:r>
      <w:r>
        <w:t xml:space="preserve"> </w:t>
      </w:r>
      <w:r>
        <w:t xml:space="preserve">2024.</w:t>
      </w:r>
    </w:p>
    <w:bookmarkEnd w:id="29"/>
    <w:bookmarkStart w:id="30" w:name="the-municipality-year-and-its-limits"/>
    <w:p>
      <w:pPr>
        <w:pStyle w:val="Heading2"/>
      </w:pPr>
      <w:r>
        <w:t xml:space="preserve">2.3 The municipality-year and its limits</w:t>
      </w:r>
    </w:p>
    <w:p>
      <w:pPr>
        <w:pStyle w:val="FirstParagraph"/>
      </w:pPr>
      <w:r>
        <w:t xml:space="preserve">The observational unit is therefore the</w:t>
      </w:r>
      <w:r>
        <w:t xml:space="preserve"> </w:t>
      </w:r>
      <w:r>
        <w:rPr>
          <w:b/>
          <w:bCs/>
        </w:rPr>
        <w:t xml:space="preserve">municipality-year</w:t>
      </w:r>
      <w:r>
        <w:t xml:space="preserve">. One row</w:t>
      </w:r>
      <w:r>
        <w:t xml:space="preserve"> </w:t>
      </w:r>
      <w:r>
        <w:t xml:space="preserve">records, for one municipality in one calendar year, the annual IRCA of the</w:t>
      </w:r>
      <w:r>
        <w:t xml:space="preserve"> </w:t>
      </w:r>
      <w:r>
        <w:t xml:space="preserve">municipality as a whole and of its urban and rural areas, with the risk band</w:t>
      </w:r>
      <w:r>
        <w:t xml:space="preserve"> </w:t>
      </w:r>
      <w:r>
        <w:t xml:space="preserve">of each. The department-year rows marked</w:t>
      </w:r>
      <w:r>
        <w:t xml:space="preserve"> </w:t>
      </w:r>
      <w:r>
        <w:rPr>
          <w:rStyle w:val="VerbatimChar"/>
        </w:rPr>
        <w:t xml:space="preserve">#TODOS</w:t>
      </w:r>
      <w:r>
        <w:t xml:space="preserve"> </w:t>
      </w:r>
      <w:r>
        <w:t xml:space="preserve">are a second, coarser set</w:t>
      </w:r>
      <w:r>
        <w:t xml:space="preserve"> </w:t>
      </w:r>
      <w:r>
        <w:t xml:space="preserve">of units derived from the same surveillance; they must be separated from the</w:t>
      </w:r>
      <w:r>
        <w:t xml:space="preserve"> </w:t>
      </w:r>
      <w:r>
        <w:t xml:space="preserve">municipal rows before any count or average, or departments will be counted</w:t>
      </w:r>
      <w:r>
        <w:t xml:space="preserve"> </w:t>
      </w:r>
      <w:r>
        <w:t xml:space="preserve">twice.</w:t>
      </w:r>
    </w:p>
    <w:p>
      <w:pPr>
        <w:pStyle w:val="BodyText"/>
      </w:pPr>
      <w:r>
        <w:t xml:space="preserve">It is equally important what the unit is not. The IRCA of a</w:t>
      </w:r>
      <w:r>
        <w:t xml:space="preserve"> </w:t>
      </w:r>
      <w:r>
        <w:t xml:space="preserve">municipality-year is a consolidation of many water samples taken over the</w:t>
      </w:r>
      <w:r>
        <w:t xml:space="preserve"> </w:t>
      </w:r>
      <w:r>
        <w:t xml:space="preserve">year, but the samples, the supply systems, the sampling points and the</w:t>
      </w:r>
      <w:r>
        <w:t xml:space="preserve"> </w:t>
      </w:r>
      <w:r>
        <w:t xml:space="preserve">months are not in the file, and the number of samples behind a value is</w:t>
      </w:r>
      <w:r>
        <w:t xml:space="preserve"> </w:t>
      </w:r>
      <w:r>
        <w:t xml:space="preserve">unknown. A row is the annual summary of a municipality’s surveillance, not</w:t>
      </w:r>
      <w:r>
        <w:t xml:space="preserve"> </w:t>
      </w:r>
      <w:r>
        <w:t xml:space="preserve">an observation of any water supply. For any join or panel construction the</w:t>
      </w:r>
      <w:r>
        <w:t xml:space="preserve"> </w:t>
      </w:r>
      <w:r>
        <w:t xml:space="preserve">numeric code, not the name, is the key.</w:t>
      </w:r>
    </w:p>
    <w:p>
      <w:r>
        <w:br w:type="page"/>
      </w:r>
    </w:p>
    <w:bookmarkEnd w:id="30"/>
    <w:bookmarkEnd w:id="31"/>
    <w:bookmarkStart w:id="48" w:name="completeness-of-the-data"/>
    <w:p>
      <w:pPr>
        <w:pStyle w:val="Heading1"/>
      </w:pPr>
      <w:r>
        <w:t xml:space="preserve">3. Completeness of the data</w:t>
      </w:r>
    </w:p>
    <w:p>
      <w:pPr>
        <w:pStyle w:val="FirstParagraph"/>
      </w:pPr>
      <w:r>
        <w:t xml:space="preserve">Incompleteness can occur at three levels, and the picture differs at each. A</w:t>
      </w:r>
      <w:r>
        <w:t xml:space="preserve"> </w:t>
      </w:r>
      <w:r>
        <w:t xml:space="preserve">row can exist but lack a value (a missing value). A municipality can lack a</w:t>
      </w:r>
      <w:r>
        <w:t xml:space="preserve"> </w:t>
      </w:r>
      <w:r>
        <w:t xml:space="preserve">row in a year in which other municipalities have one (a missing unit). A</w:t>
      </w:r>
      <w:r>
        <w:t xml:space="preserve"> </w:t>
      </w:r>
      <w:r>
        <w:t xml:space="preserve">year can be absent altogether, or absent from the series of a particular</w:t>
      </w:r>
      <w:r>
        <w:t xml:space="preserve"> </w:t>
      </w:r>
      <w:r>
        <w:t xml:space="preserve">municipality (a missing year).</w:t>
      </w:r>
    </w:p>
    <w:bookmarkStart w:id="37" w:name="missing-values-within-rows"/>
    <w:p>
      <w:pPr>
        <w:pStyle w:val="Heading2"/>
      </w:pPr>
      <w:r>
        <w:t xml:space="preserve">3.1 Missing values within rows</w:t>
      </w:r>
    </w:p>
    <w:p>
      <w:pPr>
        <w:pStyle w:val="FirstParagraph"/>
      </w:pPr>
      <w:r>
        <w:t xml:space="preserve">No cell is empty (0 empty cells), and the overall IRCA and its</w:t>
      </w:r>
      <w:r>
        <w:t xml:space="preserve"> </w:t>
      </w:r>
      <w:r>
        <w:t xml:space="preserve">band are never missing (0 rows). Missingness lives entirely in</w:t>
      </w:r>
      <w:r>
        <w:t xml:space="preserve"> </w:t>
      </w:r>
      <w:r>
        <w:t xml:space="preserve">the urban and rural components, encoded by</w:t>
      </w:r>
      <w:r>
        <w:t xml:space="preserve"> </w:t>
      </w:r>
      <w:r>
        <w:rPr>
          <w:rStyle w:val="VerbatimChar"/>
        </w:rPr>
        <w:t xml:space="preserve">ND</w:t>
      </w:r>
      <w:r>
        <w:t xml:space="preserve">, always for the value and</w:t>
      </w:r>
      <w:r>
        <w:t xml:space="preserve"> </w:t>
      </w:r>
      <w:r>
        <w:t xml:space="preserve">its band together. In the municipal rows the rural index is missing in</w:t>
      </w:r>
      <w:r>
        <w:t xml:space="preserve"> </w:t>
      </w:r>
      <w:r>
        <w:t xml:space="preserve">51% of rows and the urban index in</w:t>
      </w:r>
      <w:r>
        <w:t xml:space="preserve"> </w:t>
      </w:r>
      <w:r>
        <w:t xml:space="preserve">7%; only 47% of rows carry all</w:t>
      </w:r>
      <w:r>
        <w:t xml:space="preserve"> </w:t>
      </w:r>
      <w:r>
        <w:t xml:space="preserve">three indices, and 917 rows carry an overall index with</w:t>
      </w:r>
      <w:r>
        <w:t xml:space="preserve"> </w:t>
      </w:r>
      <w:r>
        <w:t xml:space="preserve">neither component. Department aggregates are better filled: the rural index</w:t>
      </w:r>
      <w:r>
        <w:t xml:space="preserve"> </w:t>
      </w:r>
      <w:r>
        <w:t xml:space="preserve">is missing in 14% of them. Every reported band</w:t>
      </w:r>
      <w:r>
        <w:t xml:space="preserve"> </w:t>
      </w:r>
      <w:r>
        <w:t xml:space="preserve">agrees with the band implied by its value</w:t>
      </w:r>
      <w:r>
        <w:t xml:space="preserve"> </w:t>
      </w:r>
      <w:r>
        <w:t xml:space="preserve">(0 disagreements in</w:t>
      </w:r>
      <w:r>
        <w:t xml:space="preserve"> </w:t>
      </w:r>
      <w:r>
        <w:t xml:space="preserve">46,597 values).</w:t>
      </w:r>
    </w:p>
    <w:p>
      <w:pPr>
        <w:pStyle w:val="BodyText"/>
      </w:pPr>
      <w:r>
        <w:t xml:space="preserve">The rural gap has changed over time (</w:t>
      </w:r>
      <w:hyperlink w:anchor="fig-nd-year">
        <w:r>
          <w:rPr>
            <w:rStyle w:val="Hyperlink"/>
          </w:rPr>
          <w:t xml:space="preserve">Figure 2</w:t>
        </w:r>
      </w:hyperlink>
      <w:r>
        <w:t xml:space="preserve">). It affected</w:t>
      </w:r>
      <w:r>
        <w:t xml:space="preserve"> </w:t>
      </w:r>
      <w:r>
        <w:t xml:space="preserve">77% of rows in 2007, fell to around 40% by</w:t>
      </w:r>
      <w:r>
        <w:t xml:space="preserve"> </w:t>
      </w:r>
      <w:r>
        <w:t xml:space="preserve">2010, and has stayed above half since 2016. The urban index is rarely</w:t>
      </w:r>
      <w:r>
        <w:t xml:space="preserve"> </w:t>
      </w:r>
      <w:r>
        <w:t xml:space="preserve">missing except in 2016 and 2017, peaking at 24% in</w:t>
      </w:r>
      <w:r>
        <w:t xml:space="preserve"> </w:t>
      </w:r>
      <w:r>
        <w:t xml:space="preserve">2017, when both components go missing together, which</w:t>
      </w:r>
      <w:r>
        <w:t xml:space="preserve"> </w:t>
      </w:r>
      <w:r>
        <w:t xml:space="preserve">suggests a reporting artefact rather than a change in sampling. The rural</w:t>
      </w:r>
      <w:r>
        <w:t xml:space="preserve"> </w:t>
      </w:r>
      <w:r>
        <w:t xml:space="preserve">gap is intermittent rather than structural: 148</w:t>
      </w:r>
      <w:r>
        <w:t xml:space="preserve"> </w:t>
      </w:r>
      <w:r>
        <w:t xml:space="preserve">municipalities never report a rural index, 48 always do, and</w:t>
      </w:r>
      <w:r>
        <w:t xml:space="preserve"> </w:t>
      </w:r>
      <w:r>
        <w:t xml:space="preserve">899 alternate.</w:t>
      </w:r>
    </w:p>
    <w:p>
      <w:pPr>
        <w:pStyle w:val="BodyText"/>
      </w:pPr>
      <w:r>
        <w:t xml:space="preserve">Two things distinguish</w:t>
      </w:r>
      <w:r>
        <w:t xml:space="preserve"> </w:t>
      </w:r>
      <w:r>
        <w:rPr>
          <w:rStyle w:val="VerbatimChar"/>
        </w:rPr>
        <w:t xml:space="preserve">ND</w:t>
      </w:r>
      <w:r>
        <w:t xml:space="preserve"> </w:t>
      </w:r>
      <w:r>
        <w:t xml:space="preserve">from a missing unit. Definitionally, a row with</w:t>
      </w:r>
      <w:r>
        <w:t xml:space="preserve"> </w:t>
      </w:r>
      <w:r>
        <w:rPr>
          <w:rStyle w:val="VerbatimChar"/>
        </w:rPr>
        <w:t xml:space="preserve">ND</w:t>
      </w:r>
      <w:r>
        <w:t xml:space="preserve"> </w:t>
      </w:r>
      <w:r>
        <w:t xml:space="preserve">still carries an overall index, whereas an absent municipality-year</w:t>
      </w:r>
      <w:r>
        <w:t xml:space="preserve"> </w:t>
      </w:r>
      <w:r>
        <w:t xml:space="preserve">carries nothing. Empirically,</w:t>
      </w:r>
      <w:r>
        <w:t xml:space="preserve"> </w:t>
      </w:r>
      <w:r>
        <w:rPr>
          <w:rStyle w:val="VerbatimChar"/>
        </w:rPr>
        <w:t xml:space="preserve">ND</w:t>
      </w:r>
      <w:r>
        <w:t xml:space="preserve"> </w:t>
      </w:r>
      <w:r>
        <w:t xml:space="preserve">does not always mean that no rural</w:t>
      </w:r>
      <w:r>
        <w:t xml:space="preserve"> </w:t>
      </w:r>
      <w:r>
        <w:t xml:space="preserve">samples were taken: among the 8,621 rows with a rural</w:t>
      </w:r>
      <w:r>
        <w:t xml:space="preserve"> </w:t>
      </w:r>
      <w:r>
        <w:rPr>
          <w:rStyle w:val="VerbatimChar"/>
        </w:rPr>
        <w:t xml:space="preserve">ND</w:t>
      </w:r>
      <w:r>
        <w:t xml:space="preserve"> </w:t>
      </w:r>
      <w:r>
        <w:t xml:space="preserve">and</w:t>
      </w:r>
      <w:r>
        <w:t xml:space="preserve"> </w:t>
      </w:r>
      <w:r>
        <w:t xml:space="preserve">an urban value, the overall index equals the urban index in</w:t>
      </w:r>
      <w:r>
        <w:t xml:space="preserve"> </w:t>
      </w:r>
      <w:r>
        <w:t xml:space="preserve">87% of cases, but in 785 rows</w:t>
      </w:r>
      <w:r>
        <w:t xml:space="preserve"> </w:t>
      </w:r>
      <w:r>
        <w:t xml:space="preserve">the two differ by more than one point, so rural samples entered the overall</w:t>
      </w:r>
      <w:r>
        <w:t xml:space="preserve"> </w:t>
      </w:r>
      <w:r>
        <w:t xml:space="preserve">index even though the rural component is reported as unavailable.</w:t>
      </w:r>
    </w:p>
    <w:bookmarkStart w:id="36" w:name="cell-fig-nd-year"/>
    <w:tbl>
      <w:tblPr>
        <w:tblStyle w:val="Table"/>
        <w:tblW w:type="pct" w:w="5000"/>
        <w:tblLayout w:type="fixed"/>
        <w:tblLook w:firstRow="0" w:lastRow="0" w:firstColumn="0" w:lastColumn="0" w:noHBand="0" w:noVBand="0" w:val="0000"/>
      </w:tblPr>
      <w:tblGrid>
        <w:gridCol w:w="7920"/>
      </w:tblGrid>
      <w:tr>
        <w:tc>
          <w:tcPr/>
          <w:bookmarkStart w:id="35" w:name="fig-nd-year"/>
          <w:p>
            <w:pPr>
              <w:pStyle w:val="Compact"/>
              <w:jc w:val="center"/>
            </w:pPr>
            <w:r>
              <w:drawing>
                <wp:inline>
                  <wp:extent cx="5334000" cy="1969476"/>
                  <wp:effectExtent b="0" l="0" r="0" t="0"/>
                  <wp:docPr descr="" title="" id="33" name="Picture"/>
                  <a:graphic>
                    <a:graphicData uri="http://schemas.openxmlformats.org/drawingml/2006/picture">
                      <pic:pic>
                        <pic:nvPicPr>
                          <pic:cNvPr descr="index_files/figure-docx/fig-nd-year-1.png" id="34" name="Picture"/>
                          <pic:cNvPicPr>
                            <a:picLocks noChangeArrowheads="1" noChangeAspect="1"/>
                          </pic:cNvPicPr>
                        </pic:nvPicPr>
                        <pic:blipFill>
                          <a:blip r:embed="rId32"/>
                          <a:stretch>
                            <a:fillRect/>
                          </a:stretch>
                        </pic:blipFill>
                        <pic:spPr bwMode="auto">
                          <a:xfrm>
                            <a:off x="0" y="0"/>
                            <a:ext cx="5334000" cy="1969476"/>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Share of municipal rows in which the urban index, the rural index, or both are reported as ND, by year.</w:t>
            </w:r>
          </w:p>
          <w:bookmarkEnd w:id="35"/>
        </w:tc>
      </w:tr>
    </w:tbl>
    <w:bookmarkEnd w:id="36"/>
    <w:bookmarkEnd w:id="37"/>
    <w:bookmarkStart w:id="44" w:name="missing-observational-units"/>
    <w:p>
      <w:pPr>
        <w:pStyle w:val="Heading2"/>
      </w:pPr>
      <w:r>
        <w:t xml:space="preserve">3.2 Missing observational units</w:t>
      </w:r>
    </w:p>
    <w:p>
      <w:pPr>
        <w:pStyle w:val="FirstParagraph"/>
      </w:pPr>
      <w:hyperlink w:anchor="tbl-frames">
        <w:r>
          <w:rPr>
            <w:rStyle w:val="Hyperlink"/>
          </w:rPr>
          <w:t xml:space="preserve">Table 4</w:t>
        </w:r>
      </w:hyperlink>
      <w:r>
        <w:t xml:space="preserve"> </w:t>
      </w:r>
      <w:r>
        <w:t xml:space="preserve">counts the units that are expected and observed under each</w:t>
      </w:r>
      <w:r>
        <w:t xml:space="preserve"> </w:t>
      </w:r>
      <w:r>
        <w:t xml:space="preserve">frame. Against the file’s own frame, 5.7% of</w:t>
      </w:r>
      <w:r>
        <w:t xml:space="preserve"> </w:t>
      </w:r>
      <w:r>
        <w:t xml:space="preserve">municipality-years are absent; against the national register,</w:t>
      </w:r>
      <w:r>
        <w:t xml:space="preserve"> </w:t>
      </w:r>
      <w:r>
        <w:t xml:space="preserve">6.4%, because 8 municipalities never</w:t>
      </w:r>
      <w:r>
        <w:t xml:space="preserve"> </w:t>
      </w:r>
      <w:r>
        <w:t xml:space="preserve">appear at all (Antioquia: Murindó, Vigía del Fuerte; Chocó: El Cantón del San Pablo, Istmina, Medio Baudó, Riosucio, Río Quito, Unguía). Coverage improved from 2007 to</w:t>
      </w:r>
      <w:r>
        <w:t xml:space="preserve"> </w:t>
      </w:r>
      <w:r>
        <w:t xml:space="preserve">2019, when only 23 municipalities were</w:t>
      </w:r>
      <w:r>
        <w:t xml:space="preserve"> </w:t>
      </w:r>
      <w:r>
        <w:t xml:space="preserve">absent, and has weakened since 2020; 2022 is the least</w:t>
      </w:r>
      <w:r>
        <w:t xml:space="preserve"> </w:t>
      </w:r>
      <w:r>
        <w:t xml:space="preserve">complete year, with 142 absent. Department aggregates are</w:t>
      </w:r>
      <w:r>
        <w:t xml:space="preserve"> </w:t>
      </w:r>
      <w:r>
        <w:t xml:space="preserve">absent in 25 department-years, exactly those in which the</w:t>
      </w:r>
      <w:r>
        <w:t xml:space="preserve"> </w:t>
      </w:r>
      <w:r>
        <w:t xml:space="preserve">department reported no municipality at all (0</w:t>
      </w:r>
      <w:r>
        <w:t xml:space="preserve"> </w:t>
      </w:r>
      <w:r>
        <w:t xml:space="preserve">exceptions), so the aggregate rows add no coverage of their own.</w:t>
      </w:r>
    </w:p>
    <w:tbl>
      <w:tblPr>
        <w:tblStyle w:val="Table"/>
        <w:tblW w:type="pct" w:w="5000"/>
        <w:tblLayout w:type="fixed"/>
        <w:tblLook w:firstRow="0" w:lastRow="0" w:firstColumn="0" w:lastColumn="0" w:noHBand="0" w:noVBand="0" w:val="0000"/>
      </w:tblPr>
      <w:tblGrid>
        <w:gridCol w:w="7920"/>
      </w:tblGrid>
      <w:tr>
        <w:tc>
          <w:tcPr/>
          <w:bookmarkStart w:id="38" w:name="tbl-frames"/>
          <w:p>
            <w:pPr>
              <w:jc w:val="center"/>
            </w:pPr>
            <w:pPr>
              <w:jc w:val="start"/>
              <w:spacing w:before="200"/>
              <w:pStyle w:val="ImageCaption"/>
            </w:pPr>
            <w:r>
              <w:t xml:space="preserve">Table 4: Expected and observed units under the internal frame (codes present at least once by years present at least once) and the external frame (DANE 2020 municipal register, non-municipalised areas excluded).</w:t>
            </w:r>
          </w:p>
          <w:tbl>
            <w:tblPr>
              <w:tblStyle w:val="Table"/>
              <w:tblW w:type="pct" w:w="5000"/>
              <w:tblLayout w:type="fixed"/>
              <w:tblLook w:firstRow="1" w:lastRow="0" w:firstColumn="0" w:lastColumn="0" w:noHBand="0" w:noVBand="0" w:val="0020"/>
            </w:tblPr>
            <w:tblGrid>
              <w:gridCol w:w="3696"/>
              <w:gridCol w:w="950"/>
              <w:gridCol w:w="950"/>
              <w:gridCol w:w="844"/>
              <w:gridCol w:w="1478"/>
            </w:tblGrid>
            <w:tr>
              <w:trPr>
                <w:tblHeader w:val="on"/>
              </w:trPr>
              <w:tc>
                <w:tcPr/>
                <w:p>
                  <w:pPr>
                    <w:pStyle w:val="Compact"/>
                    <w:jc w:val="left"/>
                    <w:jc w:val="center"/>
                  </w:pPr>
                  <w:r>
                    <w:t xml:space="preserve">Units</w:t>
                  </w:r>
                </w:p>
              </w:tc>
              <w:tc>
                <w:tcPr/>
                <w:p>
                  <w:pPr>
                    <w:pStyle w:val="Compact"/>
                    <w:jc w:val="right"/>
                    <w:jc w:val="center"/>
                  </w:pPr>
                  <w:r>
                    <w:t xml:space="preserve">Expected</w:t>
                  </w:r>
                </w:p>
              </w:tc>
              <w:tc>
                <w:tcPr/>
                <w:p>
                  <w:pPr>
                    <w:pStyle w:val="Compact"/>
                    <w:jc w:val="right"/>
                    <w:jc w:val="center"/>
                  </w:pPr>
                  <w:r>
                    <w:t xml:space="preserve">Observed</w:t>
                  </w:r>
                </w:p>
              </w:tc>
              <w:tc>
                <w:tcPr/>
                <w:p>
                  <w:pPr>
                    <w:pStyle w:val="Compact"/>
                    <w:jc w:val="right"/>
                    <w:jc w:val="center"/>
                  </w:pPr>
                  <w:r>
                    <w:t xml:space="preserve">Missing</w:t>
                  </w:r>
                </w:p>
              </w:tc>
              <w:tc>
                <w:tcPr/>
                <w:p>
                  <w:pPr>
                    <w:pStyle w:val="Compact"/>
                    <w:jc w:val="right"/>
                    <w:jc w:val="center"/>
                  </w:pPr>
                  <w:r>
                    <w:t xml:space="preserve">Share missing</w:t>
                  </w:r>
                </w:p>
              </w:tc>
            </w:tr>
            <w:tr>
              <w:tc>
                <w:tcPr/>
                <w:p>
                  <w:pPr>
                    <w:pStyle w:val="Compact"/>
                    <w:jc w:val="left"/>
                    <w:jc w:val="center"/>
                  </w:pPr>
                  <w:r>
                    <w:t xml:space="preserve">Municipality-years, internal frame</w:t>
                  </w:r>
                </w:p>
              </w:tc>
              <w:tc>
                <w:tcPr/>
                <w:p>
                  <w:pPr>
                    <w:pStyle w:val="Compact"/>
                    <w:jc w:val="right"/>
                    <w:jc w:val="center"/>
                  </w:pPr>
                  <w:r>
                    <w:t xml:space="preserve">19,710</w:t>
                  </w:r>
                </w:p>
              </w:tc>
              <w:tc>
                <w:tcPr/>
                <w:p>
                  <w:pPr>
                    <w:pStyle w:val="Compact"/>
                    <w:jc w:val="right"/>
                    <w:jc w:val="center"/>
                  </w:pPr>
                  <w:r>
                    <w:t xml:space="preserve">18,591</w:t>
                  </w:r>
                </w:p>
              </w:tc>
              <w:tc>
                <w:tcPr/>
                <w:p>
                  <w:pPr>
                    <w:pStyle w:val="Compact"/>
                    <w:jc w:val="right"/>
                    <w:jc w:val="center"/>
                  </w:pPr>
                  <w:r>
                    <w:t xml:space="preserve">1,119</w:t>
                  </w:r>
                </w:p>
              </w:tc>
              <w:tc>
                <w:tcPr/>
                <w:p>
                  <w:pPr>
                    <w:pStyle w:val="Compact"/>
                    <w:jc w:val="right"/>
                    <w:jc w:val="center"/>
                  </w:pPr>
                  <w:r>
                    <w:t xml:space="preserve">5.7%</w:t>
                  </w:r>
                </w:p>
              </w:tc>
            </w:tr>
            <w:tr>
              <w:tc>
                <w:tcPr/>
                <w:p>
                  <w:pPr>
                    <w:pStyle w:val="Compact"/>
                    <w:jc w:val="left"/>
                    <w:jc w:val="center"/>
                  </w:pPr>
                  <w:r>
                    <w:t xml:space="preserve">Municipality-years, external frame</w:t>
                  </w:r>
                </w:p>
              </w:tc>
              <w:tc>
                <w:tcPr/>
                <w:p>
                  <w:pPr>
                    <w:pStyle w:val="Compact"/>
                    <w:jc w:val="right"/>
                    <w:jc w:val="center"/>
                  </w:pPr>
                  <w:r>
                    <w:t xml:space="preserve">19,854</w:t>
                  </w:r>
                </w:p>
              </w:tc>
              <w:tc>
                <w:tcPr/>
                <w:p>
                  <w:pPr>
                    <w:pStyle w:val="Compact"/>
                    <w:jc w:val="right"/>
                    <w:jc w:val="center"/>
                  </w:pPr>
                  <w:r>
                    <w:t xml:space="preserve">18,591</w:t>
                  </w:r>
                </w:p>
              </w:tc>
              <w:tc>
                <w:tcPr/>
                <w:p>
                  <w:pPr>
                    <w:pStyle w:val="Compact"/>
                    <w:jc w:val="right"/>
                    <w:jc w:val="center"/>
                  </w:pPr>
                  <w:r>
                    <w:t xml:space="preserve">1,263</w:t>
                  </w:r>
                </w:p>
              </w:tc>
              <w:tc>
                <w:tcPr/>
                <w:p>
                  <w:pPr>
                    <w:pStyle w:val="Compact"/>
                    <w:jc w:val="right"/>
                    <w:jc w:val="center"/>
                  </w:pPr>
                  <w:r>
                    <w:t xml:space="preserve">6.4%</w:t>
                  </w:r>
                </w:p>
              </w:tc>
            </w:tr>
            <w:tr>
              <w:tc>
                <w:tcPr/>
                <w:p>
                  <w:pPr>
                    <w:pStyle w:val="Compact"/>
                    <w:jc w:val="left"/>
                    <w:jc w:val="center"/>
                  </w:pPr>
                  <w:r>
                    <w:t xml:space="preserve">Municipalities, external frame</w:t>
                  </w:r>
                </w:p>
              </w:tc>
              <w:tc>
                <w:tcPr/>
                <w:p>
                  <w:pPr>
                    <w:pStyle w:val="Compact"/>
                    <w:jc w:val="right"/>
                    <w:jc w:val="center"/>
                  </w:pPr>
                  <w:r>
                    <w:t xml:space="preserve">1,103</w:t>
                  </w:r>
                </w:p>
              </w:tc>
              <w:tc>
                <w:tcPr/>
                <w:p>
                  <w:pPr>
                    <w:pStyle w:val="Compact"/>
                    <w:jc w:val="right"/>
                    <w:jc w:val="center"/>
                  </w:pPr>
                  <w:r>
                    <w:t xml:space="preserve">1,095</w:t>
                  </w:r>
                </w:p>
              </w:tc>
              <w:tc>
                <w:tcPr/>
                <w:p>
                  <w:pPr>
                    <w:pStyle w:val="Compact"/>
                    <w:jc w:val="right"/>
                    <w:jc w:val="center"/>
                  </w:pPr>
                  <w:r>
                    <w:t xml:space="preserve">8</w:t>
                  </w:r>
                </w:p>
              </w:tc>
              <w:tc>
                <w:tcPr/>
                <w:p>
                  <w:pPr>
                    <w:pStyle w:val="Compact"/>
                    <w:jc w:val="right"/>
                    <w:jc w:val="center"/>
                  </w:pPr>
                  <w:r>
                    <w:t xml:space="preserve">0.7%</w:t>
                  </w:r>
                </w:p>
              </w:tc>
            </w:tr>
            <w:tr>
              <w:tc>
                <w:tcPr/>
                <w:p>
                  <w:pPr>
                    <w:pStyle w:val="Compact"/>
                    <w:jc w:val="left"/>
                    <w:jc w:val="center"/>
                  </w:pPr>
                  <w:r>
                    <w:t xml:space="preserve">Department-years</w:t>
                  </w:r>
                </w:p>
              </w:tc>
              <w:tc>
                <w:tcPr/>
                <w:p>
                  <w:pPr>
                    <w:pStyle w:val="Compact"/>
                    <w:jc w:val="right"/>
                    <w:jc w:val="center"/>
                  </w:pPr>
                  <w:r>
                    <w:t xml:space="preserve">594</w:t>
                  </w:r>
                </w:p>
              </w:tc>
              <w:tc>
                <w:tcPr/>
                <w:p>
                  <w:pPr>
                    <w:pStyle w:val="Compact"/>
                    <w:jc w:val="right"/>
                    <w:jc w:val="center"/>
                  </w:pPr>
                  <w:r>
                    <w:t xml:space="preserve">569</w:t>
                  </w:r>
                </w:p>
              </w:tc>
              <w:tc>
                <w:tcPr/>
                <w:p>
                  <w:pPr>
                    <w:pStyle w:val="Compact"/>
                    <w:jc w:val="right"/>
                    <w:jc w:val="center"/>
                  </w:pPr>
                  <w:r>
                    <w:t xml:space="preserve">25</w:t>
                  </w:r>
                </w:p>
              </w:tc>
              <w:tc>
                <w:tcPr/>
                <w:p>
                  <w:pPr>
                    <w:pStyle w:val="Compact"/>
                    <w:jc w:val="right"/>
                    <w:jc w:val="center"/>
                  </w:pPr>
                  <w:r>
                    <w:t xml:space="preserve">4.2%</w:t>
                  </w:r>
                </w:p>
              </w:tc>
            </w:tr>
          </w:tbl>
          <w:bookmarkEnd w:id="38"/>
          <w:p/>
        </w:tc>
      </w:tr>
    </w:tbl>
    <w:p>
      <w:pPr>
        <w:pStyle w:val="BodyText"/>
      </w:pPr>
      <w:r>
        <w:t xml:space="preserve">The gaps are concentrated (</w:t>
      </w:r>
      <w:hyperlink w:anchor="fig-heatmap">
        <w:r>
          <w:rPr>
            <w:rStyle w:val="Hyperlink"/>
          </w:rPr>
          <w:t xml:space="preserve">Figure 3</w:t>
        </w:r>
      </w:hyperlink>
      <w:r>
        <w:t xml:space="preserve">). Only 5</w:t>
      </w:r>
      <w:r>
        <w:t xml:space="preserve"> </w:t>
      </w:r>
      <w:r>
        <w:t xml:space="preserve">departments are complete over the whole period. Chocó has no rows of any</w:t>
      </w:r>
      <w:r>
        <w:t xml:space="preserve"> </w:t>
      </w:r>
      <w:r>
        <w:t xml:space="preserve">kind before 2014 and is missing 87% of its</w:t>
      </w:r>
      <w:r>
        <w:t xml:space="preserve"> </w:t>
      </w:r>
      <w:r>
        <w:t xml:space="preserve">municipality-years, 471 of the 1,263</w:t>
      </w:r>
      <w:r>
        <w:t xml:space="preserve"> </w:t>
      </w:r>
      <w:r>
        <w:t xml:space="preserve">absent nationally; Guainía, Vaupés, Guaviare, Córdoba and Amazonas each lack</w:t>
      </w:r>
      <w:r>
        <w:t xml:space="preserve"> </w:t>
      </w:r>
      <w:r>
        <w:t xml:space="preserve">more than a fifth.</w:t>
      </w:r>
    </w:p>
    <w:bookmarkStart w:id="43" w:name="cell-fig-heatmap"/>
    <w:tbl>
      <w:tblPr>
        <w:tblStyle w:val="Table"/>
        <w:tblW w:type="pct" w:w="5000"/>
        <w:tblLayout w:type="fixed"/>
        <w:tblLook w:firstRow="0" w:lastRow="0" w:firstColumn="0" w:lastColumn="0" w:noHBand="0" w:noVBand="0" w:val="0000"/>
      </w:tblPr>
      <w:tblGrid>
        <w:gridCol w:w="7920"/>
      </w:tblGrid>
      <w:tr>
        <w:tc>
          <w:tcPr/>
          <w:bookmarkStart w:id="42" w:name="fig-heatmap"/>
          <w:p>
            <w:pPr>
              <w:pStyle w:val="Compact"/>
              <w:jc w:val="center"/>
            </w:pPr>
            <w:r>
              <w:drawing>
                <wp:inline>
                  <wp:extent cx="5334000" cy="2954215"/>
                  <wp:effectExtent b="0" l="0" r="0" t="0"/>
                  <wp:docPr descr="" title="" id="40" name="Picture"/>
                  <a:graphic>
                    <a:graphicData uri="http://schemas.openxmlformats.org/drawingml/2006/picture">
                      <pic:pic>
                        <pic:nvPicPr>
                          <pic:cNvPr descr="index_files/figure-docx/fig-heatmap-1.png" id="41" name="Picture"/>
                          <pic:cNvPicPr>
                            <a:picLocks noChangeArrowheads="1" noChangeAspect="1"/>
                          </pic:cNvPicPr>
                        </pic:nvPicPr>
                        <pic:blipFill>
                          <a:blip r:embed="rId39"/>
                          <a:stretch>
                            <a:fillRect/>
                          </a:stretch>
                        </pic:blipFill>
                        <pic:spPr bwMode="auto">
                          <a:xfrm>
                            <a:off x="0" y="0"/>
                            <a:ext cx="5334000" cy="2954215"/>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Share of each department’s municipalities absent from the file in each year, on the external frame. Departments are ordered by their overall share missing; the number of municipalities in the register follows each name.</w:t>
            </w:r>
          </w:p>
          <w:bookmarkEnd w:id="42"/>
        </w:tc>
      </w:tr>
    </w:tbl>
    <w:bookmarkEnd w:id="43"/>
    <w:bookmarkEnd w:id="44"/>
    <w:bookmarkStart w:id="46" w:name="missing-years-and-panel-balance"/>
    <w:p>
      <w:pPr>
        <w:pStyle w:val="Heading2"/>
      </w:pPr>
      <w:r>
        <w:t xml:space="preserve">3.3 Missing years and panel balance</w:t>
      </w:r>
    </w:p>
    <w:p>
      <w:pPr>
        <w:pStyle w:val="FirstParagraph"/>
      </w:pPr>
      <w:r>
        <w:t xml:space="preserve">At the national level no year is missing: every calendar year from</w:t>
      </w:r>
      <w:r>
        <w:t xml:space="preserve"> </w:t>
      </w:r>
      <w:r>
        <w:t xml:space="preserve">2007 to 2024 is present (0 gaps). The file</w:t>
      </w:r>
      <w:r>
        <w:t xml:space="preserve"> </w:t>
      </w:r>
      <w:r>
        <w:t xml:space="preserve">was downloaded in September 2026, so the absence of 2025 most likely</w:t>
      </w:r>
      <w:r>
        <w:t xml:space="preserve"> </w:t>
      </w:r>
      <w:r>
        <w:t xml:space="preserve">reflects publication lag rather than a gap. At the municipal level the</w:t>
      </w:r>
      <w:r>
        <w:t xml:space="preserve"> </w:t>
      </w:r>
      <w:r>
        <w:t xml:space="preserve">picture is different (</w:t>
      </w:r>
      <w:hyperlink w:anchor="tbl-series">
        <w:r>
          <w:rPr>
            <w:rStyle w:val="Hyperlink"/>
          </w:rPr>
          <w:t xml:space="preserve">Table 5</w:t>
        </w:r>
      </w:hyperlink>
      <w:r>
        <w:t xml:space="preserve">). 732 municipalities</w:t>
      </w:r>
      <w:r>
        <w:t xml:space="preserve"> </w:t>
      </w:r>
      <w:r>
        <w:t xml:space="preserve">(67%) are observed in every year. Of the rest, 101</w:t>
      </w:r>
      <w:r>
        <w:t xml:space="preserve"> </w:t>
      </w:r>
      <w:r>
        <w:t xml:space="preserve">enter after 2007, 89 drop out before 2024, and</w:t>
      </w:r>
      <w:r>
        <w:t xml:space="preserve"> </w:t>
      </w:r>
      <w:r>
        <w:t xml:space="preserve">259 have at least one interruption inside their series, which</w:t>
      </w:r>
      <w:r>
        <w:t xml:space="preserve"> </w:t>
      </w:r>
      <w:r>
        <w:t xml:space="preserve">together account for 460 interior gap-years. For anyone</w:t>
      </w:r>
      <w:r>
        <w:t xml:space="preserve"> </w:t>
      </w:r>
      <w:r>
        <w:t xml:space="preserve">who needs a balanced panel, shortening the window helps only moderately:</w:t>
      </w:r>
      <w:r>
        <w:t xml:space="preserve"> </w:t>
      </w:r>
      <w:r>
        <w:t xml:space="preserve">811 of the 1,103 register</w:t>
      </w:r>
      <w:r>
        <w:t xml:space="preserve"> </w:t>
      </w:r>
      <w:r>
        <w:t xml:space="preserve">municipalities are observed in every year from 2010, 835</w:t>
      </w:r>
      <w:r>
        <w:t xml:space="preserve"> </w:t>
      </w:r>
      <w:r>
        <w:t xml:space="preserve">from 2015 and 898 from 2019.</w:t>
      </w:r>
    </w:p>
    <w:tbl>
      <w:tblPr>
        <w:tblStyle w:val="Table"/>
        <w:tblW w:type="pct" w:w="5000"/>
        <w:tblLayout w:type="fixed"/>
        <w:tblLook w:firstRow="0" w:lastRow="0" w:firstColumn="0" w:lastColumn="0" w:noHBand="0" w:noVBand="0" w:val="0000"/>
      </w:tblPr>
      <w:tblGrid>
        <w:gridCol w:w="7920"/>
      </w:tblGrid>
      <w:tr>
        <w:tc>
          <w:tcPr/>
          <w:bookmarkStart w:id="45" w:name="tbl-series"/>
          <w:p>
            <w:pPr>
              <w:jc w:val="center"/>
            </w:pPr>
            <w:pPr>
              <w:jc w:val="start"/>
              <w:spacing w:before="200"/>
              <w:pStyle w:val="ImageCaption"/>
            </w:pPr>
            <w:r>
              <w:t xml:space="preserve">Table 5: Continuity of each municipality’s series on the internal frame. A series starts late if its first year is after 2007, ends early if its last year is before 2024, and has interior gaps if years are missing between its first and last.</w:t>
            </w:r>
          </w:p>
          <w:tbl>
            <w:tblPr>
              <w:tblStyle w:val="Table"/>
              <w:tblW w:type="pct" w:w="5000"/>
              <w:tblLayout w:type="fixed"/>
              <w:tblLook w:firstRow="1" w:lastRow="0" w:firstColumn="0" w:lastColumn="0" w:noHBand="0" w:noVBand="0" w:val="0020"/>
            </w:tblPr>
            <w:tblGrid>
              <w:gridCol w:w="2712"/>
              <w:gridCol w:w="1627"/>
              <w:gridCol w:w="650"/>
              <w:gridCol w:w="2929"/>
            </w:tblGrid>
            <w:tr>
              <w:trPr>
                <w:tblHeader w:val="on"/>
              </w:trPr>
              <w:tc>
                <w:tcPr/>
                <w:p>
                  <w:pPr>
                    <w:pStyle w:val="Compact"/>
                    <w:jc w:val="left"/>
                    <w:jc w:val="center"/>
                  </w:pPr>
                  <w:r>
                    <w:t xml:space="preserve">Pattern</w:t>
                  </w:r>
                </w:p>
              </w:tc>
              <w:tc>
                <w:tcPr/>
                <w:p>
                  <w:pPr>
                    <w:pStyle w:val="Compact"/>
                    <w:jc w:val="right"/>
                    <w:jc w:val="center"/>
                  </w:pPr>
                  <w:r>
                    <w:t xml:space="preserve">Municipalities</w:t>
                  </w:r>
                </w:p>
              </w:tc>
              <w:tc>
                <w:tcPr/>
                <w:p>
                  <w:pPr>
                    <w:pStyle w:val="Compact"/>
                    <w:jc w:val="right"/>
                    <w:jc w:val="center"/>
                  </w:pPr>
                  <w:r>
                    <w:t xml:space="preserve">Share</w:t>
                  </w:r>
                </w:p>
              </w:tc>
              <w:tc>
                <w:tcPr/>
                <w:p>
                  <w:pPr>
                    <w:pStyle w:val="Compact"/>
                    <w:jc w:val="right"/>
                    <w:jc w:val="center"/>
                  </w:pPr>
                  <w:r>
                    <w:t xml:space="preserve">Missing municipality-years</w:t>
                  </w:r>
                </w:p>
              </w:tc>
            </w:tr>
            <w:tr>
              <w:tc>
                <w:tcPr/>
                <w:p>
                  <w:pPr>
                    <w:pStyle w:val="Compact"/>
                    <w:jc w:val="left"/>
                    <w:jc w:val="center"/>
                  </w:pPr>
                  <w:r>
                    <w:t xml:space="preserve">Complete series</w:t>
                  </w:r>
                </w:p>
              </w:tc>
              <w:tc>
                <w:tcPr/>
                <w:p>
                  <w:pPr>
                    <w:pStyle w:val="Compact"/>
                    <w:jc w:val="right"/>
                    <w:jc w:val="center"/>
                  </w:pPr>
                  <w:r>
                    <w:t xml:space="preserve">732</w:t>
                  </w:r>
                </w:p>
              </w:tc>
              <w:tc>
                <w:tcPr/>
                <w:p>
                  <w:pPr>
                    <w:pStyle w:val="Compact"/>
                    <w:jc w:val="right"/>
                    <w:jc w:val="center"/>
                  </w:pPr>
                  <w:r>
                    <w:t xml:space="preserve">67%</w:t>
                  </w:r>
                </w:p>
              </w:tc>
              <w:tc>
                <w:tcPr/>
                <w:p>
                  <w:pPr>
                    <w:pStyle w:val="Compact"/>
                    <w:jc w:val="right"/>
                    <w:jc w:val="center"/>
                  </w:pPr>
                  <w:r>
                    <w:t xml:space="preserve">0</w:t>
                  </w:r>
                </w:p>
              </w:tc>
            </w:tr>
            <w:tr>
              <w:tc>
                <w:tcPr/>
                <w:p>
                  <w:pPr>
                    <w:pStyle w:val="Compact"/>
                    <w:jc w:val="left"/>
                    <w:jc w:val="center"/>
                  </w:pPr>
                  <w:r>
                    <w:t xml:space="preserve">Starts late only</w:t>
                  </w:r>
                </w:p>
              </w:tc>
              <w:tc>
                <w:tcPr/>
                <w:p>
                  <w:pPr>
                    <w:pStyle w:val="Compact"/>
                    <w:jc w:val="right"/>
                    <w:jc w:val="center"/>
                  </w:pPr>
                  <w:r>
                    <w:t xml:space="preserve">49</w:t>
                  </w:r>
                </w:p>
              </w:tc>
              <w:tc>
                <w:tcPr/>
                <w:p>
                  <w:pPr>
                    <w:pStyle w:val="Compact"/>
                    <w:jc w:val="right"/>
                    <w:jc w:val="center"/>
                  </w:pPr>
                  <w:r>
                    <w:t xml:space="preserve">4%</w:t>
                  </w:r>
                </w:p>
              </w:tc>
              <w:tc>
                <w:tcPr/>
                <w:p>
                  <w:pPr>
                    <w:pStyle w:val="Compact"/>
                    <w:jc w:val="right"/>
                    <w:jc w:val="center"/>
                  </w:pPr>
                  <w:r>
                    <w:t xml:space="preserve">64</w:t>
                  </w:r>
                </w:p>
              </w:tc>
            </w:tr>
            <w:tr>
              <w:tc>
                <w:tcPr/>
                <w:p>
                  <w:pPr>
                    <w:pStyle w:val="Compact"/>
                    <w:jc w:val="left"/>
                    <w:jc w:val="center"/>
                  </w:pPr>
                  <w:r>
                    <w:t xml:space="preserve">Ends early only</w:t>
                  </w:r>
                </w:p>
              </w:tc>
              <w:tc>
                <w:tcPr/>
                <w:p>
                  <w:pPr>
                    <w:pStyle w:val="Compact"/>
                    <w:jc w:val="right"/>
                    <w:jc w:val="center"/>
                  </w:pPr>
                  <w:r>
                    <w:t xml:space="preserve">41</w:t>
                  </w:r>
                </w:p>
              </w:tc>
              <w:tc>
                <w:tcPr/>
                <w:p>
                  <w:pPr>
                    <w:pStyle w:val="Compact"/>
                    <w:jc w:val="right"/>
                    <w:jc w:val="center"/>
                  </w:pPr>
                  <w:r>
                    <w:t xml:space="preserve">4%</w:t>
                  </w:r>
                </w:p>
              </w:tc>
              <w:tc>
                <w:tcPr/>
                <w:p>
                  <w:pPr>
                    <w:pStyle w:val="Compact"/>
                    <w:jc w:val="right"/>
                    <w:jc w:val="center"/>
                  </w:pPr>
                  <w:r>
                    <w:t xml:space="preserve">135</w:t>
                  </w:r>
                </w:p>
              </w:tc>
            </w:tr>
            <w:tr>
              <w:tc>
                <w:tcPr/>
                <w:p>
                  <w:pPr>
                    <w:pStyle w:val="Compact"/>
                    <w:jc w:val="left"/>
                    <w:jc w:val="center"/>
                  </w:pPr>
                  <w:r>
                    <w:t xml:space="preserve">Interior gaps only</w:t>
                  </w:r>
                </w:p>
              </w:tc>
              <w:tc>
                <w:tcPr/>
                <w:p>
                  <w:pPr>
                    <w:pStyle w:val="Compact"/>
                    <w:jc w:val="right"/>
                    <w:jc w:val="center"/>
                  </w:pPr>
                  <w:r>
                    <w:t xml:space="preserve">209</w:t>
                  </w:r>
                </w:p>
              </w:tc>
              <w:tc>
                <w:tcPr/>
                <w:p>
                  <w:pPr>
                    <w:pStyle w:val="Compact"/>
                    <w:jc w:val="right"/>
                    <w:jc w:val="center"/>
                  </w:pPr>
                  <w:r>
                    <w:t xml:space="preserve">19%</w:t>
                  </w:r>
                </w:p>
              </w:tc>
              <w:tc>
                <w:tcPr/>
                <w:p>
                  <w:pPr>
                    <w:pStyle w:val="Compact"/>
                    <w:jc w:val="right"/>
                    <w:jc w:val="center"/>
                  </w:pPr>
                  <w:r>
                    <w:t xml:space="preserve">339</w:t>
                  </w:r>
                </w:p>
              </w:tc>
            </w:tr>
            <w:tr>
              <w:tc>
                <w:tcPr/>
                <w:p>
                  <w:pPr>
                    <w:pStyle w:val="Compact"/>
                    <w:jc w:val="left"/>
                    <w:jc w:val="center"/>
                  </w:pPr>
                  <w:r>
                    <w:t xml:space="preserve">Two or more of the above</w:t>
                  </w:r>
                </w:p>
              </w:tc>
              <w:tc>
                <w:tcPr/>
                <w:p>
                  <w:pPr>
                    <w:pStyle w:val="Compact"/>
                    <w:jc w:val="right"/>
                    <w:jc w:val="center"/>
                  </w:pPr>
                  <w:r>
                    <w:t xml:space="preserve">64</w:t>
                  </w:r>
                </w:p>
              </w:tc>
              <w:tc>
                <w:tcPr/>
                <w:p>
                  <w:pPr>
                    <w:pStyle w:val="Compact"/>
                    <w:jc w:val="right"/>
                    <w:jc w:val="center"/>
                  </w:pPr>
                  <w:r>
                    <w:t xml:space="preserve">6%</w:t>
                  </w:r>
                </w:p>
              </w:tc>
              <w:tc>
                <w:tcPr/>
                <w:p>
                  <w:pPr>
                    <w:pStyle w:val="Compact"/>
                    <w:jc w:val="right"/>
                    <w:jc w:val="center"/>
                  </w:pPr>
                  <w:r>
                    <w:t xml:space="preserve">581</w:t>
                  </w:r>
                </w:p>
              </w:tc>
            </w:tr>
          </w:tbl>
          <w:bookmarkEnd w:id="45"/>
          <w:p/>
        </w:tc>
      </w:tr>
    </w:tbl>
    <w:bookmarkEnd w:id="46"/>
    <w:bookmarkStart w:id="47" w:name="what-is-complete-and-what-is-not"/>
    <w:p>
      <w:pPr>
        <w:pStyle w:val="Heading2"/>
      </w:pPr>
      <w:r>
        <w:t xml:space="preserve">3.4 What is complete and what is not</w:t>
      </w:r>
    </w:p>
    <w:p>
      <w:pPr>
        <w:pStyle w:val="FirstParagraph"/>
      </w:pPr>
      <w:r>
        <w:t xml:space="preserve">The overall index is complete: it is present in every row, and every</w:t>
      </w:r>
      <w:r>
        <w:t xml:space="preserve"> </w:t>
      </w:r>
      <w:r>
        <w:t xml:space="preserve">calendar year from 2007 to 2024 is in the file. The components are not. The</w:t>
      </w:r>
      <w:r>
        <w:t xml:space="preserve"> </w:t>
      </w:r>
      <w:r>
        <w:t xml:space="preserve">rural index is unavailable in about half of the municipal rows, and</w:t>
      </w:r>
      <w:r>
        <w:t xml:space="preserve"> </w:t>
      </w:r>
      <w:r>
        <w:rPr>
          <w:rStyle w:val="VerbatimChar"/>
        </w:rPr>
        <w:t xml:space="preserve">ND</w:t>
      </w:r>
      <w:r>
        <w:t xml:space="preserve"> </w:t>
      </w:r>
      <w:r>
        <w:t xml:space="preserve">sometimes hides rural samples that did enter the overall index. The panel is</w:t>
      </w:r>
      <w:r>
        <w:t xml:space="preserve"> </w:t>
      </w:r>
      <w:r>
        <w:t xml:space="preserve">not complete either. About 6% of the municipality-years implied by the</w:t>
      </w:r>
      <w:r>
        <w:t xml:space="preserve"> </w:t>
      </w:r>
      <w:r>
        <w:t xml:space="preserve">national register are absent, 8 municipalities never appear, the</w:t>
      </w:r>
      <w:r>
        <w:t xml:space="preserve"> </w:t>
      </w:r>
      <w:r>
        <w:t xml:space="preserve">shortfall is concentrated in Chocó and the Amazon and Orinoco departments,</w:t>
      </w:r>
      <w:r>
        <w:t xml:space="preserve"> </w:t>
      </w:r>
      <w:r>
        <w:t xml:space="preserve">and a third of municipalities have a series that starts late, ends early or</w:t>
      </w:r>
      <w:r>
        <w:t xml:space="preserve"> </w:t>
      </w:r>
      <w:r>
        <w:t xml:space="preserve">is interrupted. Analyses of the overall index at the national level can</w:t>
      </w:r>
      <w:r>
        <w:t xml:space="preserve"> </w:t>
      </w:r>
      <w:r>
        <w:t xml:space="preserve">therefore proceed with few reservations, whereas analyses of the urban or</w:t>
      </w:r>
      <w:r>
        <w:t xml:space="preserve"> </w:t>
      </w:r>
      <w:r>
        <w:t xml:space="preserve">rural components, comparisons across departments and municipal time series</w:t>
      </w:r>
      <w:r>
        <w:t xml:space="preserve"> </w:t>
      </w:r>
      <w:r>
        <w:t xml:space="preserve">must treat the missingness explicitly.</w:t>
      </w:r>
    </w:p>
    <w:bookmarkEnd w:id="47"/>
    <w:bookmarkEnd w:id="48"/>
    <w:bookmarkStart w:id="55" w:name="references"/>
    <w:p>
      <w:pPr>
        <w:pStyle w:val="Heading1"/>
      </w:pPr>
      <w:r>
        <w:t xml:space="preserve">References</w:t>
      </w:r>
    </w:p>
    <w:bookmarkStart w:id="54" w:name="refs"/>
    <w:bookmarkStart w:id="50" w:name="ref-danemgn2020"/>
    <w:p>
      <w:pPr>
        <w:pStyle w:val="Bibliography"/>
      </w:pPr>
      <w:r>
        <w:t xml:space="preserve">Departamento Administrativo Nacional de Estadística (DANE). 2020.</w:t>
      </w:r>
      <w:r>
        <w:t xml:space="preserve"> </w:t>
      </w:r>
      <w:r>
        <w:t xml:space="preserve">“Marco Geoestadístico Nacional 2020: Límites Administrativos de Colombia (COD-AB).”</w:t>
      </w:r>
      <w:r>
        <w:t xml:space="preserve"> </w:t>
      </w:r>
      <w:r>
        <w:t xml:space="preserve">Humanitarian Data Exchange,</w:t>
      </w:r>
      <w:r>
        <w:t xml:space="preserve"> </w:t>
      </w:r>
      <w:hyperlink r:id="rId49">
        <w:r>
          <w:rPr>
            <w:rStyle w:val="Hyperlink"/>
          </w:rPr>
          <w:t xml:space="preserve">https://data.humdata.org/dataset/cod-ab-col</w:t>
        </w:r>
      </w:hyperlink>
      <w:r>
        <w:t xml:space="preserve">.</w:t>
      </w:r>
    </w:p>
    <w:bookmarkEnd w:id="50"/>
    <w:bookmarkStart w:id="52" w:name="ref-sivicap2026"/>
    <w:p>
      <w:pPr>
        <w:pStyle w:val="Bibliography"/>
      </w:pPr>
      <w:r>
        <w:t xml:space="preserve">Instituto Nacional de Salud, and Ministerio de Salud y Protección Social. 2026.</w:t>
      </w:r>
      <w:r>
        <w:t xml:space="preserve"> </w:t>
      </w:r>
      <w:r>
        <w:t xml:space="preserve">“Calidad Del Agua Para Consumo Humano En Colombia.”</w:t>
      </w:r>
      <w:r>
        <w:t xml:space="preserve"> </w:t>
      </w:r>
      <w:r>
        <w:t xml:space="preserve">Datos Abiertos Colombia,</w:t>
      </w:r>
      <w:r>
        <w:t xml:space="preserve"> </w:t>
      </w:r>
      <w:hyperlink r:id="rId51">
        <w:r>
          <w:rPr>
            <w:rStyle w:val="Hyperlink"/>
          </w:rPr>
          <w:t xml:space="preserve">https://www.datos.gov.co</w:t>
        </w:r>
      </w:hyperlink>
      <w:r>
        <w:t xml:space="preserve">.</w:t>
      </w:r>
    </w:p>
    <w:bookmarkEnd w:id="52"/>
    <w:bookmarkStart w:id="53" w:name="ref-res2115"/>
    <w:p>
      <w:pPr>
        <w:pStyle w:val="Bibliography"/>
      </w:pPr>
      <w:r>
        <w:t xml:space="preserve">Ministerio de la Protección Social, and Ministerio de Ambiente, Vivienda y Desarrollo Territorial. 2007.</w:t>
      </w:r>
      <w:r>
        <w:t xml:space="preserve"> </w:t>
      </w:r>
      <w:r>
        <w:t xml:space="preserve">“Resolución 2115 de 2007: Características, Instrumentos Básicos y Frecuencias Del Sistema de Control y Vigilancia Para La Calidad Del Agua Para Consumo Humano.”</w:t>
      </w:r>
      <w:r>
        <w:t xml:space="preserve"> </w:t>
      </w:r>
      <w:r>
        <w:t xml:space="preserve">Bogotá.</w:t>
      </w:r>
    </w:p>
    <w:bookmarkEnd w:id="53"/>
    <w:bookmarkEnd w:id="54"/>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9" Target="media/rId39.png" /><Relationship Type="http://schemas.openxmlformats.org/officeDocument/2006/relationships/image" Id="rId32" Target="media/rId32.png" /><Relationship Type="http://schemas.openxmlformats.org/officeDocument/2006/relationships/image" Id="rId21" Target="media/rId21.png" /><Relationship Type="http://schemas.openxmlformats.org/officeDocument/2006/relationships/hyperlink" Id="rId49" Target="https://data.humdata.org/dataset/cod-ab-col" TargetMode="External" /><Relationship Type="http://schemas.openxmlformats.org/officeDocument/2006/relationships/hyperlink" Id="rId51" Target="https://www.datos.gov.co" TargetMode="External" /></Relationships>
</file>

<file path=word/_rels/footnotes.xml.rels><?xml version="1.0" encoding="UTF-8"?><Relationships xmlns="http://schemas.openxmlformats.org/package/2006/relationships"><Relationship Type="http://schemas.openxmlformats.org/officeDocument/2006/relationships/hyperlink" Id="rId49" Target="https://data.humdata.org/dataset/cod-ab-col" TargetMode="External" /><Relationship Type="http://schemas.openxmlformats.org/officeDocument/2006/relationships/hyperlink" Id="rId51" Target="https://www.datos.gov.c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the Colombian drinking-water quality file measures, and how much of it is there</dc:title>
  <dc:creator>Adriana Clavijo Daza</dc:creator>
  <dc:language>en</dc:language>
  <cp:keywords>water quality, IRCA, Colombia, observational unit, missing data, panel data</cp:keywords>
  <dcterms:created xsi:type="dcterms:W3CDTF">2026-09-29T13:10:44Z</dcterms:created>
  <dcterms:modified xsi:type="dcterms:W3CDTF">2026-09-29T13:10:44Z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note describes what the Colombian drinking-water quality file held in this repository measures and how complete it is. The observational unit is the municipality-year: each row carries the annual Water Quality Risk Index (IRCA) of one municipality in one calendar year, with separate values for the whole municipality, its urban area and its rural area, and department-year aggregates are stacked in the same file. The overall IRCA is never missing and every calendar year from 2007 to 2024 is present, but the rural index is unavailable in about half of the municipal rows, about 6% of the municipality-years that the national municipal register implies are absent, two thirds of municipalities have an uninterrupted series, and Chocó is missing more than four fifths of its municipality-years.</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y-affiliation">
    <vt:lpwstr/>
  </property>
  <property fmtid="{D5CDD505-2E9C-101B-9397-08002B2CF9AE}" pid="8" name="by-author">
    <vt:lpwstr/>
  </property>
  <property fmtid="{D5CDD505-2E9C-101B-9397-08002B2CF9AE}" pid="9" name="clear-hidden-classes">
    <vt:lpwstr>none</vt:lpwstr>
  </property>
  <property fmtid="{D5CDD505-2E9C-101B-9397-08002B2CF9AE}" pid="10" name="date">
    <vt:lpwstr>2026-09-29</vt:lpwstr>
  </property>
  <property fmtid="{D5CDD505-2E9C-101B-9397-08002B2CF9AE}" pid="11" name="google-scholar">
    <vt:lpwstr>True</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lightbox">
    <vt:lpwstr>auto</vt:lpwstr>
  </property>
  <property fmtid="{D5CDD505-2E9C-101B-9397-08002B2CF9AE}" pid="17" name="manuscript">
    <vt:lpwstr/>
  </property>
  <property fmtid="{D5CDD505-2E9C-101B-9397-08002B2CF9AE}" pid="18" name="notebook-preview-options">
    <vt:lpwstr/>
  </property>
  <property fmtid="{D5CDD505-2E9C-101B-9397-08002B2CF9AE}" pid="19" name="quarto-internal">
    <vt:lpwstr/>
  </property>
  <property fmtid="{D5CDD505-2E9C-101B-9397-08002B2CF9AE}" pid="20" name="remove-hidden">
    <vt:lpwstr>all</vt:lpwstr>
  </property>
  <property fmtid="{D5CDD505-2E9C-101B-9397-08002B2CF9AE}" pid="21" name="subtitle">
    <vt:lpwstr>Structure and completeness of the Calidad del Agua para Consumo Humano en Colombia dataset</vt:lpwstr>
  </property>
  <property fmtid="{D5CDD505-2E9C-101B-9397-08002B2CF9AE}" pid="22" name="template-partials">
    <vt:lpwstr/>
  </property>
  <property fmtid="{D5CDD505-2E9C-101B-9397-08002B2CF9AE}" pid="23" name="theme">
    <vt:lpwstr>cosmo</vt:lpwstr>
  </property>
  <property fmtid="{D5CDD505-2E9C-101B-9397-08002B2CF9AE}" pid="24" name="title-block-style">
    <vt:lpwstr>manuscript</vt:lpwstr>
  </property>
  <property fmtid="{D5CDD505-2E9C-101B-9397-08002B2CF9AE}" pid="25" name="toc-title">
    <vt:lpwstr>Table of contents</vt:lpwstr>
  </property>
  <property fmtid="{D5CDD505-2E9C-101B-9397-08002B2CF9AE}" pid="26" name="unroll-markdown-cells">
    <vt:lpwstr>True</vt:lpwstr>
  </property>
</Properties>
</file>