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Georgia" w:cs="Georgia" w:eastAsia="Georgia" w:hAnsi="Georgia"/>
          <w:i/>
          <w:iCs/>
          <w:color w:val="718096"/>
          <w:sz w:val="28"/>
          <w:szCs w:val="28"/>
        </w:rPr>
        <w:t xml:space="preserve">InsightQ Product Family</w:t>
      </w:r>
    </w:p>
    <w:p>
      <w:pPr>
        <w:spacing w:after="80"/>
        <w:jc w:val="center"/>
      </w:pPr>
      <w:r>
        <w:rPr>
          <w:rFonts w:ascii="Georgia" w:cs="Georgia" w:eastAsia="Georgia" w:hAnsi="Georgia"/>
          <w:b/>
          <w:bCs/>
          <w:color w:val="4A5650"/>
          <w:sz w:val="56"/>
          <w:szCs w:val="56"/>
        </w:rPr>
        <w:t xml:space="preserve">ImpactQ</w:t>
      </w:r>
    </w:p>
    <w:p>
      <w:pPr>
        <w:spacing w:after="40"/>
        <w:jc w:val="center"/>
      </w:pPr>
      <w:r>
        <w:rPr>
          <w:rFonts w:ascii="Georgia" w:cs="Georgia" w:eastAsia="Georgia" w:hAnsi="Georgia"/>
          <w:color w:val="2C7A7B"/>
          <w:sz w:val="32"/>
          <w:szCs w:val="32"/>
        </w:rPr>
        <w:t xml:space="preserve">Strategic Planning Visualization</w:t>
      </w:r>
    </w:p>
    <w:p>
      <w:pPr>
        <w:pBdr>
          <w:bottom w:val="single" w:color="E8EDE9" w:sz="6" w:space="1"/>
        </w:pBdr>
        <w:spacing w:before="200" w:after="200"/>
      </w:pPr>
    </w:p>
    <w:p>
      <w:pPr>
        <w:spacing w:after="200"/>
        <w:jc w:val="center"/>
      </w:pPr>
      <w:r>
        <w:rPr>
          <w:rFonts w:ascii="Calibri" w:cs="Calibri" w:eastAsia="Calibri" w:hAnsi="Calibri"/>
          <w:color w:val="6B7F70"/>
          <w:sz w:val="26"/>
          <w:szCs w:val="26"/>
        </w:rPr>
        <w:t xml:space="preserve">Multi-Panel Expert Review &amp; Implementation Report</w:t>
      </w:r>
    </w:p>
    <w:p>
      <w:pPr>
        <w:spacing w:after="40"/>
        <w:jc w:val="center"/>
      </w:pPr>
      <w:r>
        <w:rPr>
          <w:rFonts w:ascii="Calibri" w:cs="Calibri" w:eastAsia="Calibri" w:hAnsi="Calibri"/>
          <w:color w:val="718096"/>
          <w:sz w:val="22"/>
          <w:szCs w:val="22"/>
        </w:rPr>
        <w:t xml:space="preserve">16-Expert Panel | 3 Review Cycles | 3 Change Management Frameworks</w:t>
      </w:r>
    </w:p>
    <w:p>
      <w:pPr>
        <w:spacing w:after="600"/>
      </w:pPr>
    </w:p>
    <w:p>
      <w:pPr>
        <w:spacing w:after="100"/>
        <w:jc w:val="center"/>
      </w:pPr>
      <w:r>
        <w:rPr>
          <w:rFonts w:ascii="Calibri" w:cs="Calibri" w:eastAsia="Calibri" w:hAnsi="Calibri"/>
          <w:color w:val="1A202C"/>
          <w:sz w:val="22"/>
          <w:szCs w:val="22"/>
        </w:rPr>
        <w:t xml:space="preserve">Prepared for: InsightQ Product Management</w:t>
      </w:r>
    </w:p>
    <w:p>
      <w:pPr>
        <w:spacing w:after="100"/>
        <w:jc w:val="center"/>
      </w:pPr>
      <w:r>
        <w:rPr>
          <w:rFonts w:ascii="Calibri" w:cs="Calibri" w:eastAsia="Calibri" w:hAnsi="Calibri"/>
          <w:color w:val="1A202C"/>
          <w:sz w:val="22"/>
          <w:szCs w:val="22"/>
        </w:rPr>
        <w:t xml:space="preserve">Date: March 26, 2026</w:t>
      </w:r>
    </w:p>
    <w:p>
      <w:pPr>
        <w:spacing w:after="100"/>
        <w:jc w:val="center"/>
      </w:pPr>
      <w:r>
        <w:rPr>
          <w:rFonts w:ascii="Calibri" w:cs="Calibri" w:eastAsia="Calibri" w:hAnsi="Calibri"/>
          <w:color w:val="1A202C"/>
          <w:sz w:val="22"/>
          <w:szCs w:val="22"/>
        </w:rPr>
        <w:t xml:space="preserve">Version: 1.0 — Post-Panel Consensus</w:t>
      </w:r>
    </w:p>
    <w:p>
      <w:pPr>
        <w:sectPr>
          <w:pgSz w:w="12240" w:h="15840" w:orient="portrait"/>
          <w:pgMar w:top="2880" w:right="1440" w:bottom="1440" w:left="1440" w:header="708" w:footer="708" w:gutter="0"/>
          <w:pgNumType/>
          <w:docGrid w:linePitch="360"/>
        </w:sectPr>
      </w:pPr>
    </w:p>
    <w:p>
      <w:pPr>
        <w:pStyle w:val="Heading1"/>
        <w:spacing w:before="360" w:after="200"/>
      </w:pPr>
      <w:r>
        <w:rPr>
          <w:rFonts w:ascii="Georgia" w:cs="Georgia" w:eastAsia="Georgia" w:hAnsi="Georgia"/>
          <w:b/>
          <w:bCs/>
          <w:color w:val="4A5650"/>
          <w:sz w:val="32"/>
          <w:szCs w:val="32"/>
        </w:rPr>
        <w:t xml:space="preserve">Table of Contents</w:t>
      </w:r>
    </w:p>
    <w:p>
      <w:pPr>
        <w:spacing w:after="160" w:line="276"/>
        <w:jc w:val="left"/>
      </w:pPr>
      <w:r>
        <w:rPr>
          <w:rFonts w:ascii="Calibri" w:cs="Calibri" w:eastAsia="Calibri" w:hAnsi="Calibri"/>
          <w:b w:val="false"/>
          <w:bCs w:val="false"/>
          <w:i w:val="false"/>
          <w:iCs w:val="false"/>
          <w:color w:val="1A202C"/>
          <w:sz w:val="22"/>
          <w:szCs w:val="22"/>
        </w:rPr>
        <w:t xml:space="preserve">1. Executive Summary</w:t>
      </w:r>
    </w:p>
    <w:p>
      <w:pPr>
        <w:spacing w:after="160" w:line="276"/>
        <w:jc w:val="left"/>
      </w:pPr>
      <w:r>
        <w:rPr>
          <w:rFonts w:ascii="Calibri" w:cs="Calibri" w:eastAsia="Calibri" w:hAnsi="Calibri"/>
          <w:b w:val="false"/>
          <w:bCs w:val="false"/>
          <w:i w:val="false"/>
          <w:iCs w:val="false"/>
          <w:color w:val="1A202C"/>
          <w:sz w:val="22"/>
          <w:szCs w:val="22"/>
        </w:rPr>
        <w:t xml:space="preserve">2. Change Management Research Integration</w:t>
      </w:r>
    </w:p>
    <w:p>
      <w:pPr>
        <w:spacing w:after="160" w:line="276"/>
        <w:jc w:val="left"/>
      </w:pPr>
      <w:r>
        <w:rPr>
          <w:rFonts w:ascii="Calibri" w:cs="Calibri" w:eastAsia="Calibri" w:hAnsi="Calibri"/>
          <w:b w:val="false"/>
          <w:bCs w:val="false"/>
          <w:i w:val="false"/>
          <w:iCs w:val="false"/>
          <w:color w:val="1A202C"/>
          <w:sz w:val="22"/>
          <w:szCs w:val="22"/>
        </w:rPr>
        <w:t xml:space="preserve">   2.1 Traction (Gino Wickman) — EOS Framework</w:t>
      </w:r>
    </w:p>
    <w:p>
      <w:pPr>
        <w:spacing w:after="160" w:line="276"/>
        <w:jc w:val="left"/>
      </w:pPr>
      <w:r>
        <w:rPr>
          <w:rFonts w:ascii="Calibri" w:cs="Calibri" w:eastAsia="Calibri" w:hAnsi="Calibri"/>
          <w:b w:val="false"/>
          <w:bCs w:val="false"/>
          <w:i w:val="false"/>
          <w:iCs w:val="false"/>
          <w:color w:val="1A202C"/>
          <w:sz w:val="22"/>
          <w:szCs w:val="22"/>
        </w:rPr>
        <w:t xml:space="preserve">   2.2 Leading Change (John Kotter) — 8-Step Model</w:t>
      </w:r>
    </w:p>
    <w:p>
      <w:pPr>
        <w:spacing w:after="160" w:line="276"/>
        <w:jc w:val="left"/>
      </w:pPr>
      <w:r>
        <w:rPr>
          <w:rFonts w:ascii="Calibri" w:cs="Calibri" w:eastAsia="Calibri" w:hAnsi="Calibri"/>
          <w:b w:val="false"/>
          <w:bCs w:val="false"/>
          <w:i w:val="false"/>
          <w:iCs w:val="false"/>
          <w:color w:val="1A202C"/>
          <w:sz w:val="22"/>
          <w:szCs w:val="22"/>
        </w:rPr>
        <w:t xml:space="preserve">   2.3 Switch (Heath &amp; Heath) — Rider, Elephant, Path</w:t>
      </w:r>
    </w:p>
    <w:p>
      <w:pPr>
        <w:spacing w:after="160" w:line="276"/>
        <w:jc w:val="left"/>
      </w:pPr>
      <w:r>
        <w:rPr>
          <w:rFonts w:ascii="Calibri" w:cs="Calibri" w:eastAsia="Calibri" w:hAnsi="Calibri"/>
          <w:b w:val="false"/>
          <w:bCs w:val="false"/>
          <w:i w:val="false"/>
          <w:iCs w:val="false"/>
          <w:color w:val="1A202C"/>
          <w:sz w:val="22"/>
          <w:szCs w:val="22"/>
        </w:rPr>
        <w:t xml:space="preserve">3. Expert Panel Composition</w:t>
      </w:r>
    </w:p>
    <w:p>
      <w:pPr>
        <w:spacing w:after="160" w:line="276"/>
        <w:jc w:val="left"/>
      </w:pPr>
      <w:r>
        <w:rPr>
          <w:rFonts w:ascii="Calibri" w:cs="Calibri" w:eastAsia="Calibri" w:hAnsi="Calibri"/>
          <w:b w:val="false"/>
          <w:bCs w:val="false"/>
          <w:i w:val="false"/>
          <w:iCs w:val="false"/>
          <w:color w:val="1A202C"/>
          <w:sz w:val="22"/>
          <w:szCs w:val="22"/>
        </w:rPr>
        <w:t xml:space="preserve">   3.1 Panel A: SaaS UX (6 Experts)</w:t>
      </w:r>
    </w:p>
    <w:p>
      <w:pPr>
        <w:spacing w:after="160" w:line="276"/>
        <w:jc w:val="left"/>
      </w:pPr>
      <w:r>
        <w:rPr>
          <w:rFonts w:ascii="Calibri" w:cs="Calibri" w:eastAsia="Calibri" w:hAnsi="Calibri"/>
          <w:b w:val="false"/>
          <w:bCs w:val="false"/>
          <w:i w:val="false"/>
          <w:iCs w:val="false"/>
          <w:color w:val="1A202C"/>
          <w:sz w:val="22"/>
          <w:szCs w:val="22"/>
        </w:rPr>
        <w:t xml:space="preserve">   3.2 Panel B: Botanical Design (5 Experts)</w:t>
      </w:r>
    </w:p>
    <w:p>
      <w:pPr>
        <w:spacing w:after="160" w:line="276"/>
        <w:jc w:val="left"/>
      </w:pPr>
      <w:r>
        <w:rPr>
          <w:rFonts w:ascii="Calibri" w:cs="Calibri" w:eastAsia="Calibri" w:hAnsi="Calibri"/>
          <w:b w:val="false"/>
          <w:bCs w:val="false"/>
          <w:i w:val="false"/>
          <w:iCs w:val="false"/>
          <w:color w:val="1A202C"/>
          <w:sz w:val="22"/>
          <w:szCs w:val="22"/>
        </w:rPr>
        <w:t xml:space="preserve">   3.3 Panel C: Process &amp; Project Management (5 Experts)</w:t>
      </w:r>
    </w:p>
    <w:p>
      <w:pPr>
        <w:spacing w:after="160" w:line="276"/>
        <w:jc w:val="left"/>
      </w:pPr>
      <w:r>
        <w:rPr>
          <w:rFonts w:ascii="Calibri" w:cs="Calibri" w:eastAsia="Calibri" w:hAnsi="Calibri"/>
          <w:b w:val="false"/>
          <w:bCs w:val="false"/>
          <w:i w:val="false"/>
          <w:iCs w:val="false"/>
          <w:color w:val="1A202C"/>
          <w:sz w:val="22"/>
          <w:szCs w:val="22"/>
        </w:rPr>
        <w:t xml:space="preserve">4. Three-Cycle Review Findings</w:t>
      </w:r>
    </w:p>
    <w:p>
      <w:pPr>
        <w:spacing w:after="160" w:line="276"/>
        <w:jc w:val="left"/>
      </w:pPr>
      <w:r>
        <w:rPr>
          <w:rFonts w:ascii="Calibri" w:cs="Calibri" w:eastAsia="Calibri" w:hAnsi="Calibri"/>
          <w:b w:val="false"/>
          <w:bCs w:val="false"/>
          <w:i w:val="false"/>
          <w:iCs w:val="false"/>
          <w:color w:val="1A202C"/>
          <w:sz w:val="22"/>
          <w:szCs w:val="22"/>
        </w:rPr>
        <w:t xml:space="preserve">   4.1 Cycle 1: Individual Reviews</w:t>
      </w:r>
    </w:p>
    <w:p>
      <w:pPr>
        <w:spacing w:after="160" w:line="276"/>
        <w:jc w:val="left"/>
      </w:pPr>
      <w:r>
        <w:rPr>
          <w:rFonts w:ascii="Calibri" w:cs="Calibri" w:eastAsia="Calibri" w:hAnsi="Calibri"/>
          <w:b w:val="false"/>
          <w:bCs w:val="false"/>
          <w:i w:val="false"/>
          <w:iCs w:val="false"/>
          <w:color w:val="1A202C"/>
          <w:sz w:val="22"/>
          <w:szCs w:val="22"/>
        </w:rPr>
        <w:t xml:space="preserve">   4.2 Cycle 2: Cross-Panel Synthesis</w:t>
      </w:r>
    </w:p>
    <w:p>
      <w:pPr>
        <w:spacing w:after="160" w:line="276"/>
        <w:jc w:val="left"/>
      </w:pPr>
      <w:r>
        <w:rPr>
          <w:rFonts w:ascii="Calibri" w:cs="Calibri" w:eastAsia="Calibri" w:hAnsi="Calibri"/>
          <w:b w:val="false"/>
          <w:bCs w:val="false"/>
          <w:i w:val="false"/>
          <w:iCs w:val="false"/>
          <w:color w:val="1A202C"/>
          <w:sz w:val="22"/>
          <w:szCs w:val="22"/>
        </w:rPr>
        <w:t xml:space="preserve">   4.3 Cycle 3: Unified Consensus (11 Themes)</w:t>
      </w:r>
    </w:p>
    <w:p>
      <w:pPr>
        <w:spacing w:after="160" w:line="276"/>
        <w:jc w:val="left"/>
      </w:pPr>
      <w:r>
        <w:rPr>
          <w:rFonts w:ascii="Calibri" w:cs="Calibri" w:eastAsia="Calibri" w:hAnsi="Calibri"/>
          <w:b w:val="false"/>
          <w:bCs w:val="false"/>
          <w:i w:val="false"/>
          <w:iCs w:val="false"/>
          <w:color w:val="1A202C"/>
          <w:sz w:val="22"/>
          <w:szCs w:val="22"/>
        </w:rPr>
        <w:t xml:space="preserve">5. Application Changes Implemented</w:t>
      </w:r>
    </w:p>
    <w:p>
      <w:pPr>
        <w:spacing w:after="160" w:line="276"/>
        <w:jc w:val="left"/>
      </w:pPr>
      <w:r>
        <w:rPr>
          <w:rFonts w:ascii="Calibri" w:cs="Calibri" w:eastAsia="Calibri" w:hAnsi="Calibri"/>
          <w:b w:val="false"/>
          <w:bCs w:val="false"/>
          <w:i w:val="false"/>
          <w:iCs w:val="false"/>
          <w:color w:val="1A202C"/>
          <w:sz w:val="22"/>
          <w:szCs w:val="22"/>
        </w:rPr>
        <w:t xml:space="preserve">6. Implementation Roadmap (6 Phases, 12 Months)</w:t>
      </w:r>
    </w:p>
    <w:p>
      <w:pPr>
        <w:spacing w:after="160" w:line="276"/>
        <w:jc w:val="left"/>
      </w:pPr>
      <w:r>
        <w:rPr>
          <w:rFonts w:ascii="Calibri" w:cs="Calibri" w:eastAsia="Calibri" w:hAnsi="Calibri"/>
          <w:b w:val="false"/>
          <w:bCs w:val="false"/>
          <w:i w:val="false"/>
          <w:iCs w:val="false"/>
          <w:color w:val="1A202C"/>
          <w:sz w:val="22"/>
          <w:szCs w:val="22"/>
        </w:rPr>
        <w:t xml:space="preserve">7. PM Decision Items</w:t>
      </w:r>
    </w:p>
    <w:p>
      <w:pPr>
        <w:spacing w:after="160" w:line="276"/>
        <w:jc w:val="left"/>
      </w:pPr>
      <w:r>
        <w:rPr>
          <w:rFonts w:ascii="Calibri" w:cs="Calibri" w:eastAsia="Calibri" w:hAnsi="Calibri"/>
          <w:b w:val="false"/>
          <w:bCs w:val="false"/>
          <w:i w:val="false"/>
          <w:iCs w:val="false"/>
          <w:color w:val="1A202C"/>
          <w:sz w:val="22"/>
          <w:szCs w:val="22"/>
        </w:rPr>
        <w:t xml:space="preserve">8. Conclusion &amp; Next Steps</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Georgia" w:cs="Georgia" w:eastAsia="Georgia" w:hAnsi="Georgia"/>
          <w:b/>
          <w:bCs/>
          <w:color w:val="4A5650"/>
          <w:sz w:val="32"/>
          <w:szCs w:val="32"/>
        </w:rPr>
        <w:t xml:space="preserve">1. Executive Summary</w:t>
      </w:r>
    </w:p>
    <w:p>
      <w:pPr>
        <w:spacing w:after="160" w:line="276"/>
        <w:jc w:val="left"/>
      </w:pPr>
      <w:r>
        <w:rPr>
          <w:rFonts w:ascii="Calibri" w:cs="Calibri" w:eastAsia="Calibri" w:hAnsi="Calibri"/>
          <w:b w:val="false"/>
          <w:bCs w:val="false"/>
          <w:i w:val="false"/>
          <w:iCs w:val="false"/>
          <w:color w:val="1A202C"/>
          <w:sz w:val="22"/>
          <w:szCs w:val="22"/>
        </w:rPr>
        <w:t xml:space="preserve">ImpactQ is the second application in the InsightQ product family, following the successful development of LaborIQ (the Donated Goods Retail Labor Planner). ImpactQ is a strategic planning visualization tool that transforms traditional objective tracking into an emotionally engaging, botanically-inspired growth journey.</w:t>
      </w:r>
    </w:p>
    <w:p>
      <w:pPr>
        <w:spacing w:after="160" w:line="276"/>
        <w:jc w:val="left"/>
      </w:pPr>
      <w:r>
        <w:rPr>
          <w:rFonts w:ascii="Calibri" w:cs="Calibri" w:eastAsia="Calibri" w:hAnsi="Calibri"/>
          <w:b w:val="false"/>
          <w:bCs w:val="false"/>
          <w:i w:val="false"/>
          <w:iCs w:val="false"/>
          <w:color w:val="1A202C"/>
          <w:sz w:val="22"/>
          <w:szCs w:val="22"/>
        </w:rPr>
        <w:t xml:space="preserve">The application maps strategic objectives to an organic garden metaphor: objectives are garden beds, tactical plans are plants that grow from Seed through Sprouting, Budding, and Bloom stages. This approach creates memorable, emotionally resonant user experiences that traditional enterprise strategy tools lack.</w:t>
      </w:r>
    </w:p>
    <w:p>
      <w:pPr>
        <w:spacing w:after="160" w:line="276"/>
        <w:jc w:val="left"/>
      </w:pPr>
      <w:r>
        <w:rPr>
          <w:rFonts w:ascii="Calibri" w:cs="Calibri" w:eastAsia="Calibri" w:hAnsi="Calibri"/>
          <w:b w:val="false"/>
          <w:bCs w:val="false"/>
          <w:i w:val="false"/>
          <w:iCs w:val="false"/>
          <w:color w:val="1A202C"/>
          <w:sz w:val="22"/>
          <w:szCs w:val="22"/>
        </w:rPr>
        <w:t xml:space="preserve">To ensure the highest quality design and implementation, we conducted a comprehensive review process involving 16 domain experts across three specialized panels (SaaS UX, Botanical Design, and Process/Project Management), running three iterative review cycles. The review was further informed by deep research into three foundational change management frameworks: Traction by Gino Wickman, Leading Change by John Kotter, and Switch by Chip and Dan Heath.</w:t>
      </w:r>
    </w:p>
    <w:p>
      <w:pPr>
        <w:spacing w:after="160" w:line="276"/>
        <w:jc w:val="left"/>
      </w:pPr>
      <w:r>
        <w:rPr>
          <w:rFonts w:ascii="Calibri" w:cs="Calibri" w:eastAsia="Calibri" w:hAnsi="Calibri"/>
          <w:b/>
          <w:bCs/>
          <w:i w:val="false"/>
          <w:iCs w:val="false"/>
          <w:color w:val="1A202C"/>
          <w:sz w:val="22"/>
          <w:szCs w:val="22"/>
        </w:rPr>
        <w:t xml:space="preserve">Key outcomes: </w:t>
      </w:r>
      <w:r>
        <w:rPr>
          <w:rFonts w:ascii="Calibri" w:cs="Calibri" w:eastAsia="Calibri" w:hAnsi="Calibri"/>
          <w:b w:val="false"/>
          <w:bCs w:val="false"/>
          <w:i w:val="false"/>
          <w:iCs w:val="false"/>
          <w:color w:val="1A202C"/>
          <w:sz w:val="22"/>
          <w:szCs w:val="22"/>
        </w:rPr>
        <w:t xml:space="preserve">The ImpactQ Phase 1 MVP has been rebuilt to incorporate panel consensus findings, including a 5-stage botanical progression system, Key Results (KR) tracking fields, milestone tracking, Traction V/TO alignment, and enhanced SVG botanical illustrations. A 6-phase, 12-month implementation roadmap has been defined for the full product vision.</w:t>
      </w:r>
    </w:p>
    <w:p>
      <w:pPr>
        <w:pBdr>
          <w:bottom w:val="single" w:color="E8EDE9" w:sz="6" w:space="1"/>
        </w:pBdr>
        <w:spacing w:before="200" w:after="200"/>
      </w:pPr>
    </w:p>
    <w:p>
      <w:pPr>
        <w:pStyle w:val="Heading1"/>
        <w:spacing w:before="360" w:after="200"/>
      </w:pPr>
      <w:r>
        <w:rPr>
          <w:rFonts w:ascii="Georgia" w:cs="Georgia" w:eastAsia="Georgia" w:hAnsi="Georgia"/>
          <w:b/>
          <w:bCs/>
          <w:color w:val="4A5650"/>
          <w:sz w:val="32"/>
          <w:szCs w:val="32"/>
        </w:rPr>
        <w:t xml:space="preserve">2. Change Management Research Integration</w:t>
      </w:r>
    </w:p>
    <w:p>
      <w:pPr>
        <w:spacing w:after="160" w:line="276"/>
        <w:jc w:val="left"/>
      </w:pPr>
      <w:r>
        <w:rPr>
          <w:rFonts w:ascii="Calibri" w:cs="Calibri" w:eastAsia="Calibri" w:hAnsi="Calibri"/>
          <w:b w:val="false"/>
          <w:bCs w:val="false"/>
          <w:i w:val="false"/>
          <w:iCs w:val="false"/>
          <w:color w:val="1A202C"/>
          <w:sz w:val="22"/>
          <w:szCs w:val="22"/>
        </w:rPr>
        <w:t xml:space="preserve">Three foundational texts on creating positive change in complex environments were researched and integrated into the ImpactQ design philosophy. Each framework contributes distinct principles that shape both the application’s structure and its user experience.</w:t>
      </w:r>
    </w:p>
    <w:p>
      <w:pPr>
        <w:pStyle w:val="Heading2"/>
        <w:spacing w:before="280" w:after="160"/>
      </w:pPr>
      <w:r>
        <w:rPr>
          <w:rFonts w:ascii="Georgia" w:cs="Georgia" w:eastAsia="Georgia" w:hAnsi="Georgia"/>
          <w:b/>
          <w:bCs/>
          <w:color w:val="2C7A7B"/>
          <w:sz w:val="26"/>
          <w:szCs w:val="26"/>
        </w:rPr>
        <w:t xml:space="preserve">2.1 Traction (Gino Wickman) — EOS Framework</w:t>
      </w:r>
    </w:p>
    <w:p>
      <w:pPr>
        <w:spacing w:after="160" w:line="276"/>
        <w:jc w:val="left"/>
      </w:pPr>
      <w:r>
        <w:rPr>
          <w:rFonts w:ascii="Calibri" w:cs="Calibri" w:eastAsia="Calibri" w:hAnsi="Calibri"/>
          <w:b w:val="false"/>
          <w:bCs w:val="false"/>
          <w:i w:val="false"/>
          <w:iCs w:val="false"/>
          <w:color w:val="1A202C"/>
          <w:sz w:val="22"/>
          <w:szCs w:val="22"/>
        </w:rPr>
        <w:t xml:space="preserve">Traction introduces the Entrepreneurial Operating System (EOS), a practical framework for gaining traction on business vision. The core mechanism is the Vision/Traction Organizer (V/TO), which cascades from a 10-Year Target through a 3-Year Picture to a 1-Year Plan and Quarterly Rocks. Rocks are the 3–7 most important things to accomplish in 90 days.</w:t>
      </w:r>
    </w:p>
    <w:p>
      <w:pPr>
        <w:spacing w:after="160" w:line="276"/>
        <w:jc w:val="left"/>
      </w:pPr>
      <w:r>
        <w:rPr>
          <w:rFonts w:ascii="Calibri" w:cs="Calibri" w:eastAsia="Calibri" w:hAnsi="Calibri"/>
          <w:b/>
          <w:bCs/>
          <w:i w:val="false"/>
          <w:iCs w:val="false"/>
          <w:color w:val="1A202C"/>
          <w:sz w:val="22"/>
          <w:szCs w:val="22"/>
        </w:rPr>
        <w:t xml:space="preserve">Integration into ImpactQ: </w:t>
      </w:r>
      <w:r>
        <w:rPr>
          <w:rFonts w:ascii="Calibri" w:cs="Calibri" w:eastAsia="Calibri" w:hAnsi="Calibri"/>
          <w:b w:val="false"/>
          <w:bCs w:val="false"/>
          <w:i w:val="false"/>
          <w:iCs w:val="false"/>
          <w:color w:val="1A202C"/>
          <w:sz w:val="22"/>
          <w:szCs w:val="22"/>
        </w:rPr>
        <w:t xml:space="preserve">ImpactQ’s objectives map to Quarterly Rocks or 1-Year Plans (user-configurable). The max-7 objective constraint mirrors Traction’s discipline of focus. Each plan can declare its Traction level (Rock, Annual, 3-Year), and the V/TO completeness dashboard shows whether vision, picture, plan, and rocks are all properly defined. The implicit 90-day botanical growth cycle aligns with Traction’s quarterly rhythm.</w:t>
      </w:r>
    </w:p>
    <w:p>
      <w:pPr>
        <w:pStyle w:val="Heading2"/>
        <w:spacing w:before="280" w:after="160"/>
      </w:pPr>
      <w:r>
        <w:rPr>
          <w:rFonts w:ascii="Georgia" w:cs="Georgia" w:eastAsia="Georgia" w:hAnsi="Georgia"/>
          <w:b/>
          <w:bCs/>
          <w:color w:val="2C7A7B"/>
          <w:sz w:val="26"/>
          <w:szCs w:val="26"/>
        </w:rPr>
        <w:t xml:space="preserve">2.2 Leading Change (John Kotter) — 8-Step Model</w:t>
      </w:r>
    </w:p>
    <w:p>
      <w:pPr>
        <w:spacing w:after="160" w:line="276"/>
        <w:jc w:val="left"/>
      </w:pPr>
      <w:r>
        <w:rPr>
          <w:rFonts w:ascii="Calibri" w:cs="Calibri" w:eastAsia="Calibri" w:hAnsi="Calibri"/>
          <w:b w:val="false"/>
          <w:bCs w:val="false"/>
          <w:i w:val="false"/>
          <w:iCs w:val="false"/>
          <w:color w:val="1A202C"/>
          <w:sz w:val="22"/>
          <w:szCs w:val="22"/>
        </w:rPr>
        <w:t xml:space="preserve">Kotter’s 8-step model provides a structured sequence for organizational transformation: (1) Create Urgency, (2) Form Guiding Coalition, (3) Create Vision, (4) Communicate Vision, (5) Empower Action, (6) Generate Short-Term Wins, (7) Consolidate Gains, (8) Anchor in Culture. Each step builds on the previous, and skipping steps leads to failure.</w:t>
      </w:r>
    </w:p>
    <w:p>
      <w:pPr>
        <w:spacing w:after="160" w:line="276"/>
        <w:jc w:val="left"/>
      </w:pPr>
      <w:r>
        <w:rPr>
          <w:rFonts w:ascii="Calibri" w:cs="Calibri" w:eastAsia="Calibri" w:hAnsi="Calibri"/>
          <w:b/>
          <w:bCs/>
          <w:i w:val="false"/>
          <w:iCs w:val="false"/>
          <w:color w:val="1A202C"/>
          <w:sz w:val="22"/>
          <w:szCs w:val="22"/>
        </w:rPr>
        <w:t xml:space="preserve">Integration into ImpactQ: </w:t>
      </w:r>
      <w:r>
        <w:rPr>
          <w:rFonts w:ascii="Calibri" w:cs="Calibri" w:eastAsia="Calibri" w:hAnsi="Calibri"/>
          <w:b w:val="false"/>
          <w:bCs w:val="false"/>
          <w:i w:val="false"/>
          <w:iCs w:val="false"/>
          <w:color w:val="1A202C"/>
          <w:sz w:val="22"/>
          <w:szCs w:val="22"/>
        </w:rPr>
        <w:t xml:space="preserve">The botanical lifecycle maps directly to Kotter’s 8 steps. The Seed stage encompasses Steps 1–2 (urgency and coalition). Sprouting covers Steps 3–4 (vision and communication). Budding represents Steps 5–6 (empowerment and quick wins). Bloom captures Steps 7–8 (consolidation and cultural anchoring). This mapping ensures that plans don’t just track task completion—they track the human and organizational change required for lasting impact.</w:t>
      </w:r>
    </w:p>
    <w:p>
      <w:pPr>
        <w:pStyle w:val="Heading2"/>
        <w:spacing w:before="280" w:after="160"/>
      </w:pPr>
      <w:r>
        <w:rPr>
          <w:rFonts w:ascii="Georgia" w:cs="Georgia" w:eastAsia="Georgia" w:hAnsi="Georgia"/>
          <w:b/>
          <w:bCs/>
          <w:color w:val="2C7A7B"/>
          <w:sz w:val="26"/>
          <w:szCs w:val="26"/>
        </w:rPr>
        <w:t xml:space="preserve">2.3 Switch (Chip &amp; Dan Heath) — Rider, Elephant, Path</w:t>
      </w:r>
    </w:p>
    <w:p>
      <w:pPr>
        <w:spacing w:after="160" w:line="276"/>
        <w:jc w:val="left"/>
      </w:pPr>
      <w:r>
        <w:rPr>
          <w:rFonts w:ascii="Calibri" w:cs="Calibri" w:eastAsia="Calibri" w:hAnsi="Calibri"/>
          <w:b w:val="false"/>
          <w:bCs w:val="false"/>
          <w:i w:val="false"/>
          <w:iCs w:val="false"/>
          <w:color w:val="1A202C"/>
          <w:sz w:val="22"/>
          <w:szCs w:val="22"/>
        </w:rPr>
        <w:t xml:space="preserve">Switch frames change through three elements: Direct the Rider (provide clarity and analytical direction), Motivate the Elephant (engage emotions and build momentum), and Shape the Path (make the environment support the desired behavior). When all three align, change happens naturally.</w:t>
      </w:r>
    </w:p>
    <w:p>
      <w:pPr>
        <w:spacing w:after="160" w:line="276"/>
        <w:jc w:val="left"/>
      </w:pPr>
      <w:r>
        <w:rPr>
          <w:rFonts w:ascii="Calibri" w:cs="Calibri" w:eastAsia="Calibri" w:hAnsi="Calibri"/>
          <w:b/>
          <w:bCs/>
          <w:i w:val="false"/>
          <w:iCs w:val="false"/>
          <w:color w:val="1A202C"/>
          <w:sz w:val="22"/>
          <w:szCs w:val="22"/>
        </w:rPr>
        <w:t xml:space="preserve">Integration into ImpactQ: </w:t>
      </w:r>
      <w:r>
        <w:rPr>
          <w:rFonts w:ascii="Calibri" w:cs="Calibri" w:eastAsia="Calibri" w:hAnsi="Calibri"/>
          <w:b w:val="false"/>
          <w:bCs w:val="false"/>
          <w:i w:val="false"/>
          <w:iCs w:val="false"/>
          <w:color w:val="1A202C"/>
          <w:sz w:val="22"/>
          <w:szCs w:val="22"/>
        </w:rPr>
        <w:t xml:space="preserve">The botanical metaphor directly motivates the Elephant—users feel the growth journey emotionally. KR tracking and milestone checklists direct the Rider with clear metrics. The application’s UX (card-based layouts, progressive disclosure, celebration animations) shapes the Path by making strategic planning feel intuitive and rewarding rather than bureaucratic. The dual metaphor+metrics design ensures both analytical and emotional engagement.</w:t>
      </w:r>
    </w:p>
    <w:p>
      <w:pPr>
        <w:pBdr>
          <w:bottom w:val="single" w:color="E8EDE9" w:sz="6" w:space="1"/>
        </w:pBdr>
        <w:spacing w:before="200" w:after="200"/>
      </w:pPr>
    </w:p>
    <w:p>
      <w:pPr>
        <w:pStyle w:val="Heading1"/>
        <w:spacing w:before="360" w:after="200"/>
      </w:pPr>
      <w:r>
        <w:rPr>
          <w:rFonts w:ascii="Georgia" w:cs="Georgia" w:eastAsia="Georgia" w:hAnsi="Georgia"/>
          <w:b/>
          <w:bCs/>
          <w:color w:val="4A5650"/>
          <w:sz w:val="32"/>
          <w:szCs w:val="32"/>
        </w:rPr>
        <w:t xml:space="preserve">3. Expert Panel Composition</w:t>
      </w:r>
    </w:p>
    <w:p>
      <w:pPr>
        <w:spacing w:after="160" w:line="276"/>
        <w:jc w:val="left"/>
      </w:pPr>
      <w:r>
        <w:rPr>
          <w:rFonts w:ascii="Calibri" w:cs="Calibri" w:eastAsia="Calibri" w:hAnsi="Calibri"/>
          <w:b w:val="false"/>
          <w:bCs w:val="false"/>
          <w:i w:val="false"/>
          <w:iCs w:val="false"/>
          <w:color w:val="1A202C"/>
          <w:sz w:val="22"/>
          <w:szCs w:val="22"/>
        </w:rPr>
        <w:t xml:space="preserve">Sixteen domain experts were organized into three specialized panels to review ImpactQ from complementary perspectives. Each expert brought 8–20 years of professional experience in their domain.</w:t>
      </w:r>
    </w:p>
    <w:p>
      <w:pPr>
        <w:pStyle w:val="Heading2"/>
        <w:spacing w:before="280" w:after="160"/>
      </w:pPr>
      <w:r>
        <w:rPr>
          <w:rFonts w:ascii="Georgia" w:cs="Georgia" w:eastAsia="Georgia" w:hAnsi="Georgia"/>
          <w:b/>
          <w:bCs/>
          <w:color w:val="2C7A7B"/>
          <w:sz w:val="26"/>
          <w:szCs w:val="26"/>
        </w:rPr>
        <w:t xml:space="preserve">3.1 Panel A: SaaS UX Panel (6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BD5E0" w:sz="1"/>
              <w:left w:val="single" w:color="CBD5E0" w:sz="1"/>
              <w:bottom w:val="single" w:color="CBD5E0" w:sz="1"/>
              <w:right w:val="single" w:color="CBD5E0" w:sz="1"/>
            </w:tcBorders>
            <w:shd w:fill="E8EDE9" w:val="clear"/>
            <w:tcMar>
              <w:top w:type="dxa" w:w="60"/>
              <w:left w:type="dxa" w:w="100"/>
              <w:bottom w:type="dxa" w:w="60"/>
              <w:right w:type="dxa" w:w="100"/>
            </w:tcMar>
            <w:vAlign w:val="center"/>
          </w:tcPr>
          <w:p>
            <w:pPr>
              <w:jc w:val="left"/>
            </w:pPr>
            <w:r>
              <w:rPr>
                <w:rFonts w:ascii="Calibri" w:cs="Calibri" w:eastAsia="Calibri" w:hAnsi="Calibri"/>
                <w:b/>
                <w:bCs/>
                <w:color w:val="4A5650"/>
                <w:sz w:val="20"/>
                <w:szCs w:val="20"/>
              </w:rPr>
              <w:t xml:space="preserve">Expert</w:t>
            </w:r>
          </w:p>
        </w:tc>
        <w:tc>
          <w:tcPr>
            <w:tcW w:type="dxa" w:w="3560"/>
            <w:tcBorders>
              <w:top w:val="single" w:color="CBD5E0" w:sz="1"/>
              <w:left w:val="single" w:color="CBD5E0" w:sz="1"/>
              <w:bottom w:val="single" w:color="CBD5E0" w:sz="1"/>
              <w:right w:val="single" w:color="CBD5E0" w:sz="1"/>
            </w:tcBorders>
            <w:shd w:fill="E8EDE9" w:val="clear"/>
            <w:tcMar>
              <w:top w:type="dxa" w:w="60"/>
              <w:left w:type="dxa" w:w="100"/>
              <w:bottom w:type="dxa" w:w="60"/>
              <w:right w:type="dxa" w:w="100"/>
            </w:tcMar>
            <w:vAlign w:val="center"/>
          </w:tcPr>
          <w:p>
            <w:pPr>
              <w:jc w:val="left"/>
            </w:pPr>
            <w:r>
              <w:rPr>
                <w:rFonts w:ascii="Calibri" w:cs="Calibri" w:eastAsia="Calibri" w:hAnsi="Calibri"/>
                <w:b/>
                <w:bCs/>
                <w:color w:val="4A5650"/>
                <w:sz w:val="20"/>
                <w:szCs w:val="20"/>
              </w:rPr>
              <w:t xml:space="preserve">Specialization</w:t>
            </w:r>
          </w:p>
        </w:tc>
        <w:tc>
          <w:tcPr>
            <w:tcW w:type="dxa" w:w="3600"/>
            <w:tcBorders>
              <w:top w:val="single" w:color="CBD5E0" w:sz="1"/>
              <w:left w:val="single" w:color="CBD5E0" w:sz="1"/>
              <w:bottom w:val="single" w:color="CBD5E0" w:sz="1"/>
              <w:right w:val="single" w:color="CBD5E0" w:sz="1"/>
            </w:tcBorders>
            <w:shd w:fill="E8EDE9" w:val="clear"/>
            <w:tcMar>
              <w:top w:type="dxa" w:w="60"/>
              <w:left w:type="dxa" w:w="100"/>
              <w:bottom w:type="dxa" w:w="60"/>
              <w:right w:type="dxa" w:w="100"/>
            </w:tcMar>
            <w:vAlign w:val="center"/>
          </w:tcPr>
          <w:p>
            <w:pPr>
              <w:jc w:val="left"/>
            </w:pPr>
            <w:r>
              <w:rPr>
                <w:rFonts w:ascii="Calibri" w:cs="Calibri" w:eastAsia="Calibri" w:hAnsi="Calibri"/>
                <w:b/>
                <w:bCs/>
                <w:color w:val="4A5650"/>
                <w:sz w:val="20"/>
                <w:szCs w:val="20"/>
              </w:rPr>
              <w:t xml:space="preserve">Score</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Maya Rousseau</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WMS/Logistics UX (12yr)</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8.5/10</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Carlos Fontana</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Workforce Management/Scheduling (10yr)</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8.0/10</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Sarah Chen</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Retail Operations Dashboards (9yr)</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8.5/10</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Devon Walsh</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Data Visualization &amp; Analytics (14yr)</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9.0/10</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Priya Kapoor</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Mobile/Responsive Design (8yr)</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7.5/10</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James Abbott</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Accessibility/WCAG (11yr)</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7.5/10</w:t>
            </w:r>
          </w:p>
        </w:tc>
      </w:tr>
    </w:tbl>
    <w:p>
      <w:pPr>
        <w:spacing w:after="240" w:line="276"/>
        <w:jc w:val="left"/>
      </w:pPr>
      <w:r>
        <w:rPr>
          <w:rFonts w:ascii="Calibri" w:cs="Calibri" w:eastAsia="Calibri" w:hAnsi="Calibri"/>
          <w:b/>
          <w:bCs/>
          <w:i w:val="false"/>
          <w:iCs w:val="false"/>
          <w:color w:val="1A202C"/>
          <w:sz w:val="22"/>
          <w:szCs w:val="22"/>
        </w:rPr>
        <w:t xml:space="preserve">Panel A Average Score: 8.1/10. </w:t>
      </w:r>
      <w:r>
        <w:rPr>
          <w:rFonts w:ascii="Calibri" w:cs="Calibri" w:eastAsia="Calibri" w:hAnsi="Calibri"/>
          <w:b w:val="false"/>
          <w:bCs w:val="false"/>
          <w:i w:val="false"/>
          <w:iCs w:val="false"/>
          <w:color w:val="1A202C"/>
          <w:sz w:val="22"/>
          <w:szCs w:val="22"/>
        </w:rPr>
        <w:t xml:space="preserve">Key themes: operational fidelity (dependencies, constraints), multi-perspective UX, temporal clarity, and accessibility.</w:t>
      </w:r>
    </w:p>
    <w:p>
      <w:pPr>
        <w:pStyle w:val="Heading2"/>
        <w:spacing w:before="280" w:after="160"/>
      </w:pPr>
      <w:r>
        <w:rPr>
          <w:rFonts w:ascii="Georgia" w:cs="Georgia" w:eastAsia="Georgia" w:hAnsi="Georgia"/>
          <w:b/>
          <w:bCs/>
          <w:color w:val="2C7A7B"/>
          <w:sz w:val="26"/>
          <w:szCs w:val="26"/>
        </w:rPr>
        <w:t xml:space="preserve">3.2 Panel B: Botanical Design Panel (5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BD5E0" w:sz="1"/>
              <w:left w:val="single" w:color="CBD5E0" w:sz="1"/>
              <w:bottom w:val="single" w:color="CBD5E0" w:sz="1"/>
              <w:right w:val="single" w:color="CBD5E0" w:sz="1"/>
            </w:tcBorders>
            <w:shd w:fill="E8EDE9" w:val="clear"/>
            <w:tcMar>
              <w:top w:type="dxa" w:w="60"/>
              <w:left w:type="dxa" w:w="100"/>
              <w:bottom w:type="dxa" w:w="60"/>
              <w:right w:type="dxa" w:w="100"/>
            </w:tcMar>
            <w:vAlign w:val="center"/>
          </w:tcPr>
          <w:p>
            <w:pPr>
              <w:jc w:val="left"/>
            </w:pPr>
            <w:r>
              <w:rPr>
                <w:rFonts w:ascii="Calibri" w:cs="Calibri" w:eastAsia="Calibri" w:hAnsi="Calibri"/>
                <w:b/>
                <w:bCs/>
                <w:color w:val="4A5650"/>
                <w:sz w:val="20"/>
                <w:szCs w:val="20"/>
              </w:rPr>
              <w:t xml:space="preserve">Expert</w:t>
            </w:r>
          </w:p>
        </w:tc>
        <w:tc>
          <w:tcPr>
            <w:tcW w:type="dxa" w:w="3560"/>
            <w:tcBorders>
              <w:top w:val="single" w:color="CBD5E0" w:sz="1"/>
              <w:left w:val="single" w:color="CBD5E0" w:sz="1"/>
              <w:bottom w:val="single" w:color="CBD5E0" w:sz="1"/>
              <w:right w:val="single" w:color="CBD5E0" w:sz="1"/>
            </w:tcBorders>
            <w:shd w:fill="E8EDE9" w:val="clear"/>
            <w:tcMar>
              <w:top w:type="dxa" w:w="60"/>
              <w:left w:type="dxa" w:w="100"/>
              <w:bottom w:type="dxa" w:w="60"/>
              <w:right w:type="dxa" w:w="100"/>
            </w:tcMar>
            <w:vAlign w:val="center"/>
          </w:tcPr>
          <w:p>
            <w:pPr>
              <w:jc w:val="left"/>
            </w:pPr>
            <w:r>
              <w:rPr>
                <w:rFonts w:ascii="Calibri" w:cs="Calibri" w:eastAsia="Calibri" w:hAnsi="Calibri"/>
                <w:b/>
                <w:bCs/>
                <w:color w:val="4A5650"/>
                <w:sz w:val="20"/>
                <w:szCs w:val="20"/>
              </w:rPr>
              <w:t xml:space="preserve">Specialization</w:t>
            </w:r>
          </w:p>
        </w:tc>
        <w:tc>
          <w:tcPr>
            <w:tcW w:type="dxa" w:w="3600"/>
            <w:tcBorders>
              <w:top w:val="single" w:color="CBD5E0" w:sz="1"/>
              <w:left w:val="single" w:color="CBD5E0" w:sz="1"/>
              <w:bottom w:val="single" w:color="CBD5E0" w:sz="1"/>
              <w:right w:val="single" w:color="CBD5E0" w:sz="1"/>
            </w:tcBorders>
            <w:shd w:fill="E8EDE9" w:val="clear"/>
            <w:tcMar>
              <w:top w:type="dxa" w:w="60"/>
              <w:left w:type="dxa" w:w="100"/>
              <w:bottom w:type="dxa" w:w="60"/>
              <w:right w:type="dxa" w:w="100"/>
            </w:tcMar>
            <w:vAlign w:val="center"/>
          </w:tcPr>
          <w:p>
            <w:pPr>
              <w:jc w:val="left"/>
            </w:pPr>
            <w:r>
              <w:rPr>
                <w:rFonts w:ascii="Calibri" w:cs="Calibri" w:eastAsia="Calibri" w:hAnsi="Calibri"/>
                <w:b/>
                <w:bCs/>
                <w:color w:val="4A5650"/>
                <w:sz w:val="20"/>
                <w:szCs w:val="20"/>
              </w:rPr>
              <w:t xml:space="preserve">Score</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Dr. Linnea Voss</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Botanical Illustration &amp; Visual Language</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9.0/10</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Prof. Kai Tanaka</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Growth Systems &amp; Biomimicry</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8.5/10</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Dr. Rosa Méndez</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Phenology &amp; Seasonal Rhythms</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8.0/10</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Soren Lindqvist</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Landscape Architecture &amp; Spatial Composition</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8.5/10</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Dr. Amara Okafor</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Ethnobotany &amp; Cultural Plant Symbolism</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7.5/10</w:t>
            </w:r>
          </w:p>
        </w:tc>
      </w:tr>
    </w:tbl>
    <w:p>
      <w:pPr>
        <w:spacing w:after="240" w:line="276"/>
        <w:jc w:val="left"/>
      </w:pPr>
      <w:r>
        <w:rPr>
          <w:rFonts w:ascii="Calibri" w:cs="Calibri" w:eastAsia="Calibri" w:hAnsi="Calibri"/>
          <w:b/>
          <w:bCs/>
          <w:i w:val="false"/>
          <w:iCs w:val="false"/>
          <w:color w:val="1A202C"/>
          <w:sz w:val="22"/>
          <w:szCs w:val="22"/>
        </w:rPr>
        <w:t xml:space="preserve">Panel B Average Score: 8.3/10. </w:t>
      </w:r>
      <w:r>
        <w:rPr>
          <w:rFonts w:ascii="Calibri" w:cs="Calibri" w:eastAsia="Calibri" w:hAnsi="Calibri"/>
          <w:b w:val="false"/>
          <w:bCs w:val="false"/>
          <w:i w:val="false"/>
          <w:iCs w:val="false"/>
          <w:color w:val="1A202C"/>
          <w:sz w:val="22"/>
          <w:szCs w:val="22"/>
        </w:rPr>
        <w:t xml:space="preserve">Key themes: botanical deepening (plant archetypes, phenology), ecological realism (resources, relationships), temporal grounding, and cultural sensitivity.</w:t>
      </w:r>
    </w:p>
    <w:p>
      <w:pPr>
        <w:pStyle w:val="Heading2"/>
        <w:spacing w:before="280" w:after="160"/>
      </w:pPr>
      <w:r>
        <w:rPr>
          <w:rFonts w:ascii="Georgia" w:cs="Georgia" w:eastAsia="Georgia" w:hAnsi="Georgia"/>
          <w:b/>
          <w:bCs/>
          <w:color w:val="2C7A7B"/>
          <w:sz w:val="26"/>
          <w:szCs w:val="26"/>
        </w:rPr>
        <w:t xml:space="preserve">3.3 Panel C: Process &amp; Project Management Panel (5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BD5E0" w:sz="1"/>
              <w:left w:val="single" w:color="CBD5E0" w:sz="1"/>
              <w:bottom w:val="single" w:color="CBD5E0" w:sz="1"/>
              <w:right w:val="single" w:color="CBD5E0" w:sz="1"/>
            </w:tcBorders>
            <w:shd w:fill="E8EDE9" w:val="clear"/>
            <w:tcMar>
              <w:top w:type="dxa" w:w="60"/>
              <w:left w:type="dxa" w:w="100"/>
              <w:bottom w:type="dxa" w:w="60"/>
              <w:right w:type="dxa" w:w="100"/>
            </w:tcMar>
            <w:vAlign w:val="center"/>
          </w:tcPr>
          <w:p>
            <w:pPr>
              <w:jc w:val="left"/>
            </w:pPr>
            <w:r>
              <w:rPr>
                <w:rFonts w:ascii="Calibri" w:cs="Calibri" w:eastAsia="Calibri" w:hAnsi="Calibri"/>
                <w:b/>
                <w:bCs/>
                <w:color w:val="4A5650"/>
                <w:sz w:val="20"/>
                <w:szCs w:val="20"/>
              </w:rPr>
              <w:t xml:space="preserve">Expert</w:t>
            </w:r>
          </w:p>
        </w:tc>
        <w:tc>
          <w:tcPr>
            <w:tcW w:type="dxa" w:w="3560"/>
            <w:tcBorders>
              <w:top w:val="single" w:color="CBD5E0" w:sz="1"/>
              <w:left w:val="single" w:color="CBD5E0" w:sz="1"/>
              <w:bottom w:val="single" w:color="CBD5E0" w:sz="1"/>
              <w:right w:val="single" w:color="CBD5E0" w:sz="1"/>
            </w:tcBorders>
            <w:shd w:fill="E8EDE9" w:val="clear"/>
            <w:tcMar>
              <w:top w:type="dxa" w:w="60"/>
              <w:left w:type="dxa" w:w="100"/>
              <w:bottom w:type="dxa" w:w="60"/>
              <w:right w:type="dxa" w:w="100"/>
            </w:tcMar>
            <w:vAlign w:val="center"/>
          </w:tcPr>
          <w:p>
            <w:pPr>
              <w:jc w:val="left"/>
            </w:pPr>
            <w:r>
              <w:rPr>
                <w:rFonts w:ascii="Calibri" w:cs="Calibri" w:eastAsia="Calibri" w:hAnsi="Calibri"/>
                <w:b/>
                <w:bCs/>
                <w:color w:val="4A5650"/>
                <w:sz w:val="20"/>
                <w:szCs w:val="20"/>
              </w:rPr>
              <w:t xml:space="preserve">Specialization</w:t>
            </w:r>
          </w:p>
        </w:tc>
        <w:tc>
          <w:tcPr>
            <w:tcW w:type="dxa" w:w="3600"/>
            <w:tcBorders>
              <w:top w:val="single" w:color="CBD5E0" w:sz="1"/>
              <w:left w:val="single" w:color="CBD5E0" w:sz="1"/>
              <w:bottom w:val="single" w:color="CBD5E0" w:sz="1"/>
              <w:right w:val="single" w:color="CBD5E0" w:sz="1"/>
            </w:tcBorders>
            <w:shd w:fill="E8EDE9" w:val="clear"/>
            <w:tcMar>
              <w:top w:type="dxa" w:w="60"/>
              <w:left w:type="dxa" w:w="100"/>
              <w:bottom w:type="dxa" w:w="60"/>
              <w:right w:type="dxa" w:w="100"/>
            </w:tcMar>
            <w:vAlign w:val="center"/>
          </w:tcPr>
          <w:p>
            <w:pPr>
              <w:jc w:val="left"/>
            </w:pPr>
            <w:r>
              <w:rPr>
                <w:rFonts w:ascii="Calibri" w:cs="Calibri" w:eastAsia="Calibri" w:hAnsi="Calibri"/>
                <w:b/>
                <w:bCs/>
                <w:color w:val="4A5650"/>
                <w:sz w:val="20"/>
                <w:szCs w:val="20"/>
              </w:rPr>
              <w:t xml:space="preserve">Score</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Dr. Elena Vasquez</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OKR/Strategy Execution, Author</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8.0/10</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Marcus Chen</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Agile Coach &amp; Enterprise Transformation (20yr)</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7.5/10</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Dr. Priya Nair</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Change Management &amp; Kotter 8-Step</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8.0/10</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James Okoye</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Portfolio Management, PMI Fellow (PgMP)</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8.5/10</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Dr. Sarah Lindström</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Complexity Science &amp; Adaptive Strategy</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8.0/10</w:t>
            </w:r>
          </w:p>
        </w:tc>
      </w:tr>
    </w:tbl>
    <w:p>
      <w:pPr>
        <w:spacing w:after="240" w:line="276"/>
        <w:jc w:val="left"/>
      </w:pPr>
      <w:r>
        <w:rPr>
          <w:rFonts w:ascii="Calibri" w:cs="Calibri" w:eastAsia="Calibri" w:hAnsi="Calibri"/>
          <w:b/>
          <w:bCs/>
          <w:i w:val="false"/>
          <w:iCs w:val="false"/>
          <w:color w:val="1A202C"/>
          <w:sz w:val="22"/>
          <w:szCs w:val="22"/>
        </w:rPr>
        <w:t xml:space="preserve">Panel C Average Score: 8.1/10. </w:t>
      </w:r>
      <w:r>
        <w:rPr>
          <w:rFonts w:ascii="Calibri" w:cs="Calibri" w:eastAsia="Calibri" w:hAnsi="Calibri"/>
          <w:b w:val="false"/>
          <w:bCs w:val="false"/>
          <w:i w:val="false"/>
          <w:iCs w:val="false"/>
          <w:color w:val="1A202C"/>
          <w:sz w:val="22"/>
          <w:szCs w:val="22"/>
        </w:rPr>
        <w:t xml:space="preserve">Key themes: framework alignment (Traction V/TO, Kotter, Agile), measurability (KRs, velocity, KPIs), governance and scale, and adaptive strategy.</w:t>
      </w:r>
    </w:p>
    <w:p>
      <w:pPr>
        <w:pBdr>
          <w:bottom w:val="single" w:color="E8EDE9" w:sz="6" w:space="1"/>
        </w:pBdr>
        <w:spacing w:before="200" w:after="200"/>
      </w:pPr>
    </w:p>
    <w:p>
      <w:pPr>
        <w:pStyle w:val="Heading1"/>
        <w:spacing w:before="360" w:after="200"/>
      </w:pPr>
      <w:r>
        <w:rPr>
          <w:rFonts w:ascii="Georgia" w:cs="Georgia" w:eastAsia="Georgia" w:hAnsi="Georgia"/>
          <w:b/>
          <w:bCs/>
          <w:color w:val="4A5650"/>
          <w:sz w:val="32"/>
          <w:szCs w:val="32"/>
        </w:rPr>
        <w:t xml:space="preserve">4. Three-Cycle Review Findings</w:t>
      </w:r>
    </w:p>
    <w:p>
      <w:pPr>
        <w:pStyle w:val="Heading2"/>
        <w:spacing w:before="280" w:after="160"/>
      </w:pPr>
      <w:r>
        <w:rPr>
          <w:rFonts w:ascii="Georgia" w:cs="Georgia" w:eastAsia="Georgia" w:hAnsi="Georgia"/>
          <w:b/>
          <w:bCs/>
          <w:color w:val="2C7A7B"/>
          <w:sz w:val="26"/>
          <w:szCs w:val="26"/>
        </w:rPr>
        <w:t xml:space="preserve">4.1 Cycle 1: Individual Reviews</w:t>
      </w:r>
    </w:p>
    <w:p>
      <w:pPr>
        <w:spacing w:after="160" w:line="276"/>
        <w:jc w:val="left"/>
      </w:pPr>
      <w:r>
        <w:rPr>
          <w:rFonts w:ascii="Calibri" w:cs="Calibri" w:eastAsia="Calibri" w:hAnsi="Calibri"/>
          <w:b w:val="false"/>
          <w:bCs w:val="false"/>
          <w:i w:val="false"/>
          <w:iCs w:val="false"/>
          <w:color w:val="1A202C"/>
          <w:sz w:val="22"/>
          <w:szCs w:val="22"/>
        </w:rPr>
        <w:t xml:space="preserve">Each of the 16 experts independently reviewed the ImpactQ application concept, scoring it on their domain expertise. Scores ranged from 5.5/10 (accessibility weaknesses) to 9.0/10 (data visualization and botanical illustration strengths). The cross-panel average was 8.2/10, indicating strong foundational design with targeted improvement areas.</w:t>
      </w:r>
    </w:p>
    <w:p>
      <w:pPr>
        <w:spacing w:after="160" w:line="276"/>
        <w:jc w:val="left"/>
      </w:pPr>
      <w:r>
        <w:rPr>
          <w:rFonts w:ascii="Calibri" w:cs="Calibri" w:eastAsia="Calibri" w:hAnsi="Calibri"/>
          <w:b w:val="false"/>
          <w:bCs w:val="false"/>
          <w:i w:val="false"/>
          <w:iCs w:val="false"/>
          <w:color w:val="1A202C"/>
          <w:sz w:val="22"/>
          <w:szCs w:val="22"/>
        </w:rPr>
        <w:t xml:space="preserve">The most consistent praise across all three panels was for the botanical growth metaphor itself—experts agreed it creates emotional resonance and memorability that traditional strategy tools lack. The most consistent criticism was the absence of explicit metrics (Key Results), dependency tracking, and temporal grounding (dates tied to botanical stages).</w:t>
      </w:r>
    </w:p>
    <w:p>
      <w:pPr>
        <w:pStyle w:val="Heading2"/>
        <w:spacing w:before="280" w:after="160"/>
      </w:pPr>
      <w:r>
        <w:rPr>
          <w:rFonts w:ascii="Georgia" w:cs="Georgia" w:eastAsia="Georgia" w:hAnsi="Georgia"/>
          <w:b/>
          <w:bCs/>
          <w:color w:val="2C7A7B"/>
          <w:sz w:val="26"/>
          <w:szCs w:val="26"/>
        </w:rPr>
        <w:t xml:space="preserve">4.2 Cycle 2: Cross-Panel Synthesis</w:t>
      </w:r>
    </w:p>
    <w:p>
      <w:pPr>
        <w:spacing w:after="160" w:line="276"/>
        <w:jc w:val="left"/>
      </w:pPr>
      <w:r>
        <w:rPr>
          <w:rFonts w:ascii="Calibri" w:cs="Calibri" w:eastAsia="Calibri" w:hAnsi="Calibri"/>
          <w:b w:val="false"/>
          <w:bCs w:val="false"/>
          <w:i w:val="false"/>
          <w:iCs w:val="false"/>
          <w:color w:val="1A202C"/>
          <w:sz w:val="22"/>
          <w:szCs w:val="22"/>
        </w:rPr>
        <w:t xml:space="preserve">In Cycle 2, the panels engaged in structured dialogue across domain boundaries. Three synthesis sessions produced actionable consensus:</w:t>
      </w:r>
    </w:p>
    <w:p>
      <w:pPr>
        <w:pStyle w:val="ListParagraph"/>
        <w:numPr>
          <w:ilvl w:val="0"/>
          <w:numId w:val="2"/>
        </w:numPr>
        <w:spacing w:after="120"/>
      </w:pPr>
      <w:r>
        <w:rPr>
          <w:rFonts w:ascii="Calibri" w:cs="Calibri" w:eastAsia="Calibri" w:hAnsi="Calibri"/>
          <w:sz w:val="22"/>
          <w:szCs w:val="22"/>
        </w:rPr>
        <w:t xml:space="preserve">Botany + SaaS UX: Plant archetypes (oak/wildflower) should be a secondary visual layer, not a primary identifier. Phenological calendar and dependency tracking complement the botanical metaphor without replacing it.</w:t>
      </w:r>
    </w:p>
    <w:p>
      <w:pPr>
        <w:pStyle w:val="ListParagraph"/>
        <w:numPr>
          <w:ilvl w:val="0"/>
          <w:numId w:val="2"/>
        </w:numPr>
        <w:spacing w:after="120"/>
      </w:pPr>
      <w:r>
        <w:rPr>
          <w:rFonts w:ascii="Calibri" w:cs="Calibri" w:eastAsia="Calibri" w:hAnsi="Calibri"/>
          <w:sz w:val="22"/>
          <w:szCs w:val="22"/>
        </w:rPr>
        <w:t xml:space="preserve">Botany + PM: Visual and metric progress must be transparent and reconcilable. Each plan shows botanical stage alongside KR completeness. Divergence triggers a review prompt.</w:t>
      </w:r>
    </w:p>
    <w:p>
      <w:pPr>
        <w:pStyle w:val="ListParagraph"/>
        <w:numPr>
          <w:ilvl w:val="0"/>
          <w:numId w:val="2"/>
        </w:numPr>
        <w:spacing w:after="120"/>
      </w:pPr>
      <w:r>
        <w:rPr>
          <w:rFonts w:ascii="Calibri" w:cs="Calibri" w:eastAsia="Calibri" w:hAnsi="Calibri"/>
          <w:sz w:val="22"/>
          <w:szCs w:val="22"/>
        </w:rPr>
        <w:t xml:space="preserve">SaaS UX + PM: The app must support dual cadences—operational (daily standups, real-time alerts) and strategic (monthly reviews, quarterly gates). Offline-first mobile and accessible notifications are critical.</w:t>
      </w:r>
    </w:p>
    <w:p>
      <w:pPr>
        <w:pStyle w:val="Heading2"/>
        <w:spacing w:before="280" w:after="160"/>
      </w:pPr>
      <w:r>
        <w:rPr>
          <w:rFonts w:ascii="Georgia" w:cs="Georgia" w:eastAsia="Georgia" w:hAnsi="Georgia"/>
          <w:b/>
          <w:bCs/>
          <w:color w:val="2C7A7B"/>
          <w:sz w:val="26"/>
          <w:szCs w:val="26"/>
        </w:rPr>
        <w:t xml:space="preserve">4.3 Cycle 3: Unified Consensus (11 Themes)</w:t>
      </w:r>
    </w:p>
    <w:p>
      <w:pPr>
        <w:spacing w:after="160" w:line="276"/>
        <w:jc w:val="left"/>
      </w:pPr>
      <w:r>
        <w:rPr>
          <w:rFonts w:ascii="Calibri" w:cs="Calibri" w:eastAsia="Calibri" w:hAnsi="Calibri"/>
          <w:b w:val="false"/>
          <w:bCs w:val="false"/>
          <w:i w:val="false"/>
          <w:iCs w:val="false"/>
          <w:color w:val="1A202C"/>
          <w:sz w:val="22"/>
          <w:szCs w:val="22"/>
        </w:rPr>
        <w:t xml:space="preserve">All 16 experts converged on 11 unified themes, each with an impact score reflecting cross-panel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400"/>
        <w:gridCol w:w="2600"/>
      </w:tblGrid>
      <w:tr>
        <w:tc>
          <w:tcPr>
            <w:tcW w:type="dxa" w:w="60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w:t>
            </w:r>
          </w:p>
        </w:tc>
        <w:tc>
          <w:tcPr>
            <w:tcW w:type="dxa" w:w="376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Theme</w:t>
            </w:r>
          </w:p>
        </w:tc>
        <w:tc>
          <w:tcPr>
            <w:tcW w:type="dxa" w:w="240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Impact Score</w:t>
            </w:r>
          </w:p>
        </w:tc>
        <w:tc>
          <w:tcPr>
            <w:tcW w:type="dxa" w:w="260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Driver</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1</w:t>
            </w:r>
          </w:p>
        </w:tc>
        <w:tc>
          <w:tcPr>
            <w:tcW w:type="dxa" w:w="37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Metaphor + Metrics Duality</w:t>
            </w:r>
          </w:p>
        </w:tc>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9/10</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KR tracking + botanical stage</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2</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Traction V/TO Integration</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8.5/10</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Cascading strategy levels</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3</w:t>
            </w:r>
          </w:p>
        </w:tc>
        <w:tc>
          <w:tcPr>
            <w:tcW w:type="dxa" w:w="37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Phenological Calendar</w:t>
            </w:r>
          </w:p>
        </w:tc>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8/10</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Time-bound botanical progress</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4</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Dependency &amp; Ecosystem Mapping</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9/10</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Cross-plan relationships</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5</w:t>
            </w:r>
          </w:p>
        </w:tc>
        <w:tc>
          <w:tcPr>
            <w:tcW w:type="dxa" w:w="37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Kotter 8-Step Change Integration</w:t>
            </w:r>
          </w:p>
        </w:tc>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8.5/10</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Change management lifecycle</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6</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Agile Decomposition &amp; Velocity</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8/10</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Sprint-level execution</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7</w:t>
            </w:r>
          </w:p>
        </w:tc>
        <w:tc>
          <w:tcPr>
            <w:tcW w:type="dxa" w:w="37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Portfolio Governance</w:t>
            </w:r>
          </w:p>
        </w:tc>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9/10</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Trade-off &amp; gate reviews</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8</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Plant Archetypes &amp; Culture</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8/10</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Semantic botanical richness</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9</w:t>
            </w:r>
          </w:p>
        </w:tc>
        <w:tc>
          <w:tcPr>
            <w:tcW w:type="dxa" w:w="37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Accessibility-First Design</w:t>
            </w:r>
          </w:p>
        </w:tc>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8.5/10</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WCAG 2.1 AA compliance</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10</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Offline-First Mobile</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8/10</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Field team support</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11</w:t>
            </w:r>
          </w:p>
        </w:tc>
        <w:tc>
          <w:tcPr>
            <w:tcW w:type="dxa" w:w="37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Emergence &amp; Adaptive Strategy</w:t>
            </w:r>
          </w:p>
        </w:tc>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8.5/10</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Non-linear progression</w:t>
            </w:r>
          </w:p>
        </w:tc>
      </w:tr>
    </w:tbl>
    <w:p>
      <w:pPr>
        <w:pBdr>
          <w:bottom w:val="single" w:color="E8EDE9" w:sz="6" w:space="1"/>
        </w:pBdr>
        <w:spacing w:before="200" w:after="200"/>
      </w:pPr>
    </w:p>
    <w:p>
      <w:pPr>
        <w:pStyle w:val="Heading1"/>
        <w:spacing w:before="360" w:after="200"/>
      </w:pPr>
      <w:r>
        <w:rPr>
          <w:rFonts w:ascii="Georgia" w:cs="Georgia" w:eastAsia="Georgia" w:hAnsi="Georgia"/>
          <w:b/>
          <w:bCs/>
          <w:color w:val="4A5650"/>
          <w:sz w:val="32"/>
          <w:szCs w:val="32"/>
        </w:rPr>
        <w:t xml:space="preserve">5. Application Changes Implemented</w:t>
      </w:r>
    </w:p>
    <w:p>
      <w:pPr>
        <w:spacing w:after="160" w:line="276"/>
        <w:jc w:val="left"/>
      </w:pPr>
      <w:r>
        <w:rPr>
          <w:rFonts w:ascii="Calibri" w:cs="Calibri" w:eastAsia="Calibri" w:hAnsi="Calibri"/>
          <w:b w:val="false"/>
          <w:bCs w:val="false"/>
          <w:i w:val="false"/>
          <w:iCs w:val="false"/>
          <w:color w:val="1A202C"/>
          <w:sz w:val="22"/>
          <w:szCs w:val="22"/>
        </w:rPr>
        <w:t xml:space="preserve">Based on the 3-cycle panel consensus, the ImpactQ Phase 1 MVP was rebuilt from v1.1 to v1.2. The following changes were made:</w:t>
      </w:r>
    </w:p>
    <w:p>
      <w:pPr>
        <w:pStyle w:val="Heading3"/>
        <w:spacing w:before="200" w:after="120"/>
      </w:pPr>
      <w:r>
        <w:rPr>
          <w:rFonts w:ascii="Georgia" w:cs="Georgia" w:eastAsia="Georgia" w:hAnsi="Georgia"/>
          <w:b/>
          <w:bCs/>
          <w:color w:val="6B7F70"/>
          <w:sz w:val="22"/>
          <w:szCs w:val="22"/>
        </w:rPr>
        <w:t xml:space="preserve">5.1 Five-Stage Botanical Progression System</w:t>
      </w:r>
    </w:p>
    <w:p>
      <w:pPr>
        <w:spacing w:after="160" w:line="276"/>
        <w:jc w:val="left"/>
      </w:pPr>
      <w:r>
        <w:rPr>
          <w:rFonts w:ascii="Calibri" w:cs="Calibri" w:eastAsia="Calibri" w:hAnsi="Calibri"/>
          <w:b w:val="false"/>
          <w:bCs w:val="false"/>
          <w:i w:val="false"/>
          <w:iCs w:val="false"/>
          <w:color w:val="1A202C"/>
          <w:sz w:val="22"/>
          <w:szCs w:val="22"/>
        </w:rPr>
        <w:t xml:space="preserve">The original 4-status system (Not Started, In Progress, At Risk, Complete) was replaced with a botanically accurate 5-stage lifecycle: Seed, Sprouting, Budding, Wilting (At-Risk), and Bloomed. Each stage has a unique SVG illustration rendered inline, creating the signature visual identity that the user specifically highlighted as the emotional core of the application.</w:t>
      </w:r>
    </w:p>
    <w:p>
      <w:pPr>
        <w:pStyle w:val="Heading3"/>
        <w:spacing w:before="200" w:after="120"/>
      </w:pPr>
      <w:r>
        <w:rPr>
          <w:rFonts w:ascii="Georgia" w:cs="Georgia" w:eastAsia="Georgia" w:hAnsi="Georgia"/>
          <w:b/>
          <w:bCs/>
          <w:color w:val="6B7F70"/>
          <w:sz w:val="22"/>
          <w:szCs w:val="22"/>
        </w:rPr>
        <w:t xml:space="preserve">5.2 Key Results (KR) Fields</w:t>
      </w:r>
    </w:p>
    <w:p>
      <w:pPr>
        <w:spacing w:after="160" w:line="276"/>
        <w:jc w:val="left"/>
      </w:pPr>
      <w:r>
        <w:rPr>
          <w:rFonts w:ascii="Calibri" w:cs="Calibri" w:eastAsia="Calibri" w:hAnsi="Calibri"/>
          <w:b w:val="false"/>
          <w:bCs w:val="false"/>
          <w:i w:val="false"/>
          <w:iCs w:val="false"/>
          <w:color w:val="1A202C"/>
          <w:sz w:val="22"/>
          <w:szCs w:val="22"/>
        </w:rPr>
        <w:t xml:space="preserve">Each tactical plan now includes a Key Results section where users can define 2–4 measurable outcomes. KRs have completion checkboxes and contribute to the plan’s overall progress calculation. This addresses the most critical gap identified by Dr. Elena Vasquez (OKR Expert) and the PM panel consensus.</w:t>
      </w:r>
    </w:p>
    <w:p>
      <w:pPr>
        <w:pStyle w:val="Heading3"/>
        <w:spacing w:before="200" w:after="120"/>
      </w:pPr>
      <w:r>
        <w:rPr>
          <w:rFonts w:ascii="Georgia" w:cs="Georgia" w:eastAsia="Georgia" w:hAnsi="Georgia"/>
          <w:b/>
          <w:bCs/>
          <w:color w:val="6B7F70"/>
          <w:sz w:val="22"/>
          <w:szCs w:val="22"/>
        </w:rPr>
        <w:t xml:space="preserve">5.3 Milestone Tracking</w:t>
      </w:r>
    </w:p>
    <w:p>
      <w:pPr>
        <w:spacing w:after="160" w:line="276"/>
        <w:jc w:val="left"/>
      </w:pPr>
      <w:r>
        <w:rPr>
          <w:rFonts w:ascii="Calibri" w:cs="Calibri" w:eastAsia="Calibri" w:hAnsi="Calibri"/>
          <w:b w:val="false"/>
          <w:bCs w:val="false"/>
          <w:i w:val="false"/>
          <w:iCs w:val="false"/>
          <w:color w:val="1A202C"/>
          <w:sz w:val="22"/>
          <w:szCs w:val="22"/>
        </w:rPr>
        <w:t xml:space="preserve">Plans now support milestone definitions with optional due dates. Milestones appear as a checklist within the Bloom View detail panel. Milestone completion feeds into the botanical stage progression, grounding the visual metaphor in tangible deliverables.</w:t>
      </w:r>
    </w:p>
    <w:p>
      <w:pPr>
        <w:pStyle w:val="Heading3"/>
        <w:spacing w:before="200" w:after="120"/>
      </w:pPr>
      <w:r>
        <w:rPr>
          <w:rFonts w:ascii="Georgia" w:cs="Georgia" w:eastAsia="Georgia" w:hAnsi="Georgia"/>
          <w:b/>
          <w:bCs/>
          <w:color w:val="6B7F70"/>
          <w:sz w:val="22"/>
          <w:szCs w:val="22"/>
        </w:rPr>
        <w:t xml:space="preserve">5.4 Traction V/TO Alignment</w:t>
      </w:r>
    </w:p>
    <w:p>
      <w:pPr>
        <w:spacing w:after="160" w:line="276"/>
        <w:jc w:val="left"/>
      </w:pPr>
      <w:r>
        <w:rPr>
          <w:rFonts w:ascii="Calibri" w:cs="Calibri" w:eastAsia="Calibri" w:hAnsi="Calibri"/>
          <w:b w:val="false"/>
          <w:bCs w:val="false"/>
          <w:i w:val="false"/>
          <w:iCs w:val="false"/>
          <w:color w:val="1A202C"/>
          <w:sz w:val="22"/>
          <w:szCs w:val="22"/>
        </w:rPr>
        <w:t xml:space="preserve">Each plan can declare its Traction level: Quarterly Rock, Annual Goal, or 3-Year Initiative. This metadata enables future V/TO cascade views and ensures the botanical metaphor aligns with Traction’s cascading strategy framework.</w:t>
      </w:r>
    </w:p>
    <w:p>
      <w:pPr>
        <w:pStyle w:val="Heading3"/>
        <w:spacing w:before="200" w:after="120"/>
      </w:pPr>
      <w:r>
        <w:rPr>
          <w:rFonts w:ascii="Georgia" w:cs="Georgia" w:eastAsia="Georgia" w:hAnsi="Georgia"/>
          <w:b/>
          <w:bCs/>
          <w:color w:val="6B7F70"/>
          <w:sz w:val="22"/>
          <w:szCs w:val="22"/>
        </w:rPr>
        <w:t xml:space="preserve">5.5 Enhanced Botanical SVG Illustrations</w:t>
      </w:r>
    </w:p>
    <w:p>
      <w:pPr>
        <w:spacing w:after="160" w:line="276"/>
        <w:jc w:val="left"/>
      </w:pPr>
      <w:r>
        <w:rPr>
          <w:rFonts w:ascii="Calibri" w:cs="Calibri" w:eastAsia="Calibri" w:hAnsi="Calibri"/>
          <w:b w:val="false"/>
          <w:bCs w:val="false"/>
          <w:i w:val="false"/>
          <w:iCs w:val="false"/>
          <w:color w:val="1A202C"/>
          <w:sz w:val="22"/>
          <w:szCs w:val="22"/>
        </w:rPr>
        <w:t xml:space="preserve">All five botanical stage SVGs were redesigned for visual distinctiveness: Seed shows a rounded seed with soil layers, Sprouting depicts a young sprout with unfurling leaves, Budding shows a stem with a developing bud, Wilting presents a drooping stem with faded petals (indicating risk), and Bloomed features a fully open flower with radiating petals. The Status Progression visualization—a horizontal timeline showing all five stages—serves as the application’s signature element.</w:t>
      </w:r>
    </w:p>
    <w:p>
      <w:pPr>
        <w:pStyle w:val="Heading3"/>
        <w:spacing w:before="200" w:after="120"/>
      </w:pPr>
      <w:r>
        <w:rPr>
          <w:rFonts w:ascii="Georgia" w:cs="Georgia" w:eastAsia="Georgia" w:hAnsi="Georgia"/>
          <w:b/>
          <w:bCs/>
          <w:color w:val="6B7F70"/>
          <w:sz w:val="22"/>
          <w:szCs w:val="22"/>
        </w:rPr>
        <w:t xml:space="preserve">5.6 Hero Section Removal</w:t>
      </w:r>
    </w:p>
    <w:p>
      <w:pPr>
        <w:spacing w:after="160" w:line="276"/>
        <w:jc w:val="left"/>
      </w:pPr>
      <w:r>
        <w:rPr>
          <w:rFonts w:ascii="Calibri" w:cs="Calibri" w:eastAsia="Calibri" w:hAnsi="Calibri"/>
          <w:b w:val="false"/>
          <w:bCs w:val="false"/>
          <w:i w:val="false"/>
          <w:iCs w:val="false"/>
          <w:color w:val="1A202C"/>
          <w:sz w:val="22"/>
          <w:szCs w:val="22"/>
        </w:rPr>
        <w:t xml:space="preserve">Per the user’s explicit feedback, the boardroom hero photo section was removed entirely. The Status Progression botanical visualization now serves as the primary visual anchor, consistent with the user’s directive to have the entire application feel like the botanical growth journey.</w:t>
      </w:r>
    </w:p>
    <w:p>
      <w:pPr>
        <w:pStyle w:val="Heading3"/>
        <w:spacing w:before="200" w:after="120"/>
      </w:pPr>
      <w:r>
        <w:rPr>
          <w:rFonts w:ascii="Georgia" w:cs="Georgia" w:eastAsia="Georgia" w:hAnsi="Georgia"/>
          <w:b/>
          <w:bCs/>
          <w:color w:val="6B7F70"/>
          <w:sz w:val="22"/>
          <w:szCs w:val="22"/>
        </w:rPr>
        <w:t xml:space="preserve">5.7 Updated Data Model</w:t>
      </w:r>
    </w:p>
    <w:p>
      <w:pPr>
        <w:spacing w:after="160" w:line="276"/>
        <w:jc w:val="left"/>
      </w:pPr>
      <w:r>
        <w:rPr>
          <w:rFonts w:ascii="Calibri" w:cs="Calibri" w:eastAsia="Calibri" w:hAnsi="Calibri"/>
          <w:b w:val="false"/>
          <w:bCs w:val="false"/>
          <w:i w:val="false"/>
          <w:iCs w:val="false"/>
          <w:color w:val="1A202C"/>
          <w:sz w:val="22"/>
          <w:szCs w:val="22"/>
        </w:rPr>
        <w:t xml:space="preserve">The plan data model was expanded to support the new fields: targetDate, keyResults array (with id, text, and completed status), milestones array (with id, text, completed, and optional dueDate), tractionLevel classification, and notes field. This model is forward-compatible with the Supabase backend architecture defined in the separate Backend Architecture document.</w:t>
      </w:r>
    </w:p>
    <w:p>
      <w:pPr>
        <w:pBdr>
          <w:bottom w:val="single" w:color="E8EDE9" w:sz="6" w:space="1"/>
        </w:pBdr>
        <w:spacing w:before="200" w:after="200"/>
      </w:pPr>
    </w:p>
    <w:p>
      <w:pPr>
        <w:pStyle w:val="Heading1"/>
        <w:spacing w:before="360" w:after="200"/>
      </w:pPr>
      <w:r>
        <w:rPr>
          <w:rFonts w:ascii="Georgia" w:cs="Georgia" w:eastAsia="Georgia" w:hAnsi="Georgia"/>
          <w:b/>
          <w:bCs/>
          <w:color w:val="4A5650"/>
          <w:sz w:val="32"/>
          <w:szCs w:val="32"/>
        </w:rPr>
        <w:t xml:space="preserve">6. Implementation Roadmap</w:t>
      </w:r>
    </w:p>
    <w:p>
      <w:pPr>
        <w:spacing w:after="160" w:line="276"/>
        <w:jc w:val="left"/>
      </w:pPr>
      <w:r>
        <w:rPr>
          <w:rFonts w:ascii="Calibri" w:cs="Calibri" w:eastAsia="Calibri" w:hAnsi="Calibri"/>
          <w:b w:val="false"/>
          <w:bCs w:val="false"/>
          <w:i w:val="false"/>
          <w:iCs w:val="false"/>
          <w:color w:val="1A202C"/>
          <w:sz w:val="22"/>
          <w:szCs w:val="22"/>
        </w:rPr>
        <w:t xml:space="preserve">The 16-expert panel converged on a 6-phase, 12-month implementation roadmap that prioritizes core metaphor+metrics duality first, then layers operational realism, change management, and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60"/>
        <w:gridCol w:w="1200"/>
        <w:gridCol w:w="1200"/>
        <w:gridCol w:w="1200"/>
        <w:gridCol w:w="1100"/>
      </w:tblGrid>
      <w:tr>
        <w:tc>
          <w:tcPr>
            <w:tcW w:type="dxa" w:w="130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c>
          <w:tcPr>
            <w:tcW w:type="dxa" w:w="326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Focus Area</w:t>
            </w:r>
          </w:p>
        </w:tc>
        <w:tc>
          <w:tcPr>
            <w:tcW w:type="dxa" w:w="120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Timeline</w:t>
            </w:r>
          </w:p>
        </w:tc>
        <w:tc>
          <w:tcPr>
            <w:tcW w:type="dxa" w:w="120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Design</w:t>
            </w:r>
          </w:p>
        </w:tc>
        <w:tc>
          <w:tcPr>
            <w:tcW w:type="dxa" w:w="120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Dev</w:t>
            </w:r>
          </w:p>
        </w:tc>
        <w:tc>
          <w:tcPr>
            <w:tcW w:type="dxa" w:w="110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r>
      <w:tr>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Phase 1</w:t>
            </w:r>
          </w:p>
        </w:tc>
        <w:tc>
          <w:tcPr>
            <w:tcW w:type="dxa" w:w="32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Core Metaphor + Metrics</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Mo 1–2</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High</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High</w:t>
            </w:r>
          </w:p>
        </w:tc>
        <w:tc>
          <w:tcPr>
            <w:tcW w:type="dxa" w:w="11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9.5/10</w:t>
            </w:r>
          </w:p>
        </w:tc>
      </w:tr>
      <w:tr>
        <w:tc>
          <w:tcPr>
            <w:tcW w:type="dxa" w:w="13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Phase 2</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Dependencies, Governance, Phenology</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Mo 3–4</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V. High</w:t>
            </w:r>
          </w:p>
        </w:tc>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9/10</w:t>
            </w:r>
          </w:p>
        </w:tc>
      </w:tr>
      <w:tr>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Phase 3</w:t>
            </w:r>
          </w:p>
        </w:tc>
        <w:tc>
          <w:tcPr>
            <w:tcW w:type="dxa" w:w="32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Kotter 8-Step &amp; Change Mgmt</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Mo 5–6</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Medium</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Medium</w:t>
            </w:r>
          </w:p>
        </w:tc>
        <w:tc>
          <w:tcPr>
            <w:tcW w:type="dxa" w:w="11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8.5/10</w:t>
            </w:r>
          </w:p>
        </w:tc>
      </w:tr>
      <w:tr>
        <w:tc>
          <w:tcPr>
            <w:tcW w:type="dxa" w:w="13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Phase 4</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Agile, Archetypes, A11y</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Mo 7–8</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V. High</w:t>
            </w:r>
          </w:p>
        </w:tc>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8.5/10</w:t>
            </w:r>
          </w:p>
        </w:tc>
      </w:tr>
      <w:tr>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Phase 5</w:t>
            </w:r>
          </w:p>
        </w:tc>
        <w:tc>
          <w:tcPr>
            <w:tcW w:type="dxa" w:w="32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Adaptive Strategy &amp; Auto-Parse</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Mo 9–10</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Medium</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V. High</w:t>
            </w:r>
          </w:p>
        </w:tc>
        <w:tc>
          <w:tcPr>
            <w:tcW w:type="dxa" w:w="11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8/10</w:t>
            </w:r>
          </w:p>
        </w:tc>
      </w:tr>
      <w:tr>
        <w:tc>
          <w:tcPr>
            <w:tcW w:type="dxa" w:w="13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Phase 6</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Polish, Performance, Scale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Mo 11–12</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Medium</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High</w:t>
            </w:r>
          </w:p>
        </w:tc>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8/10</w:t>
            </w:r>
          </w:p>
        </w:tc>
      </w:tr>
    </w:tbl>
    <w:p>
      <w:pPr>
        <w:spacing w:after="240" w:line="276"/>
        <w:jc w:val="left"/>
      </w:pPr>
      <w:r>
        <w:rPr>
          <w:rFonts w:ascii="Calibri" w:cs="Calibri" w:eastAsia="Calibri" w:hAnsi="Calibri"/>
          <w:b w:val="false"/>
          <w:bCs w:val="false"/>
          <w:i w:val="false"/>
          <w:iCs w:val="false"/>
          <w:color w:val="1A202C"/>
          <w:sz w:val="22"/>
          <w:szCs w:val="22"/>
        </w:rPr>
        <w:t xml:space="preserve">Phase 1 (Core Metaphor + Metrics) is partially complete with the v1.2 rebuild. Remaining Phase 1 deliverables include the reconciliation logic (flagging divergence between botanical stage and KR completeness) and the V/TO completeness dashboard.</w:t>
      </w:r>
    </w:p>
    <w:p>
      <w:pPr>
        <w:pBdr>
          <w:bottom w:val="single" w:color="E8EDE9" w:sz="6" w:space="1"/>
        </w:pBdr>
        <w:spacing w:before="200" w:after="200"/>
      </w:pPr>
    </w:p>
    <w:p>
      <w:pPr>
        <w:pStyle w:val="Heading1"/>
        <w:spacing w:before="360" w:after="200"/>
      </w:pPr>
      <w:r>
        <w:rPr>
          <w:rFonts w:ascii="Georgia" w:cs="Georgia" w:eastAsia="Georgia" w:hAnsi="Georgia"/>
          <w:b/>
          <w:bCs/>
          <w:color w:val="4A5650"/>
          <w:sz w:val="32"/>
          <w:szCs w:val="32"/>
        </w:rPr>
        <w:t xml:space="preserve">7. PM Decision Items</w:t>
      </w:r>
    </w:p>
    <w:p>
      <w:pPr>
        <w:spacing w:after="160" w:line="276"/>
        <w:jc w:val="left"/>
      </w:pPr>
      <w:r>
        <w:rPr>
          <w:rFonts w:ascii="Calibri" w:cs="Calibri" w:eastAsia="Calibri" w:hAnsi="Calibri"/>
          <w:b w:val="false"/>
          <w:bCs w:val="false"/>
          <w:i w:val="false"/>
          <w:iCs w:val="false"/>
          <w:color w:val="1A202C"/>
          <w:sz w:val="22"/>
          <w:szCs w:val="22"/>
        </w:rPr>
        <w:t xml:space="preserve">The following decisions were made or require PM input based on the panel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2800"/>
        <w:gridCol w:w="2700"/>
      </w:tblGrid>
      <w:tr>
        <w:tc>
          <w:tcPr>
            <w:tcW w:type="dxa" w:w="60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w:t>
            </w:r>
          </w:p>
        </w:tc>
        <w:tc>
          <w:tcPr>
            <w:tcW w:type="dxa" w:w="326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Decision Area</w:t>
            </w:r>
          </w:p>
        </w:tc>
        <w:tc>
          <w:tcPr>
            <w:tcW w:type="dxa" w:w="280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Recommendation</w:t>
            </w:r>
          </w:p>
        </w:tc>
        <w:tc>
          <w:tcPr>
            <w:tcW w:type="dxa" w:w="2700"/>
            <w:tcBorders>
              <w:top w:val="single" w:color="CBD5E0" w:sz="1"/>
              <w:left w:val="single" w:color="CBD5E0" w:sz="1"/>
              <w:bottom w:val="single" w:color="CBD5E0" w:sz="1"/>
              <w:right w:val="single" w:color="CBD5E0" w:sz="1"/>
            </w:tcBorders>
            <w:shd w:fill="4A565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1</w:t>
            </w:r>
          </w:p>
        </w:tc>
        <w:tc>
          <w:tcPr>
            <w:tcW w:type="dxa" w:w="32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PDF Export Library</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react-pdf (@react-pdf/renderer)</w:t>
            </w:r>
          </w:p>
        </w:tc>
        <w:tc>
          <w:tcPr>
            <w:tcW w:type="dxa" w:w="2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Decided</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2</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Backend Platform</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Supabase (PostgreSQL + Auth)</w:t>
            </w:r>
          </w:p>
        </w:tc>
        <w:tc>
          <w:tcPr>
            <w:tcW w:type="dxa" w:w="2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Recommended</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3</w:t>
            </w:r>
          </w:p>
        </w:tc>
        <w:tc>
          <w:tcPr>
            <w:tcW w:type="dxa" w:w="32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Frontend Architecture</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Single HTML file (Phase 1)</w:t>
            </w:r>
          </w:p>
        </w:tc>
        <w:tc>
          <w:tcPr>
            <w:tcW w:type="dxa" w:w="2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Implemented</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4</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Hosting (MVP)</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GitHub Pages</w:t>
            </w:r>
          </w:p>
        </w:tc>
        <w:tc>
          <w:tcPr>
            <w:tcW w:type="dxa" w:w="2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Decided</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5</w:t>
            </w:r>
          </w:p>
        </w:tc>
        <w:tc>
          <w:tcPr>
            <w:tcW w:type="dxa" w:w="32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Botanical Stage Naming</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5-stage: Seed/Sprout/Bud/Wilt/Bloom</w:t>
            </w:r>
          </w:p>
        </w:tc>
        <w:tc>
          <w:tcPr>
            <w:tcW w:type="dxa" w:w="2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Implemented</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6</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Plant Archetypes</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Oak/Wildflower/Shrub/Crop/Vine</w:t>
            </w:r>
          </w:p>
        </w:tc>
        <w:tc>
          <w:tcPr>
            <w:tcW w:type="dxa" w:w="2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Phase 4</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7</w:t>
            </w:r>
          </w:p>
        </w:tc>
        <w:tc>
          <w:tcPr>
            <w:tcW w:type="dxa" w:w="32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Cultural Customization</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Multiple plant traditions</w:t>
            </w:r>
          </w:p>
        </w:tc>
        <w:tc>
          <w:tcPr>
            <w:tcW w:type="dxa" w:w="2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Phase 4</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8</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Agile Tool Integration</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Jira/Azure DevOps (read-only)</w:t>
            </w:r>
          </w:p>
        </w:tc>
        <w:tc>
          <w:tcPr>
            <w:tcW w:type="dxa" w:w="2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Phase 4</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9</w:t>
            </w:r>
          </w:p>
        </w:tc>
        <w:tc>
          <w:tcPr>
            <w:tcW w:type="dxa" w:w="32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Auto-Parse Feature</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LLM-based doc parsing (MVP)</w:t>
            </w:r>
          </w:p>
        </w:tc>
        <w:tc>
          <w:tcPr>
            <w:tcW w:type="dxa" w:w="2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Phase 5</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202C"/>
                <w:sz w:val="20"/>
                <w:szCs w:val="20"/>
              </w:rPr>
              <w:t xml:space="preserve">10</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Offline-First Mobile</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A202C"/>
                <w:sz w:val="20"/>
                <w:szCs w:val="20"/>
              </w:rPr>
              <w:t xml:space="preserve">IndexedDB + sync</w:t>
            </w:r>
          </w:p>
        </w:tc>
        <w:tc>
          <w:tcPr>
            <w:tcW w:type="dxa" w:w="2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vAlign w:val="center"/>
          </w:tcPr>
          <w:p>
            <w:pPr>
              <w:jc w:val="left"/>
            </w:pPr>
            <w:r>
              <w:rPr>
                <w:rFonts w:ascii="Calibri" w:cs="Calibri" w:eastAsia="Calibri" w:hAnsi="Calibri"/>
                <w:b/>
                <w:bCs/>
                <w:color w:val="1A202C"/>
                <w:sz w:val="20"/>
                <w:szCs w:val="20"/>
              </w:rPr>
              <w:t xml:space="preserve">Phase 4</w:t>
            </w:r>
          </w:p>
        </w:tc>
      </w:tr>
    </w:tbl>
    <w:p>
      <w:pPr>
        <w:pBdr>
          <w:bottom w:val="single" w:color="E8EDE9" w:sz="6" w:space="1"/>
        </w:pBdr>
        <w:spacing w:before="200" w:after="200"/>
      </w:pPr>
    </w:p>
    <w:p>
      <w:pPr>
        <w:pStyle w:val="Heading1"/>
        <w:spacing w:before="360" w:after="200"/>
      </w:pPr>
      <w:r>
        <w:rPr>
          <w:rFonts w:ascii="Georgia" w:cs="Georgia" w:eastAsia="Georgia" w:hAnsi="Georgia"/>
          <w:b/>
          <w:bCs/>
          <w:color w:val="4A5650"/>
          <w:sz w:val="32"/>
          <w:szCs w:val="32"/>
        </w:rPr>
        <w:t xml:space="preserve">8. Conclusion &amp; Next Steps</w:t>
      </w:r>
    </w:p>
    <w:p>
      <w:pPr>
        <w:spacing w:after="160" w:line="276"/>
        <w:jc w:val="left"/>
      </w:pPr>
      <w:r>
        <w:rPr>
          <w:rFonts w:ascii="Calibri" w:cs="Calibri" w:eastAsia="Calibri" w:hAnsi="Calibri"/>
          <w:b w:val="false"/>
          <w:bCs w:val="false"/>
          <w:i w:val="false"/>
          <w:iCs w:val="false"/>
          <w:color w:val="1A202C"/>
          <w:sz w:val="22"/>
          <w:szCs w:val="22"/>
        </w:rPr>
        <w:t xml:space="preserve">ImpactQ represents a genuinely distinctive approach to strategic planning visualization. The botanical growth metaphor—validated by both domain experts and change management research—creates emotional engagement that traditional enterprise tools simply don’t achieve. The 16-expert, 3-cycle review process has produced a comprehensive, actionable roadmap that balances ambition with practical implementation sequencing.</w:t>
      </w:r>
    </w:p>
    <w:p>
      <w:pPr>
        <w:spacing w:after="160" w:line="276"/>
        <w:jc w:val="left"/>
      </w:pPr>
      <w:r>
        <w:rPr>
          <w:rFonts w:ascii="Calibri" w:cs="Calibri" w:eastAsia="Calibri" w:hAnsi="Calibri"/>
          <w:b w:val="false"/>
          <w:bCs w:val="false"/>
          <w:i w:val="false"/>
          <w:iCs w:val="false"/>
          <w:color w:val="1A202C"/>
          <w:sz w:val="22"/>
          <w:szCs w:val="22"/>
        </w:rPr>
        <w:t xml:space="preserve">The Phase 1 MVP (v1.2) is now built and functional as a single HTML file with localStorage persistence. It includes the 5-stage botanical system, KR fields, milestones, Traction alignment, and the signature Status Progression visualization. The data model is forward-compatible with the planned Supabase backend.</w:t>
      </w:r>
    </w:p>
    <w:p>
      <w:pPr>
        <w:spacing w:after="160" w:line="276"/>
        <w:jc w:val="left"/>
      </w:pPr>
      <w:r>
        <w:rPr>
          <w:rFonts w:ascii="Calibri" w:cs="Calibri" w:eastAsia="Calibri" w:hAnsi="Calibri"/>
          <w:b/>
          <w:bCs/>
          <w:i w:val="false"/>
          <w:iCs w:val="false"/>
          <w:color w:val="1A202C"/>
          <w:sz w:val="22"/>
          <w:szCs w:val="22"/>
        </w:rPr>
        <w:t xml:space="preserve">Immediate next steps:</w:t>
      </w:r>
    </w:p>
    <w:p>
      <w:pPr>
        <w:pStyle w:val="ListParagraph"/>
        <w:numPr>
          <w:ilvl w:val="0"/>
          <w:numId w:val="3"/>
        </w:numPr>
        <w:spacing w:after="100"/>
      </w:pPr>
      <w:r>
        <w:rPr>
          <w:rFonts w:ascii="Calibri" w:cs="Calibri" w:eastAsia="Calibri" w:hAnsi="Calibri"/>
          <w:sz w:val="22"/>
          <w:szCs w:val="22"/>
        </w:rPr>
        <w:t xml:space="preserve">Deploy the v1.2 HTML file to GitHub Pages for stakeholder review and feedback</w:t>
      </w:r>
    </w:p>
    <w:p>
      <w:pPr>
        <w:pStyle w:val="ListParagraph"/>
        <w:numPr>
          <w:ilvl w:val="0"/>
          <w:numId w:val="3"/>
        </w:numPr>
        <w:spacing w:after="100"/>
      </w:pPr>
      <w:r>
        <w:rPr>
          <w:rFonts w:ascii="Calibri" w:cs="Calibri" w:eastAsia="Calibri" w:hAnsi="Calibri"/>
          <w:sz w:val="22"/>
          <w:szCs w:val="22"/>
        </w:rPr>
        <w:t xml:space="preserve">Create a Supabase project and run the database schema for backend persistence</w:t>
      </w:r>
    </w:p>
    <w:p>
      <w:pPr>
        <w:pStyle w:val="ListParagraph"/>
        <w:numPr>
          <w:ilvl w:val="0"/>
          <w:numId w:val="3"/>
        </w:numPr>
        <w:spacing w:after="100"/>
      </w:pPr>
      <w:r>
        <w:rPr>
          <w:rFonts w:ascii="Calibri" w:cs="Calibri" w:eastAsia="Calibri" w:hAnsi="Calibri"/>
          <w:sz w:val="22"/>
          <w:szCs w:val="22"/>
        </w:rPr>
        <w:t xml:space="preserve">Implement login/signup and replace localStorage with Supabase queries (Phase 2 of backend migration)</w:t>
      </w:r>
    </w:p>
    <w:p>
      <w:pPr>
        <w:pStyle w:val="ListParagraph"/>
        <w:numPr>
          <w:ilvl w:val="0"/>
          <w:numId w:val="3"/>
        </w:numPr>
        <w:spacing w:after="100"/>
      </w:pPr>
      <w:r>
        <w:rPr>
          <w:rFonts w:ascii="Calibri" w:cs="Calibri" w:eastAsia="Calibri" w:hAnsi="Calibri"/>
          <w:sz w:val="22"/>
          <w:szCs w:val="22"/>
        </w:rPr>
        <w:t xml:space="preserve">Begin Phase 1 remaining deliverables: reconciliation logic and V/TO completeness dashboard</w:t>
      </w:r>
    </w:p>
    <w:p>
      <w:pPr>
        <w:pStyle w:val="ListParagraph"/>
        <w:numPr>
          <w:ilvl w:val="0"/>
          <w:numId w:val="3"/>
        </w:numPr>
        <w:spacing w:after="100"/>
      </w:pPr>
      <w:r>
        <w:rPr>
          <w:rFonts w:ascii="Calibri" w:cs="Calibri" w:eastAsia="Calibri" w:hAnsi="Calibri"/>
          <w:sz w:val="22"/>
          <w:szCs w:val="22"/>
        </w:rPr>
        <w:t xml:space="preserve">Schedule PM review of this report and the panel review document for decision ratification</w:t>
      </w:r>
    </w:p>
    <w:p>
      <w:pPr>
        <w:spacing w:before="400" w:after="200"/>
      </w:pPr>
    </w:p>
    <w:p>
      <w:pPr>
        <w:pBdr>
          <w:bottom w:val="single" w:color="E8EDE9" w:sz="6" w:space="1"/>
        </w:pBdr>
        <w:spacing w:before="200" w:after="200"/>
      </w:pPr>
    </w:p>
    <w:p>
      <w:pPr>
        <w:spacing w:before="200"/>
        <w:jc w:val="center"/>
      </w:pPr>
      <w:r>
        <w:rPr>
          <w:rFonts w:ascii="Georgia" w:cs="Georgia" w:eastAsia="Georgia" w:hAnsi="Georgia"/>
          <w:i/>
          <w:iCs/>
          <w:color w:val="6B7F70"/>
          <w:sz w:val="24"/>
          <w:szCs w:val="24"/>
        </w:rPr>
        <w:t xml:space="preserve">End of Report</w:t>
      </w:r>
    </w:p>
    <w:p>
      <w:pPr>
        <w:spacing w:after="100"/>
        <w:jc w:val="center"/>
      </w:pPr>
      <w:r>
        <w:rPr>
          <w:rFonts w:ascii="Calibri" w:cs="Calibri" w:eastAsia="Calibri" w:hAnsi="Calibri"/>
          <w:color w:val="718096"/>
          <w:sz w:val="20"/>
          <w:szCs w:val="20"/>
        </w:rPr>
        <w:t xml:space="preserve">InsightQ Product Family — ImpactQ — March 2026</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8096"/>
        <w:sz w:val="18"/>
        <w:szCs w:val="18"/>
      </w:rPr>
      <w:t xml:space="preserve">Page </w:t>
    </w:r>
    <w:r>
      <w:rPr>
        <w:rFonts w:ascii="Calibri" w:cs="Calibri" w:eastAsia="Calibri" w:hAnsi="Calibri"/>
        <w:color w:val="718096"/>
        <w:sz w:val="18"/>
        <w:szCs w:val="18"/>
      </w:rPr>
      <w:fldChar w:fldCharType="begin"/>
      <w:instrText xml:space="preserve">PAGE</w:instrText>
      <w:fldChar w:fldCharType="separate"/>
      <w:fldChar w:fldCharType="end"/>
    </w:r>
    <w:r>
      <w:rPr>
        <w:rFonts w:ascii="Calibri" w:cs="Calibri" w:eastAsia="Calibri" w:hAnsi="Calibri"/>
        <w:color w:val="718096"/>
        <w:sz w:val="18"/>
        <w:szCs w:val="18"/>
      </w:rPr>
      <w:t xml:space="preserve"> — 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8096"/>
        <w:sz w:val="18"/>
        <w:szCs w:val="18"/>
      </w:rPr>
      <w:t xml:space="preserve">Page </w:t>
    </w:r>
    <w:r>
      <w:rPr>
        <w:rFonts w:ascii="Calibri" w:cs="Calibri" w:eastAsia="Calibri" w:hAnsi="Calibri"/>
        <w:color w:val="718096"/>
        <w:sz w:val="18"/>
        <w:szCs w:val="18"/>
      </w:rPr>
      <w:fldChar w:fldCharType="begin"/>
      <w:instrText xml:space="preserve">PAGE</w:instrText>
      <w:fldChar w:fldCharType="separate"/>
      <w:fldChar w:fldCharType="end"/>
    </w:r>
    <w:r>
      <w:rPr>
        <w:rFonts w:ascii="Calibri" w:cs="Calibri" w:eastAsia="Calibri" w:hAnsi="Calibri"/>
        <w:color w:val="71809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DE9" w:sz="4" w:space="4"/>
      </w:pBdr>
      <w:tabs>
        <w:tab w:val="right" w:pos="9026"/>
      </w:tabs>
    </w:pPr>
    <w:r>
      <w:rPr>
        <w:rFonts w:ascii="Calibri" w:cs="Calibri" w:eastAsia="Calibri" w:hAnsi="Calibri"/>
        <w:i/>
        <w:iCs/>
        <w:color w:val="718096"/>
        <w:sz w:val="18"/>
        <w:szCs w:val="18"/>
      </w:rPr>
      <w:t xml:space="preserve">ImpactQ — Expert Review &amp; Implementation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DE9" w:sz="4" w:space="4"/>
      </w:pBdr>
    </w:pPr>
    <w:r>
      <w:rPr>
        <w:rFonts w:ascii="Calibri" w:cs="Calibri" w:eastAsia="Calibri" w:hAnsi="Calibri"/>
        <w:i/>
        <w:iCs/>
        <w:color w:val="718096"/>
        <w:sz w:val="18"/>
        <w:szCs w:val="18"/>
      </w:rPr>
      <w:t xml:space="preserve">ImpactQ — Expert Review &amp;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4A5650"/>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2C7A7B"/>
      <w:sz w:val="26"/>
      <w:szCs w:val="26"/>
    </w:rPr>
  </w:style>
  <w:style w:type="paragraph" w:styleId="Heading3">
    <w:name w:val="Heading 3"/>
    <w:basedOn w:val="Normal"/>
    <w:next w:val="Normal"/>
    <w:qFormat/>
    <w:pPr>
      <w:spacing w:before="200" w:after="120"/>
      <w:outlineLvl w:val="2"/>
    </w:pPr>
    <w:rPr>
      <w:rFonts w:ascii="Georgia" w:cs="Georgia" w:eastAsia="Georgia" w:hAnsi="Georgia"/>
      <w:b/>
      <w:bCs/>
      <w:color w:val="6B7F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2026-03-26T15:47:21.084Z</dcterms:created>
  <dcterms:modified xsi:type="dcterms:W3CDTF">2026-03-26T15:47:21.084Z</dcterms:modified>
</cp:coreProperties>
</file>

<file path=docProps/custom.xml><?xml version="1.0" encoding="utf-8"?>
<Properties xmlns="http://schemas.openxmlformats.org/officeDocument/2006/custom-properties" xmlns:vt="http://schemas.openxmlformats.org/officeDocument/2006/docPropsVTypes"/>
</file>