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STANDARD CONSULTING AGREEMENT</w:t>
      </w:r>
    </w:p>
    <w:p>
      <w:pPr>
        <w:pStyle w:val="Heading1"/>
      </w:pPr>
      <w:r>
        <w:t xml:space="preserve">1. SCOPE OF SERVICES</w:t>
      </w:r>
    </w:p>
    <w:p>
      <w:r>
        <w:t xml:space="preserve">The Consultant shall deliver professional legal advisory and analysis services in accordance with agreed statement of work.</w:t>
      </w:r>
    </w:p>
    <w:p>
      <w:pPr>
        <w:pStyle w:val="Heading1"/>
      </w:pPr>
      <w:r>
        <w:t xml:space="preserve">12. LIMITATION OF LIABILITY</w:t>
      </w:r>
    </w:p>
    <w:p>
      <w:r>
        <w:t xml:space="preserve">The aggregate liability of either party shall not exceed AED 250,000 for any and all claims arising under this Agreement.</w:t>
      </w:r>
    </w:p>
    <w:p>
      <w:pPr>
        <w:pStyle w:val="Heading1"/>
      </w:pPr>
      <w:r>
        <w:t xml:space="preserve">14. TERMINATION</w:t>
      </w:r>
    </w:p>
    <w:p>
      <w:r>
        <w:t xml:space="preserve">Either party may terminate this Agreement by giving thirty (30) days written notice to the other party.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2026-09-30T07:13:39.368Z</dcterms:created>
  <dcterms:modified xsi:type="dcterms:W3CDTF">2026-09-30T07:13:39.370Z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