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Metodologia Operacional de Venda de PUTs e CALLs Cobertas</w:t>
      </w:r>
    </w:p>
    <w:p>
      <w:r>
        <w:br/>
        <w:t>Objetivo principal</w:t>
        <w:br/>
        <w:br/>
        <w:t>Gerar fluxo de caixa recorrente e crescimento patrimonial através de:</w:t>
        <w:br/>
        <w:t>- venda sistemática de PUTs;</w:t>
        <w:br/>
        <w:t>- venda coberta de CALLs;</w:t>
        <w:br/>
        <w:t>- aproveitamento de exageros do mercado;</w:t>
        <w:br/>
        <w:t>- aquisição gradual de empresas de alta qualidade;</w:t>
        <w:br/>
        <w:t>- redução dinâmica do preço médio via monetização de volatilidade.</w:t>
        <w:br/>
        <w:br/>
        <w:t>Filosofia central</w:t>
        <w:br/>
        <w:br/>
        <w:t>A metodologia parte das seguintes premissas:</w:t>
        <w:br/>
        <w:br/>
        <w:t>1. O mercado frequentemente exagera movimentos de curto prazo.</w:t>
        <w:br/>
        <w:t>2. Empresas excelentes tendem a retornar à média estrutural ao longo do tempo.</w:t>
        <w:br/>
        <w:t>3. Volatilidade excessiva cria distorções temporárias nos prêmios das opções.</w:t>
        <w:br/>
        <w:t>4. Vender volatilidade em ativos estruturalmente fortes tende a gerar retorno superior ao buy-and-hold passivo.</w:t>
        <w:br/>
        <w:t>5. O risco principal não é volatilidade, mas deterioração estrutural da empresa.</w:t>
        <w:br/>
        <w:t>6. O operador deve desejar possuir os ativos vendidos em PUT caso ocorra exercício.</w:t>
        <w:br/>
        <w:t>7. O caixa deve ser mantido majoritariamente em renda fixa até o exercício das PUTs.</w:t>
        <w:br/>
        <w:t>8. O objetivo não é evitar exercício, mas utilizá-lo estrategicamente.</w:t>
        <w:br/>
        <w:br/>
        <w:t>Critérios para escolha de ativos</w:t>
        <w:br/>
        <w:br/>
        <w:t>O ativo ideal deve possuir:</w:t>
        <w:br/>
        <w:br/>
        <w:t>- ROE elevado</w:t>
        <w:br/>
        <w:t>- ROIC elevado</w:t>
        <w:br/>
        <w:t>- crescimento estrutural</w:t>
        <w:br/>
        <w:t>- geração consistente de caixa</w:t>
        <w:br/>
        <w:t>- lucro recorrente</w:t>
        <w:br/>
        <w:t>- histórico longo de execução</w:t>
        <w:br/>
        <w:t>- vantagem competitiva clara</w:t>
        <w:br/>
        <w:br/>
        <w:t>Características operacionais:</w:t>
        <w:br/>
        <w:t>- liquidez adequada em opções</w:t>
        <w:br/>
        <w:t>- volatilidade suficiente para gerar prêmio</w:t>
        <w:br/>
        <w:t>- spreads aceitáveis</w:t>
        <w:br/>
        <w:t>- boa negociabilidade</w:t>
        <w:br/>
        <w:br/>
        <w:t>Critérios psicológicos:</w:t>
        <w:br/>
        <w:t>- confiança estrutural no ativo</w:t>
        <w:br/>
        <w:t>- conforto para aumentar posição em quedas</w:t>
        <w:br/>
        <w:t>- capacidade de carregar por anos se necessário</w:t>
        <w:br/>
        <w:br/>
        <w:t>Estrutura operacional principal</w:t>
        <w:br/>
        <w:br/>
        <w:t>Venda de PUTs em quedas:</w:t>
        <w:br/>
        <w:t>- venda de PUTs em dias de queda relevante;</w:t>
        <w:br/>
        <w:t>- preferencialmente em exageros emocionais do mercado;</w:t>
        <w:br/>
        <w:t>- utilização de deltas escalonados.</w:t>
        <w:br/>
        <w:br/>
        <w:t>Escalonamento operacional típico:</w:t>
        <w:br/>
        <w:t>- Delta 30 -&gt; 300 contratos</w:t>
        <w:br/>
        <w:t>- Delta 25 -&gt; 700 contratos</w:t>
        <w:br/>
        <w:t>- Delta 20 -&gt; 900 contratos</w:t>
        <w:br/>
        <w:t>- Delta 15 -&gt; 500 contratos</w:t>
        <w:br/>
        <w:br/>
        <w:t>Em momentos de maior convicção:</w:t>
        <w:br/>
        <w:t>- aproximação dos strikes do dinheiro;</w:t>
        <w:br/>
        <w:t>- aumento do prêmio;</w:t>
        <w:br/>
        <w:t>- aumento da probabilidade de exercício.</w:t>
        <w:br/>
        <w:br/>
        <w:t>Controle de caixa</w:t>
        <w:br/>
        <w:br/>
        <w:t>Regra central:</w:t>
        <w:br/>
        <w:t>O notional total vendido deve permanecer próximo do caixa disponível.</w:t>
        <w:br/>
        <w:br/>
        <w:t>O caixa normalmente permanece:</w:t>
        <w:br/>
        <w:t>- em renda fixa;</w:t>
        <w:br/>
        <w:t>- em ativos líquidos;</w:t>
        <w:br/>
        <w:t>- ou financiado parcialmente pelo fluxo operacional das opções.</w:t>
        <w:br/>
        <w:br/>
        <w:t>Exercício das PUTs</w:t>
        <w:br/>
        <w:br/>
        <w:t>Quando ocorre exercício:</w:t>
        <w:br/>
        <w:t>- as ações são compradas;</w:t>
        <w:br/>
        <w:t>- o preço médio é reduzido pelos prêmios recebidos;</w:t>
        <w:br/>
        <w:t>- inicia-se monetização via CALLs cobertas;</w:t>
        <w:br/>
        <w:t>- dividendos passam a integrar geração de caixa.</w:t>
        <w:br/>
        <w:br/>
        <w:t>Venda de CALLs cobertas</w:t>
        <w:br/>
        <w:br/>
        <w:t>Após exercício:</w:t>
        <w:br/>
        <w:t>- venda de CALLs contra a posição;</w:t>
        <w:br/>
        <w:t>- preferencialmente em movimentos de alta;</w:t>
        <w:br/>
        <w:t>- próximas de resistências;</w:t>
        <w:br/>
        <w:t>- ou em momentos de euforia.</w:t>
        <w:br/>
        <w:br/>
        <w:t>Objetivos:</w:t>
        <w:br/>
        <w:t>- gerar caixa;</w:t>
        <w:br/>
        <w:t>- reduzir preço médio;</w:t>
        <w:br/>
        <w:t>- financiar novas PUTs;</w:t>
        <w:br/>
        <w:t>- eventualmente realizar saída parcial.</w:t>
        <w:br/>
        <w:br/>
        <w:t>Gestão dinâmica das CALLs</w:t>
        <w:br/>
        <w:br/>
        <w:t>A metodologia aceita:</w:t>
        <w:br/>
        <w:t>- recompra de CALLs em fortes quedas;</w:t>
        <w:br/>
        <w:t>- rolagem para strikes inferiores;</w:t>
        <w:br/>
        <w:t>- captura de compressão de volatilidade;</w:t>
        <w:br/>
        <w:t>- ajuste ativo após eventos relevantes.</w:t>
        <w:br/>
        <w:br/>
        <w:t>Gestão de risco implícita</w:t>
        <w:br/>
        <w:br/>
        <w:t>Busca-se evitar:</w:t>
        <w:br/>
        <w:t>- venda descoberta de CALLs;</w:t>
        <w:br/>
        <w:t>- alavancagem excessiva;</w:t>
        <w:br/>
        <w:t>- uso de margem sem capacidade de honrar exercício;</w:t>
        <w:br/>
        <w:t>- ativos sem confiança estrutural.</w:t>
        <w:br/>
        <w:br/>
        <w:t>Riscos reconhecidos</w:t>
        <w:br/>
        <w:br/>
        <w:t>1. Acúmulo excessivo de PUTs distantes em tendências fortes.</w:t>
        <w:br/>
        <w:t>2. Expansão gradual do risco invisível.</w:t>
        <w:br/>
        <w:t>3. Correlação elevada entre ativos em crises severas.</w:t>
        <w:br/>
        <w:t>4. Dependência da capacidade operacional contínua do operador.</w:t>
        <w:br/>
        <w:t>5. Necessidade de controle rigoroso de caixa.</w:t>
        <w:br/>
        <w:t>6. Excesso de ativos simultâneos reduz eficiência do capital.</w:t>
        <w:br/>
        <w:br/>
        <w:t>Interpretação da volatilidade</w:t>
        <w:br/>
        <w:br/>
        <w:t>A volatilidade NÃO é vista como risco principal.</w:t>
        <w:br/>
        <w:t>Ela é considerada matéria-prima operacional.</w:t>
        <w:br/>
        <w:br/>
        <w:t>O risco real é:</w:t>
        <w:br/>
        <w:t>- deterioração estrutural;</w:t>
        <w:br/>
        <w:t>- perda de geração de caixa;</w:t>
        <w:br/>
        <w:t>- mudança permanente de fundamentos.</w:t>
        <w:br/>
        <w:br/>
        <w:t>Objetivo final</w:t>
        <w:br/>
        <w:br/>
        <w:t>Transformar:</w:t>
        <w:br/>
        <w:t>- volatilidade;</w:t>
        <w:br/>
        <w:t>- exageros emocionais;</w:t>
        <w:br/>
        <w:t>- passagem do tempo;</w:t>
        <w:br/>
        <w:br/>
        <w:t>em:</w:t>
        <w:br/>
        <w:t>- geração recorrente de caixa;</w:t>
        <w:br/>
        <w:t>- aquisição gradual de ativos excelentes;</w:t>
        <w:br/>
        <w:t>- crescimento patrimonial de longo prazo.</w:t>
        <w:br/>
        <w:br/>
        <w:t>Limitações reconhecidas</w:t>
        <w:br/>
        <w:br/>
        <w:t>A metodologia:</w:t>
        <w:br/>
        <w:t>- ainda não foi validada em múltiplos ciclos completos;</w:t>
        <w:br/>
        <w:t>- depende fortemente da execução do operador;</w:t>
        <w:br/>
        <w:t>- possui caráter parcialmente discricionário;</w:t>
        <w:br/>
        <w:t>- carece de métricas quantitativas rígidas para:</w:t>
        <w:br/>
        <w:t xml:space="preserve">    - limite de exposição;</w:t>
        <w:br/>
        <w:t xml:space="preserve">    - correlação;</w:t>
        <w:br/>
        <w:t xml:space="preserve">    - risco agregado;</w:t>
        <w:br/>
        <w:t xml:space="preserve">    - risco de cauda.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