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5A" w:rsidRPr="00272F8D" w:rsidRDefault="0051435A">
      <w:pPr>
        <w:pStyle w:val="a6"/>
      </w:pPr>
    </w:p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272F8D" w:rsidRPr="00272F8D">
        <w:trPr>
          <w:cantSplit/>
        </w:trPr>
        <w:tc>
          <w:tcPr>
            <w:tcW w:w="4762" w:type="dxa"/>
          </w:tcPr>
          <w:p w:rsidR="0051435A" w:rsidRPr="00272F8D" w:rsidRDefault="009C282E">
            <w:pPr>
              <w:ind w:right="680"/>
              <w:jc w:val="center"/>
              <w:rPr>
                <w:rFonts w:ascii="Arial" w:hAnsi="Arial"/>
                <w:b/>
                <w:sz w:val="18"/>
              </w:rPr>
            </w:pPr>
            <w:r w:rsidRPr="00272F8D">
              <w:rPr>
                <w:noProof/>
              </w:rPr>
              <w:drawing>
                <wp:inline distT="0" distB="0" distL="0" distR="0" wp14:anchorId="4F5EFA1C" wp14:editId="09ADD672">
                  <wp:extent cx="2774950" cy="2059305"/>
                  <wp:effectExtent l="19050" t="19050" r="63500" b="552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54" t="5064" r="1306" b="10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2059305"/>
                          </a:xfrm>
                          <a:prstGeom prst="rect">
                            <a:avLst/>
                          </a:prstGeom>
                          <a:noFill/>
                          <a:ln w="190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1435A" w:rsidRPr="00272F8D" w:rsidRDefault="0051435A">
            <w:pPr>
              <w:rPr>
                <w:rFonts w:ascii="Arial" w:hAnsi="Arial"/>
                <w:sz w:val="18"/>
              </w:rPr>
            </w:pPr>
          </w:p>
          <w:p w:rsidR="003E7248" w:rsidRPr="00272F8D" w:rsidRDefault="003E7248" w:rsidP="003E7248">
            <w:pPr>
              <w:spacing w:before="240" w:line="240" w:lineRule="exact"/>
              <w:ind w:left="17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b/>
                <w:bCs/>
                <w:sz w:val="16"/>
              </w:rPr>
              <w:t>Население</w:t>
            </w:r>
            <w:r w:rsidR="006C4855" w:rsidRPr="00272F8D">
              <w:rPr>
                <w:rFonts w:ascii="Arial" w:hAnsi="Arial"/>
                <w:sz w:val="16"/>
              </w:rPr>
              <w:t xml:space="preserve">  </w:t>
            </w:r>
            <w:r w:rsidR="006C4855" w:rsidRPr="00272F8D">
              <w:rPr>
                <w:rFonts w:ascii="Arial" w:hAnsi="Arial"/>
                <w:sz w:val="16"/>
              </w:rPr>
              <w:br/>
              <w:t>(оценка на 1 января 2020</w:t>
            </w:r>
            <w:r w:rsidRPr="00272F8D">
              <w:rPr>
                <w:rFonts w:ascii="Arial" w:hAnsi="Arial"/>
                <w:sz w:val="16"/>
              </w:rPr>
              <w:t xml:space="preserve"> г.), тыс. человек:</w:t>
            </w:r>
          </w:p>
          <w:p w:rsidR="003E7248" w:rsidRPr="00272F8D" w:rsidRDefault="003E7248" w:rsidP="003E724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Чукотский автономный округ</w:t>
            </w:r>
          </w:p>
          <w:p w:rsidR="003E7248" w:rsidRPr="00272F8D" w:rsidRDefault="003E7248" w:rsidP="003E7248">
            <w:pPr>
              <w:spacing w:before="60" w:line="240" w:lineRule="exact"/>
              <w:ind w:left="51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 xml:space="preserve">все население </w:t>
            </w:r>
            <w:r w:rsidR="0060588C" w:rsidRPr="00272F8D">
              <w:rPr>
                <w:rFonts w:ascii="Arial" w:hAnsi="Arial" w:cs="Arial"/>
                <w:sz w:val="16"/>
              </w:rPr>
              <w:t xml:space="preserve">– </w:t>
            </w:r>
            <w:r w:rsidR="0032567E" w:rsidRPr="00272F8D">
              <w:rPr>
                <w:rFonts w:ascii="Arial" w:hAnsi="Arial" w:cs="Arial"/>
                <w:sz w:val="16"/>
              </w:rPr>
              <w:t>50</w:t>
            </w:r>
            <w:r w:rsidR="00E33CE4" w:rsidRPr="00272F8D">
              <w:rPr>
                <w:rFonts w:ascii="Arial" w:hAnsi="Arial" w:cs="Arial"/>
                <w:sz w:val="16"/>
              </w:rPr>
              <w:t>,3</w:t>
            </w:r>
            <w:r w:rsidR="006A7719" w:rsidRPr="00272F8D">
              <w:rPr>
                <w:rFonts w:ascii="Arial" w:hAnsi="Arial" w:cs="Arial"/>
                <w:sz w:val="16"/>
              </w:rPr>
              <w:t xml:space="preserve"> </w:t>
            </w:r>
          </w:p>
          <w:p w:rsidR="003E7248" w:rsidRPr="00272F8D" w:rsidRDefault="003E7248" w:rsidP="003E724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 xml:space="preserve">мужчины </w:t>
            </w:r>
            <w:r w:rsidR="0060588C" w:rsidRPr="00272F8D">
              <w:rPr>
                <w:rFonts w:ascii="Arial" w:hAnsi="Arial" w:cs="Arial"/>
                <w:sz w:val="16"/>
              </w:rPr>
              <w:t xml:space="preserve">– </w:t>
            </w:r>
            <w:r w:rsidR="00E33CE4" w:rsidRPr="00272F8D">
              <w:rPr>
                <w:rFonts w:ascii="Arial" w:hAnsi="Arial" w:cs="Arial"/>
                <w:sz w:val="16"/>
              </w:rPr>
              <w:t>25,</w:t>
            </w:r>
            <w:r w:rsidR="0032567E" w:rsidRPr="00272F8D">
              <w:rPr>
                <w:rFonts w:ascii="Arial" w:hAnsi="Arial" w:cs="Arial"/>
                <w:sz w:val="16"/>
              </w:rPr>
              <w:t>6</w:t>
            </w:r>
          </w:p>
          <w:p w:rsidR="003E7248" w:rsidRPr="00272F8D" w:rsidRDefault="0060588C" w:rsidP="003E724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 w:cs="Arial"/>
                <w:sz w:val="16"/>
              </w:rPr>
              <w:t xml:space="preserve">женщины –  </w:t>
            </w:r>
            <w:r w:rsidR="000C44CC" w:rsidRPr="00272F8D">
              <w:rPr>
                <w:rFonts w:ascii="Arial" w:hAnsi="Arial" w:cs="Arial"/>
                <w:sz w:val="16"/>
              </w:rPr>
              <w:t>24,</w:t>
            </w:r>
            <w:r w:rsidR="0032567E" w:rsidRPr="00272F8D">
              <w:rPr>
                <w:rFonts w:ascii="Arial" w:hAnsi="Arial" w:cs="Arial"/>
                <w:sz w:val="16"/>
              </w:rPr>
              <w:t>7</w:t>
            </w:r>
            <w:r w:rsidR="006A7719" w:rsidRPr="00272F8D">
              <w:rPr>
                <w:rFonts w:ascii="Arial" w:hAnsi="Arial" w:cs="Arial"/>
                <w:sz w:val="16"/>
              </w:rPr>
              <w:t xml:space="preserve"> </w:t>
            </w:r>
          </w:p>
          <w:p w:rsidR="003E7248" w:rsidRPr="00272F8D" w:rsidRDefault="003E7248" w:rsidP="003E7248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 xml:space="preserve">Городской округ Анадырь – </w:t>
            </w:r>
            <w:r w:rsidR="00E33CE4" w:rsidRPr="00272F8D">
              <w:rPr>
                <w:rFonts w:ascii="Arial" w:hAnsi="Arial"/>
                <w:sz w:val="16"/>
              </w:rPr>
              <w:t>16,</w:t>
            </w:r>
            <w:r w:rsidR="0032567E" w:rsidRPr="00272F8D">
              <w:rPr>
                <w:rFonts w:ascii="Arial" w:hAnsi="Arial"/>
                <w:sz w:val="16"/>
              </w:rPr>
              <w:t>3</w:t>
            </w:r>
          </w:p>
          <w:p w:rsidR="003E7248" w:rsidRPr="00272F8D" w:rsidRDefault="003E7248" w:rsidP="003E7248">
            <w:pPr>
              <w:spacing w:before="120"/>
              <w:ind w:left="34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Анадырь</w:t>
            </w:r>
          </w:p>
          <w:p w:rsidR="003E7248" w:rsidRPr="00272F8D" w:rsidRDefault="003E7248" w:rsidP="003E7248">
            <w:pPr>
              <w:spacing w:before="60" w:line="240" w:lineRule="exact"/>
              <w:ind w:left="510"/>
              <w:rPr>
                <w:rFonts w:ascii="Arial" w:hAnsi="Arial" w:cs="Arial"/>
              </w:rPr>
            </w:pPr>
            <w:r w:rsidRPr="00272F8D">
              <w:rPr>
                <w:rFonts w:ascii="Arial" w:hAnsi="Arial"/>
                <w:sz w:val="16"/>
              </w:rPr>
              <w:t xml:space="preserve">все население </w:t>
            </w:r>
            <w:r w:rsidRPr="00272F8D">
              <w:rPr>
                <w:rFonts w:ascii="Arial" w:hAnsi="Arial" w:cs="Arial"/>
                <w:sz w:val="16"/>
              </w:rPr>
              <w:t xml:space="preserve">– </w:t>
            </w:r>
            <w:r w:rsidR="006A7719" w:rsidRPr="00272F8D">
              <w:rPr>
                <w:rFonts w:ascii="Arial" w:hAnsi="Arial" w:cs="Arial"/>
                <w:sz w:val="16"/>
              </w:rPr>
              <w:t>1</w:t>
            </w:r>
            <w:r w:rsidR="00E33CE4" w:rsidRPr="00272F8D">
              <w:rPr>
                <w:rFonts w:ascii="Arial" w:hAnsi="Arial" w:cs="Arial"/>
                <w:sz w:val="16"/>
              </w:rPr>
              <w:t>5,</w:t>
            </w:r>
            <w:r w:rsidR="0032567E" w:rsidRPr="00272F8D">
              <w:rPr>
                <w:rFonts w:ascii="Arial" w:hAnsi="Arial" w:cs="Arial"/>
                <w:sz w:val="16"/>
              </w:rPr>
              <w:t>8</w:t>
            </w:r>
          </w:p>
          <w:p w:rsidR="003E7248" w:rsidRPr="00272F8D" w:rsidRDefault="003E7248" w:rsidP="003E724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 xml:space="preserve">мужчины </w:t>
            </w:r>
            <w:r w:rsidRPr="00272F8D">
              <w:rPr>
                <w:rFonts w:ascii="Arial" w:hAnsi="Arial" w:cs="Arial"/>
                <w:sz w:val="16"/>
              </w:rPr>
              <w:t xml:space="preserve">– </w:t>
            </w:r>
            <w:r w:rsidR="00E33CE4" w:rsidRPr="00272F8D">
              <w:rPr>
                <w:rFonts w:ascii="Arial" w:hAnsi="Arial" w:cs="Arial"/>
                <w:sz w:val="16"/>
              </w:rPr>
              <w:t>7,</w:t>
            </w:r>
            <w:r w:rsidR="0032567E" w:rsidRPr="00272F8D">
              <w:rPr>
                <w:rFonts w:ascii="Arial" w:hAnsi="Arial" w:cs="Arial"/>
                <w:sz w:val="16"/>
              </w:rPr>
              <w:t>5</w:t>
            </w:r>
          </w:p>
          <w:p w:rsidR="003E7248" w:rsidRPr="00272F8D" w:rsidRDefault="003E7248" w:rsidP="003E7248">
            <w:pPr>
              <w:spacing w:line="240" w:lineRule="exact"/>
              <w:ind w:left="68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 w:cs="Arial"/>
                <w:sz w:val="16"/>
              </w:rPr>
              <w:t xml:space="preserve">женщины – </w:t>
            </w:r>
            <w:r w:rsidR="00E33CE4" w:rsidRPr="00272F8D">
              <w:rPr>
                <w:rFonts w:ascii="Arial" w:hAnsi="Arial" w:cs="Arial"/>
                <w:sz w:val="16"/>
              </w:rPr>
              <w:t>8,3</w:t>
            </w:r>
          </w:p>
          <w:p w:rsidR="003E7248" w:rsidRPr="00272F8D" w:rsidRDefault="003E7248" w:rsidP="003E7248">
            <w:pPr>
              <w:ind w:right="680"/>
              <w:rPr>
                <w:rFonts w:cs="Arial"/>
              </w:rPr>
            </w:pPr>
            <w:r w:rsidRPr="00272F8D">
              <w:rPr>
                <w:rFonts w:ascii="Arial" w:hAnsi="Arial" w:cs="Arial"/>
                <w:sz w:val="16"/>
              </w:rPr>
              <w:t xml:space="preserve"> </w:t>
            </w:r>
          </w:p>
          <w:p w:rsidR="003E7248" w:rsidRPr="00272F8D" w:rsidRDefault="003E7248" w:rsidP="003E7248">
            <w:pPr>
              <w:spacing w:line="240" w:lineRule="exact"/>
              <w:ind w:left="17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 w:cs="Arial"/>
                <w:b/>
                <w:bCs/>
                <w:sz w:val="16"/>
              </w:rPr>
              <w:t>Плотность населения</w:t>
            </w:r>
            <w:r w:rsidRPr="00272F8D">
              <w:rPr>
                <w:rFonts w:ascii="Arial" w:hAnsi="Arial" w:cs="Arial"/>
                <w:sz w:val="16"/>
              </w:rPr>
              <w:t xml:space="preserve"> </w:t>
            </w:r>
            <w:r w:rsidRPr="00272F8D">
              <w:rPr>
                <w:rFonts w:ascii="Arial" w:hAnsi="Arial" w:cs="Arial"/>
                <w:sz w:val="16"/>
              </w:rPr>
              <w:br/>
              <w:t>(на 1 января 20</w:t>
            </w:r>
            <w:r w:rsidR="006C4855" w:rsidRPr="00272F8D">
              <w:rPr>
                <w:rFonts w:ascii="Arial" w:hAnsi="Arial" w:cs="Arial"/>
                <w:sz w:val="16"/>
              </w:rPr>
              <w:t>20</w:t>
            </w:r>
            <w:r w:rsidRPr="00272F8D">
              <w:rPr>
                <w:rFonts w:ascii="Arial" w:hAnsi="Arial" w:cs="Arial"/>
                <w:sz w:val="16"/>
              </w:rPr>
              <w:t xml:space="preserve"> г.), человек на 1 км</w:t>
            </w:r>
            <w:proofErr w:type="gramStart"/>
            <w:r w:rsidRPr="00272F8D">
              <w:rPr>
                <w:rFonts w:ascii="Arial" w:hAnsi="Arial" w:cs="Arial"/>
                <w:sz w:val="16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 w:cs="Arial"/>
                <w:sz w:val="16"/>
              </w:rPr>
              <w:t xml:space="preserve">: </w:t>
            </w:r>
          </w:p>
          <w:p w:rsidR="003E7248" w:rsidRPr="00272F8D" w:rsidRDefault="003E7248" w:rsidP="003E7248">
            <w:pPr>
              <w:spacing w:before="160" w:line="240" w:lineRule="exact"/>
              <w:ind w:left="340"/>
              <w:rPr>
                <w:rFonts w:ascii="Arial" w:hAnsi="Arial" w:cs="Arial"/>
                <w:sz w:val="16"/>
              </w:rPr>
            </w:pPr>
            <w:r w:rsidRPr="00272F8D">
              <w:rPr>
                <w:rFonts w:ascii="Arial" w:hAnsi="Arial" w:cs="Arial"/>
                <w:sz w:val="16"/>
              </w:rPr>
              <w:t>Чукотский автономный округ – 0,1</w:t>
            </w:r>
          </w:p>
          <w:p w:rsidR="003E7248" w:rsidRPr="00272F8D" w:rsidRDefault="003E7248" w:rsidP="003E7248">
            <w:pPr>
              <w:spacing w:before="60" w:line="240" w:lineRule="exact"/>
              <w:ind w:left="340"/>
              <w:rPr>
                <w:rFonts w:ascii="Arial" w:hAnsi="Arial" w:cs="Arial"/>
                <w:sz w:val="16"/>
                <w:lang w:val="en-US"/>
              </w:rPr>
            </w:pPr>
            <w:r w:rsidRPr="00272F8D">
              <w:rPr>
                <w:rFonts w:ascii="Arial" w:hAnsi="Arial" w:cs="Arial"/>
                <w:sz w:val="16"/>
              </w:rPr>
              <w:t xml:space="preserve">Анадырь – </w:t>
            </w:r>
            <w:r w:rsidR="006A5316" w:rsidRPr="00272F8D">
              <w:rPr>
                <w:rFonts w:ascii="Arial" w:hAnsi="Arial" w:cs="Arial"/>
                <w:sz w:val="16"/>
              </w:rPr>
              <w:t>790,9</w:t>
            </w:r>
          </w:p>
          <w:p w:rsidR="0051435A" w:rsidRPr="00272F8D" w:rsidRDefault="0051435A">
            <w:pPr>
              <w:rPr>
                <w:rFonts w:ascii="Arial" w:hAnsi="Arial"/>
                <w:sz w:val="18"/>
              </w:rPr>
            </w:pPr>
          </w:p>
        </w:tc>
        <w:tc>
          <w:tcPr>
            <w:tcW w:w="4762" w:type="dxa"/>
          </w:tcPr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 w:cs="Arial"/>
                <w:b/>
                <w:sz w:val="16"/>
              </w:rPr>
            </w:pPr>
            <w:r w:rsidRPr="00272F8D">
              <w:rPr>
                <w:rFonts w:ascii="Arial" w:hAnsi="Arial" w:cs="Arial"/>
                <w:b/>
                <w:sz w:val="16"/>
              </w:rPr>
              <w:t>Число городских населенных пунктов</w:t>
            </w: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b/>
                <w:bCs/>
                <w:sz w:val="16"/>
              </w:rPr>
              <w:t xml:space="preserve">Чукотского автономного округа </w:t>
            </w:r>
            <w:r w:rsidRPr="00272F8D">
              <w:rPr>
                <w:rFonts w:ascii="Arial" w:hAnsi="Arial"/>
                <w:sz w:val="16"/>
              </w:rPr>
              <w:t>на 1 января 20</w:t>
            </w:r>
            <w:r w:rsidR="006C4855" w:rsidRPr="00272F8D">
              <w:rPr>
                <w:rFonts w:ascii="Arial" w:hAnsi="Arial"/>
                <w:sz w:val="16"/>
              </w:rPr>
              <w:t>20</w:t>
            </w:r>
            <w:r w:rsidRPr="00272F8D">
              <w:rPr>
                <w:rFonts w:ascii="Arial" w:hAnsi="Arial"/>
                <w:sz w:val="16"/>
              </w:rPr>
              <w:t xml:space="preserve"> г.</w:t>
            </w:r>
          </w:p>
          <w:p w:rsidR="003E7248" w:rsidRPr="00272F8D" w:rsidRDefault="003E7248" w:rsidP="003E7248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Города – 3</w:t>
            </w:r>
          </w:p>
          <w:p w:rsidR="003E7248" w:rsidRPr="00272F8D" w:rsidRDefault="003E7248" w:rsidP="003E7248">
            <w:pPr>
              <w:spacing w:before="60" w:line="240" w:lineRule="exact"/>
              <w:ind w:left="284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Поселки городского типа – 5</w:t>
            </w: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3E7248" w:rsidRPr="00272F8D" w:rsidRDefault="003E7248" w:rsidP="003E7248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  <w:r w:rsidRPr="00272F8D">
              <w:rPr>
                <w:rFonts w:ascii="Arial" w:hAnsi="Arial"/>
                <w:b/>
                <w:bCs/>
                <w:sz w:val="16"/>
              </w:rPr>
              <w:t>Города</w:t>
            </w:r>
          </w:p>
          <w:p w:rsidR="003E7248" w:rsidRPr="00272F8D" w:rsidRDefault="003E7248" w:rsidP="003E7248">
            <w:pPr>
              <w:spacing w:before="60"/>
              <w:ind w:left="17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(</w:t>
            </w:r>
            <w:r w:rsidR="00463EC0" w:rsidRPr="00272F8D">
              <w:rPr>
                <w:rFonts w:ascii="Arial" w:hAnsi="Arial"/>
                <w:sz w:val="16"/>
              </w:rPr>
              <w:t>численность населения</w:t>
            </w:r>
            <w:r w:rsidRPr="00272F8D">
              <w:rPr>
                <w:rFonts w:ascii="Arial" w:hAnsi="Arial"/>
                <w:sz w:val="16"/>
              </w:rPr>
              <w:t xml:space="preserve"> – оценка на 1 января 20</w:t>
            </w:r>
            <w:r w:rsidR="006C4855" w:rsidRPr="00272F8D">
              <w:rPr>
                <w:rFonts w:ascii="Arial" w:hAnsi="Arial"/>
                <w:sz w:val="16"/>
              </w:rPr>
              <w:t>20</w:t>
            </w:r>
            <w:r w:rsidRPr="00272F8D">
              <w:rPr>
                <w:rFonts w:ascii="Arial" w:hAnsi="Arial"/>
                <w:sz w:val="16"/>
              </w:rPr>
              <w:t xml:space="preserve"> г., </w:t>
            </w:r>
            <w:r w:rsidR="00463EC0" w:rsidRPr="00272F8D">
              <w:rPr>
                <w:rFonts w:ascii="Arial" w:hAnsi="Arial"/>
                <w:sz w:val="16"/>
              </w:rPr>
              <w:br/>
            </w:r>
            <w:r w:rsidRPr="00272F8D">
              <w:rPr>
                <w:rFonts w:ascii="Arial" w:hAnsi="Arial"/>
                <w:sz w:val="16"/>
              </w:rPr>
              <w:t>тыс. человек):</w:t>
            </w:r>
          </w:p>
          <w:p w:rsidR="003E7248" w:rsidRPr="00272F8D" w:rsidRDefault="003E7248" w:rsidP="003E7248">
            <w:pPr>
              <w:spacing w:before="60"/>
              <w:ind w:left="170"/>
              <w:rPr>
                <w:rFonts w:ascii="Arial" w:hAnsi="Arial"/>
                <w:b/>
                <w:bCs/>
                <w:sz w:val="16"/>
              </w:rPr>
            </w:pPr>
          </w:p>
          <w:p w:rsidR="003E7248" w:rsidRPr="00272F8D" w:rsidRDefault="00431230" w:rsidP="003E7248">
            <w:pPr>
              <w:pStyle w:val="4"/>
            </w:pPr>
            <w:r w:rsidRPr="00272F8D">
              <w:t xml:space="preserve">Анадырь – </w:t>
            </w:r>
            <w:r w:rsidR="00270ED2" w:rsidRPr="00272F8D">
              <w:t>15,</w:t>
            </w:r>
            <w:r w:rsidR="0032567E" w:rsidRPr="00272F8D">
              <w:t>8</w:t>
            </w:r>
          </w:p>
          <w:p w:rsidR="003E7248" w:rsidRPr="00272F8D" w:rsidRDefault="003E7248" w:rsidP="003E724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proofErr w:type="spellStart"/>
            <w:r w:rsidRPr="00272F8D">
              <w:rPr>
                <w:rFonts w:ascii="Arial" w:hAnsi="Arial"/>
                <w:sz w:val="16"/>
              </w:rPr>
              <w:t>Билибино</w:t>
            </w:r>
            <w:proofErr w:type="spellEnd"/>
            <w:r w:rsidRPr="00272F8D">
              <w:rPr>
                <w:rFonts w:ascii="Arial" w:hAnsi="Arial"/>
                <w:sz w:val="16"/>
              </w:rPr>
              <w:t xml:space="preserve"> – </w:t>
            </w:r>
            <w:r w:rsidR="00270ED2" w:rsidRPr="00272F8D">
              <w:rPr>
                <w:rFonts w:ascii="Arial" w:hAnsi="Arial"/>
                <w:sz w:val="16"/>
              </w:rPr>
              <w:t>5,</w:t>
            </w:r>
            <w:r w:rsidR="0032567E" w:rsidRPr="00272F8D">
              <w:rPr>
                <w:rFonts w:ascii="Arial" w:hAnsi="Arial"/>
                <w:sz w:val="16"/>
              </w:rPr>
              <w:t>5</w:t>
            </w:r>
          </w:p>
          <w:p w:rsidR="003E7248" w:rsidRPr="00272F8D" w:rsidRDefault="00270ED2" w:rsidP="003E724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proofErr w:type="spellStart"/>
            <w:r w:rsidRPr="00272F8D">
              <w:rPr>
                <w:rFonts w:ascii="Arial" w:hAnsi="Arial"/>
                <w:sz w:val="16"/>
              </w:rPr>
              <w:t>Певек</w:t>
            </w:r>
            <w:proofErr w:type="spellEnd"/>
            <w:r w:rsidRPr="00272F8D">
              <w:rPr>
                <w:rFonts w:ascii="Arial" w:hAnsi="Arial"/>
                <w:sz w:val="16"/>
              </w:rPr>
              <w:t xml:space="preserve"> – 4,</w:t>
            </w:r>
            <w:r w:rsidR="0032567E" w:rsidRPr="00272F8D">
              <w:rPr>
                <w:rFonts w:ascii="Arial" w:hAnsi="Arial"/>
                <w:sz w:val="16"/>
              </w:rPr>
              <w:t>5</w:t>
            </w: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</w:p>
          <w:p w:rsidR="003E7248" w:rsidRPr="00272F8D" w:rsidRDefault="003E7248" w:rsidP="003E7248">
            <w:pPr>
              <w:spacing w:before="60" w:line="240" w:lineRule="exact"/>
              <w:ind w:left="17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Площадь территории</w:t>
            </w:r>
            <w:r w:rsidRPr="00272F8D">
              <w:rPr>
                <w:rFonts w:ascii="Arial" w:hAnsi="Arial"/>
                <w:sz w:val="16"/>
              </w:rPr>
              <w:t>, тыс. км</w:t>
            </w:r>
            <w:proofErr w:type="gramStart"/>
            <w:r w:rsidRPr="00272F8D">
              <w:rPr>
                <w:rFonts w:ascii="Arial" w:hAnsi="Arial"/>
                <w:sz w:val="16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/>
                <w:sz w:val="16"/>
              </w:rPr>
              <w:t>:</w:t>
            </w:r>
          </w:p>
          <w:p w:rsidR="003E7248" w:rsidRPr="00272F8D" w:rsidRDefault="003E7248" w:rsidP="003E724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Чукотский автономный округ – 721,5</w:t>
            </w:r>
          </w:p>
          <w:p w:rsidR="003E7248" w:rsidRPr="00272F8D" w:rsidRDefault="003E7248" w:rsidP="003E7248">
            <w:pPr>
              <w:spacing w:before="60" w:line="240" w:lineRule="exact"/>
              <w:ind w:left="340"/>
              <w:rPr>
                <w:rFonts w:ascii="Arial" w:hAnsi="Arial"/>
                <w:sz w:val="16"/>
              </w:rPr>
            </w:pPr>
            <w:r w:rsidRPr="00272F8D">
              <w:rPr>
                <w:rFonts w:ascii="Arial" w:hAnsi="Arial"/>
                <w:sz w:val="16"/>
              </w:rPr>
              <w:t>Анадырь – 0,02</w:t>
            </w:r>
          </w:p>
          <w:p w:rsidR="0051435A" w:rsidRPr="00272F8D" w:rsidRDefault="0051435A">
            <w:pPr>
              <w:rPr>
                <w:rFonts w:ascii="Arial" w:hAnsi="Arial"/>
                <w:sz w:val="18"/>
              </w:rPr>
            </w:pPr>
          </w:p>
        </w:tc>
      </w:tr>
    </w:tbl>
    <w:p w:rsidR="00567482" w:rsidRPr="00272F8D" w:rsidRDefault="00567482">
      <w:pPr>
        <w:spacing w:before="60"/>
        <w:rPr>
          <w:rFonts w:ascii="Arial" w:hAnsi="Arial"/>
          <w:sz w:val="14"/>
        </w:rPr>
      </w:pPr>
    </w:p>
    <w:p w:rsidR="00567482" w:rsidRPr="00272F8D" w:rsidRDefault="00567482">
      <w:pPr>
        <w:spacing w:before="60"/>
        <w:rPr>
          <w:rFonts w:ascii="Arial" w:hAnsi="Arial"/>
          <w:sz w:val="14"/>
        </w:rPr>
        <w:sectPr w:rsidR="00567482" w:rsidRPr="00272F8D" w:rsidSect="00DE78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2835" w:right="1191" w:bottom="1928" w:left="1191" w:header="2268" w:footer="1474" w:gutter="0"/>
          <w:pgNumType w:start="447"/>
          <w:cols w:space="720"/>
          <w:titlePg/>
        </w:sectPr>
      </w:pPr>
    </w:p>
    <w:p w:rsidR="0051435A" w:rsidRPr="00272F8D" w:rsidRDefault="0051435A">
      <w:pPr>
        <w:rPr>
          <w:sz w:val="2"/>
        </w:rPr>
      </w:pPr>
    </w:p>
    <w:p w:rsidR="0051435A" w:rsidRPr="00272F8D" w:rsidRDefault="0051435A">
      <w:pPr>
        <w:rPr>
          <w:sz w:val="2"/>
        </w:rPr>
      </w:pPr>
    </w:p>
    <w:p w:rsidR="002F1402" w:rsidRPr="00272F8D" w:rsidRDefault="002F1402" w:rsidP="002F1402">
      <w:pPr>
        <w:pStyle w:val="a4"/>
        <w:spacing w:before="0"/>
        <w:ind w:firstLine="0"/>
        <w:rPr>
          <w:vertAlign w:val="superscript"/>
          <w:lang w:val="ru-RU"/>
        </w:rPr>
      </w:pPr>
      <w:r w:rsidRPr="00272F8D">
        <w:rPr>
          <w:lang w:val="ru-RU"/>
        </w:rPr>
        <w:t>ГРУППИРОВКА ГОРОДОВ ПО ЧИСЛЕННОСТИ ПОСТОЯННОГО НАСЕЛЕНИЯ</w:t>
      </w:r>
      <w:proofErr w:type="gramStart"/>
      <w:r w:rsidRPr="00272F8D">
        <w:rPr>
          <w:b w:val="0"/>
          <w:bCs/>
          <w:vertAlign w:val="superscript"/>
          <w:lang w:val="ru-RU"/>
        </w:rPr>
        <w:t>1</w:t>
      </w:r>
      <w:proofErr w:type="gramEnd"/>
      <w:r w:rsidRPr="00272F8D">
        <w:rPr>
          <w:b w:val="0"/>
          <w:bCs/>
          <w:vertAlign w:val="superscript"/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700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272F8D" w:rsidRPr="00272F8D">
        <w:trPr>
          <w:cantSplit/>
          <w:jc w:val="center"/>
        </w:trPr>
        <w:tc>
          <w:tcPr>
            <w:tcW w:w="18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402" w:rsidRPr="00272F8D" w:rsidRDefault="002F1402" w:rsidP="00A4524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402" w:rsidRPr="00272F8D" w:rsidRDefault="002F1402" w:rsidP="00A4524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402" w:rsidRPr="00272F8D" w:rsidRDefault="00463EC0" w:rsidP="00A4524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 том числе с числом жителей, человек</w:t>
            </w:r>
          </w:p>
        </w:tc>
      </w:tr>
      <w:tr w:rsidR="00272F8D" w:rsidRPr="00272F8D">
        <w:trPr>
          <w:cantSplit/>
          <w:jc w:val="center"/>
        </w:trPr>
        <w:tc>
          <w:tcPr>
            <w:tcW w:w="18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C0" w:rsidRPr="00272F8D" w:rsidRDefault="00463EC0" w:rsidP="00A4524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C0" w:rsidRPr="00272F8D" w:rsidRDefault="00463EC0" w:rsidP="00A45245">
            <w:pPr>
              <w:spacing w:before="40" w:after="40" w:line="16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до 3000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br/>
              <w:t>4999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br/>
              <w:t>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19999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249999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250000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499999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63EC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500000</w:t>
            </w:r>
            <w:r w:rsidR="00272F8D">
              <w:rPr>
                <w:rFonts w:ascii="Arial" w:hAnsi="Arial"/>
                <w:sz w:val="14"/>
              </w:rPr>
              <w:t>–</w:t>
            </w:r>
            <w:r w:rsidRPr="00272F8D">
              <w:rPr>
                <w:rFonts w:ascii="Arial" w:hAnsi="Arial"/>
                <w:sz w:val="14"/>
              </w:rPr>
              <w:t>999999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EC0" w:rsidRPr="00272F8D" w:rsidRDefault="00431230" w:rsidP="00F66DF5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pacing w:val="-2"/>
                <w:sz w:val="14"/>
              </w:rPr>
              <w:t xml:space="preserve">1 </w:t>
            </w:r>
            <w:proofErr w:type="gramStart"/>
            <w:r w:rsidRPr="00272F8D">
              <w:rPr>
                <w:rFonts w:ascii="Arial" w:hAnsi="Arial"/>
                <w:spacing w:val="-2"/>
                <w:sz w:val="14"/>
              </w:rPr>
              <w:t>млн</w:t>
            </w:r>
            <w:proofErr w:type="gramEnd"/>
            <w:r w:rsidR="00463EC0" w:rsidRPr="00272F8D">
              <w:rPr>
                <w:rFonts w:ascii="Arial" w:hAnsi="Arial"/>
                <w:spacing w:val="-2"/>
                <w:sz w:val="14"/>
              </w:rPr>
              <w:t xml:space="preserve"> и</w:t>
            </w:r>
            <w:r w:rsidR="00463EC0" w:rsidRPr="00272F8D">
              <w:rPr>
                <w:rFonts w:ascii="Arial" w:hAnsi="Arial"/>
                <w:sz w:val="14"/>
              </w:rPr>
              <w:t xml:space="preserve"> более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Число городов</w:t>
            </w: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463EC0" w:rsidRPr="00272F8D" w:rsidRDefault="00463EC0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C4855" w:rsidRPr="00272F8D" w:rsidRDefault="00A53EBC" w:rsidP="00CD691A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431230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431230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 населения, человек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C4855" w:rsidRPr="00272F8D" w:rsidRDefault="006C4855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25225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4329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5292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6C4855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15604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C4855" w:rsidRPr="00272F8D" w:rsidRDefault="00A53EBC" w:rsidP="004C42F7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–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25221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431230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4053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5319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BE7959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15849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18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25829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431230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4494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5516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326795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bCs/>
                <w:sz w:val="14"/>
              </w:rPr>
            </w:pPr>
            <w:r w:rsidRPr="00272F8D">
              <w:rPr>
                <w:rFonts w:ascii="Arial" w:eastAsia="Arial Unicode MS" w:hAnsi="Arial"/>
                <w:bCs/>
                <w:sz w:val="14"/>
              </w:rPr>
              <w:t>15819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A5316" w:rsidRPr="00272F8D" w:rsidRDefault="006A5316" w:rsidP="007F0026">
            <w:pPr>
              <w:spacing w:before="120" w:line="18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eastAsia="Arial Unicode MS" w:hAnsi="Arial"/>
                <w:sz w:val="14"/>
              </w:rPr>
              <w:t>–</w:t>
            </w:r>
          </w:p>
        </w:tc>
      </w:tr>
      <w:tr w:rsidR="00272F8D" w:rsidRPr="00272F8D"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C4855" w:rsidRPr="00272F8D" w:rsidRDefault="006C4855" w:rsidP="000750C1">
            <w:pPr>
              <w:pStyle w:val="af"/>
              <w:spacing w:before="120" w:after="60"/>
              <w:ind w:left="113"/>
              <w:rPr>
                <w:sz w:val="14"/>
                <w:szCs w:val="14"/>
              </w:rPr>
            </w:pPr>
            <w:r w:rsidRPr="00272F8D">
              <w:rPr>
                <w:sz w:val="14"/>
                <w:szCs w:val="14"/>
              </w:rPr>
              <w:sym w:font="Symbol" w:char="F0BE"/>
            </w:r>
            <w:r w:rsidRPr="00272F8D">
              <w:rPr>
                <w:sz w:val="14"/>
                <w:szCs w:val="14"/>
              </w:rPr>
              <w:sym w:font="Symbol" w:char="F0BE"/>
            </w:r>
            <w:r w:rsidRPr="00272F8D">
              <w:rPr>
                <w:sz w:val="14"/>
                <w:szCs w:val="14"/>
              </w:rPr>
              <w:sym w:font="Symbol" w:char="F0BE"/>
            </w:r>
            <w:r w:rsidRPr="00272F8D">
              <w:rPr>
                <w:sz w:val="14"/>
                <w:szCs w:val="14"/>
              </w:rPr>
              <w:sym w:font="Symbol" w:char="F0BE"/>
            </w:r>
            <w:r w:rsidRPr="00272F8D">
              <w:rPr>
                <w:sz w:val="14"/>
                <w:szCs w:val="14"/>
              </w:rPr>
              <w:sym w:font="Symbol" w:char="F0BE"/>
            </w:r>
          </w:p>
          <w:p w:rsidR="006C4855" w:rsidRPr="00272F8D" w:rsidRDefault="006C4855" w:rsidP="00DE78CD">
            <w:pPr>
              <w:spacing w:before="60" w:after="40"/>
              <w:ind w:left="113" w:right="113"/>
              <w:rPr>
                <w:rFonts w:ascii="Arial" w:eastAsia="Arial Unicode MS" w:hAnsi="Arial"/>
                <w:sz w:val="14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1)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Оценка на 1 января.</w:t>
            </w:r>
          </w:p>
        </w:tc>
      </w:tr>
    </w:tbl>
    <w:p w:rsidR="0051435A" w:rsidRPr="00272F8D" w:rsidRDefault="0051435A" w:rsidP="00C9383B">
      <w:pPr>
        <w:spacing w:before="600" w:after="120"/>
        <w:jc w:val="center"/>
        <w:rPr>
          <w:rFonts w:ascii="Arial" w:hAnsi="Arial" w:cs="Arial"/>
          <w:sz w:val="14"/>
        </w:rPr>
      </w:pPr>
      <w:r w:rsidRPr="00272F8D">
        <w:rPr>
          <w:rFonts w:ascii="Arial" w:hAnsi="Arial" w:cs="Arial"/>
          <w:b/>
          <w:bCs/>
          <w:sz w:val="16"/>
        </w:rPr>
        <w:t>УДЕЛЬНЫЙ ВЕС г. АНАДЫРЯ  В ОСНОВНЫХ СОЦИАЛЬНО-ЭКОНОМИЧЕСКИХ ПОКАЗАТЕЛЯХ</w:t>
      </w:r>
      <w:r w:rsidR="00C9383B" w:rsidRPr="00272F8D">
        <w:rPr>
          <w:rFonts w:ascii="Arial" w:hAnsi="Arial" w:cs="Arial"/>
          <w:b/>
          <w:bCs/>
          <w:sz w:val="16"/>
        </w:rPr>
        <w:br/>
      </w:r>
      <w:r w:rsidRPr="00272F8D">
        <w:rPr>
          <w:rFonts w:ascii="Arial" w:hAnsi="Arial" w:cs="Arial"/>
          <w:b/>
          <w:bCs/>
          <w:sz w:val="16"/>
        </w:rPr>
        <w:t>ЧУКОТСКОГО АВТОНОМНОГО ОКРУГА в 20</w:t>
      </w:r>
      <w:r w:rsidR="006C37B6" w:rsidRPr="00272F8D">
        <w:rPr>
          <w:rFonts w:ascii="Arial" w:hAnsi="Arial" w:cs="Arial"/>
          <w:b/>
          <w:bCs/>
          <w:sz w:val="16"/>
        </w:rPr>
        <w:t>1</w:t>
      </w:r>
      <w:r w:rsidR="006C4855" w:rsidRPr="00272F8D">
        <w:rPr>
          <w:rFonts w:ascii="Arial" w:hAnsi="Arial" w:cs="Arial"/>
          <w:b/>
          <w:bCs/>
          <w:sz w:val="16"/>
        </w:rPr>
        <w:t>9</w:t>
      </w:r>
      <w:r w:rsidRPr="00272F8D">
        <w:rPr>
          <w:rFonts w:ascii="Arial" w:hAnsi="Arial" w:cs="Arial"/>
          <w:b/>
          <w:bCs/>
          <w:sz w:val="16"/>
        </w:rPr>
        <w:t xml:space="preserve"> г.</w:t>
      </w:r>
      <w:r w:rsidR="00C9383B" w:rsidRPr="00272F8D">
        <w:rPr>
          <w:rFonts w:ascii="Arial" w:hAnsi="Arial" w:cs="Arial"/>
          <w:b/>
          <w:bCs/>
          <w:sz w:val="16"/>
        </w:rPr>
        <w:br/>
      </w:r>
      <w:r w:rsidRPr="00272F8D">
        <w:rPr>
          <w:rFonts w:ascii="Arial" w:hAnsi="Arial" w:cs="Arial"/>
          <w:sz w:val="14"/>
        </w:rPr>
        <w:t>(процентов)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86"/>
        <w:gridCol w:w="3766"/>
      </w:tblGrid>
      <w:tr w:rsidR="00272F8D" w:rsidRPr="00272F8D">
        <w:trPr>
          <w:jc w:val="center"/>
        </w:trPr>
        <w:tc>
          <w:tcPr>
            <w:tcW w:w="5786" w:type="dxa"/>
            <w:tcBorders>
              <w:bottom w:val="single" w:sz="4" w:space="0" w:color="auto"/>
            </w:tcBorders>
          </w:tcPr>
          <w:p w:rsidR="0051435A" w:rsidRPr="00272F8D" w:rsidRDefault="0051435A" w:rsidP="00C9383B">
            <w:pPr>
              <w:spacing w:before="120" w:after="120" w:line="16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766" w:type="dxa"/>
            <w:tcBorders>
              <w:bottom w:val="single" w:sz="4" w:space="0" w:color="auto"/>
            </w:tcBorders>
          </w:tcPr>
          <w:p w:rsidR="0051435A" w:rsidRPr="00272F8D" w:rsidRDefault="0051435A" w:rsidP="00C9383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272F8D">
              <w:rPr>
                <w:rFonts w:ascii="Arial" w:hAnsi="Arial" w:cs="Arial"/>
                <w:b/>
                <w:bCs/>
                <w:sz w:val="14"/>
              </w:rPr>
              <w:t>Анадырь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single" w:sz="4" w:space="0" w:color="auto"/>
              <w:bottom w:val="nil"/>
              <w:right w:val="nil"/>
            </w:tcBorders>
          </w:tcPr>
          <w:p w:rsidR="00703609" w:rsidRPr="00272F8D" w:rsidRDefault="00703609" w:rsidP="006C4855">
            <w:pPr>
              <w:pStyle w:val="a9"/>
              <w:spacing w:before="120" w:line="180" w:lineRule="exac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 н</w:t>
            </w:r>
            <w:r w:rsidR="006C4855" w:rsidRPr="00272F8D">
              <w:rPr>
                <w:rFonts w:ascii="Arial" w:hAnsi="Arial"/>
                <w:sz w:val="14"/>
              </w:rPr>
              <w:t>аселения (оценка на 1 января 2020</w:t>
            </w:r>
            <w:r w:rsidRPr="00272F8D">
              <w:rPr>
                <w:rFonts w:ascii="Arial" w:hAnsi="Arial"/>
                <w:sz w:val="14"/>
              </w:rPr>
              <w:t xml:space="preserve"> г.)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703609" w:rsidRPr="00272F8D" w:rsidRDefault="0032567E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31,5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703609" w:rsidRPr="00272F8D" w:rsidRDefault="00703609" w:rsidP="00326795">
            <w:pPr>
              <w:pStyle w:val="a9"/>
              <w:spacing w:before="120" w:line="180" w:lineRule="exact"/>
              <w:rPr>
                <w:rFonts w:ascii="Arial" w:hAnsi="Arial" w:cs="Arial"/>
                <w:sz w:val="14"/>
                <w:vertAlign w:val="superscript"/>
              </w:rPr>
            </w:pPr>
            <w:r w:rsidRPr="00272F8D">
              <w:rPr>
                <w:rFonts w:ascii="Arial" w:hAnsi="Arial" w:cs="Arial"/>
                <w:sz w:val="14"/>
              </w:rPr>
              <w:t xml:space="preserve">Среднегодовая численность </w:t>
            </w:r>
            <w:r w:rsidRPr="00272F8D">
              <w:rPr>
                <w:rFonts w:ascii="Arial" w:hAnsi="Arial"/>
                <w:sz w:val="14"/>
              </w:rPr>
              <w:t>работников организаций</w:t>
            </w:r>
            <w:proofErr w:type="gramStart"/>
            <w:r w:rsidRPr="00272F8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272F8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703609" w:rsidRPr="00272F8D" w:rsidRDefault="00072A0F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36,2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0750C1">
            <w:pPr>
              <w:pStyle w:val="a9"/>
              <w:spacing w:before="120" w:line="180" w:lineRule="exac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Инвестиции в основной капитал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B30728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60,8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spacing w:before="120" w:line="180" w:lineRule="exact"/>
              <w:jc w:val="both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Наличие основных фондов организаций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);3)</w:t>
            </w:r>
            <w:r w:rsidRPr="00272F8D">
              <w:rPr>
                <w:rFonts w:ascii="Arial" w:hAnsi="Arial" w:cs="Arial"/>
                <w:sz w:val="14"/>
              </w:rPr>
              <w:t xml:space="preserve"> (на конец года)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B30728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57,3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spacing w:before="120" w:line="180" w:lineRule="exac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 xml:space="preserve">Объем отгруженных товаров собственного производства, выполненных работ </w:t>
            </w:r>
            <w:r w:rsidRPr="00272F8D">
              <w:rPr>
                <w:rFonts w:ascii="Arial" w:hAnsi="Arial" w:cs="Arial"/>
                <w:sz w:val="14"/>
              </w:rPr>
              <w:br/>
              <w:t xml:space="preserve">и услуг собственными силами по видам </w:t>
            </w:r>
            <w:r w:rsidRPr="00272F8D">
              <w:rPr>
                <w:rFonts w:ascii="Arial" w:hAnsi="Arial"/>
                <w:sz w:val="14"/>
              </w:rPr>
              <w:t>экономической</w:t>
            </w:r>
            <w:r w:rsidRPr="00272F8D">
              <w:rPr>
                <w:rFonts w:ascii="Arial" w:hAnsi="Arial" w:cs="Arial"/>
                <w:sz w:val="14"/>
              </w:rPr>
              <w:t xml:space="preserve"> деятельности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272F8D">
              <w:rPr>
                <w:rFonts w:ascii="Arial" w:hAnsi="Arial" w:cs="Arial"/>
                <w:sz w:val="14"/>
              </w:rPr>
              <w:t xml:space="preserve">: 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left="284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1,8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left="284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24,1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pStyle w:val="a9"/>
              <w:spacing w:before="120" w:line="180" w:lineRule="exact"/>
              <w:ind w:left="284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 xml:space="preserve">обеспечение электрической энергией, газом и паром; кондиционирование </w:t>
            </w:r>
            <w:r w:rsidRPr="00272F8D">
              <w:rPr>
                <w:rFonts w:ascii="Arial" w:hAnsi="Arial" w:cs="Arial"/>
                <w:sz w:val="14"/>
              </w:rPr>
              <w:br/>
              <w:t>воздуха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18,9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pStyle w:val="a9"/>
              <w:spacing w:before="120" w:line="180" w:lineRule="exact"/>
              <w:ind w:left="284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 xml:space="preserve">водоснабжение; водоотведение, организация сбора и утилизации отходов, </w:t>
            </w:r>
            <w:r w:rsidRPr="00272F8D">
              <w:rPr>
                <w:rFonts w:ascii="Arial" w:hAnsi="Arial" w:cs="Arial"/>
                <w:sz w:val="14"/>
              </w:rPr>
              <w:br/>
              <w:t>деятельность по ликвидации загрязнений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18,5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spacing w:before="120" w:line="180" w:lineRule="exact"/>
              <w:rPr>
                <w:rFonts w:ascii="Arial" w:hAnsi="Arial" w:cs="Arial"/>
                <w:sz w:val="14"/>
                <w:vertAlign w:val="superscript"/>
              </w:rPr>
            </w:pPr>
            <w:r w:rsidRPr="00272F8D">
              <w:rPr>
                <w:rFonts w:ascii="Arial" w:hAnsi="Arial" w:cs="Arial"/>
                <w:sz w:val="14"/>
              </w:rPr>
              <w:t xml:space="preserve">Объем работ, выполненных по виду </w:t>
            </w:r>
            <w:r w:rsidRPr="00272F8D">
              <w:rPr>
                <w:rFonts w:ascii="Arial" w:hAnsi="Arial"/>
                <w:sz w:val="14"/>
              </w:rPr>
              <w:t>экономической</w:t>
            </w:r>
            <w:r w:rsidRPr="00272F8D">
              <w:rPr>
                <w:rFonts w:ascii="Arial" w:hAnsi="Arial" w:cs="Arial"/>
                <w:sz w:val="14"/>
              </w:rPr>
              <w:t xml:space="preserve"> деятельности </w:t>
            </w:r>
            <w:r w:rsidRPr="00272F8D">
              <w:rPr>
                <w:rFonts w:ascii="Arial" w:hAnsi="Arial" w:cs="Arial"/>
                <w:sz w:val="14"/>
              </w:rPr>
              <w:br/>
              <w:t>«Строительство»</w:t>
            </w:r>
            <w:r w:rsidRPr="00272F8D">
              <w:rPr>
                <w:rFonts w:ascii="Arial" w:hAnsi="Arial" w:cs="Arial"/>
                <w:sz w:val="14"/>
                <w:vertAlign w:val="superscript"/>
              </w:rPr>
              <w:t>1)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B30728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7,1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pStyle w:val="a9"/>
              <w:spacing w:before="120" w:line="180" w:lineRule="exac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Ввод в действие общей площади жилых домов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431230" w:rsidP="00B30728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–</w:t>
            </w:r>
          </w:p>
        </w:tc>
      </w:tr>
      <w:tr w:rsidR="00272F8D" w:rsidRPr="00272F8D">
        <w:trPr>
          <w:jc w:val="center"/>
        </w:trPr>
        <w:tc>
          <w:tcPr>
            <w:tcW w:w="5786" w:type="dxa"/>
            <w:tcBorders>
              <w:top w:val="nil"/>
              <w:bottom w:val="nil"/>
              <w:right w:val="nil"/>
            </w:tcBorders>
          </w:tcPr>
          <w:p w:rsidR="00605BE6" w:rsidRPr="00272F8D" w:rsidRDefault="00605BE6" w:rsidP="00326795">
            <w:pPr>
              <w:spacing w:before="120" w:line="180" w:lineRule="exac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Оборот розничной торговли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</w:tcBorders>
            <w:vAlign w:val="bottom"/>
          </w:tcPr>
          <w:p w:rsidR="00605BE6" w:rsidRPr="00272F8D" w:rsidRDefault="00605BE6" w:rsidP="00326795">
            <w:pPr>
              <w:spacing w:before="120" w:line="180" w:lineRule="exact"/>
              <w:ind w:right="1588"/>
              <w:jc w:val="right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56,1</w:t>
            </w:r>
          </w:p>
        </w:tc>
      </w:tr>
      <w:tr w:rsidR="00272F8D" w:rsidRPr="00272F8D">
        <w:trPr>
          <w:cantSplit/>
          <w:jc w:val="center"/>
        </w:trPr>
        <w:tc>
          <w:tcPr>
            <w:tcW w:w="9552" w:type="dxa"/>
            <w:gridSpan w:val="2"/>
            <w:tcBorders>
              <w:top w:val="nil"/>
              <w:bottom w:val="single" w:sz="4" w:space="0" w:color="auto"/>
            </w:tcBorders>
          </w:tcPr>
          <w:p w:rsidR="00605BE6" w:rsidRPr="00272F8D" w:rsidRDefault="00605BE6" w:rsidP="00E91AAD">
            <w:pPr>
              <w:spacing w:before="12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05BE6" w:rsidRPr="00272F8D" w:rsidRDefault="00605BE6" w:rsidP="00DE78CD">
            <w:pPr>
              <w:spacing w:before="60"/>
              <w:jc w:val="both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1)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605BE6" w:rsidRPr="00272F8D" w:rsidRDefault="00605BE6" w:rsidP="00272F8D">
            <w:pPr>
              <w:jc w:val="both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2)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605BE6" w:rsidRPr="00272F8D" w:rsidRDefault="00605BE6" w:rsidP="00DE78CD">
            <w:pPr>
              <w:spacing w:after="40"/>
              <w:jc w:val="both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3)</w:t>
            </w:r>
            <w:r w:rsidR="00272F8D" w:rsidRP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51435A" w:rsidRPr="00272F8D" w:rsidRDefault="0051435A" w:rsidP="00B97793">
      <w:pPr>
        <w:pStyle w:val="3"/>
        <w:keepNext w:val="0"/>
        <w:pageBreakBefore/>
        <w:widowControl w:val="0"/>
        <w:spacing w:after="120"/>
      </w:pPr>
      <w:r w:rsidRPr="00272F8D">
        <w:lastRenderedPageBreak/>
        <w:t xml:space="preserve">СОЦИАЛЬНО-ЭКОНОМИЧЕСКАЯ ХАРАКТЕРИСТИКА г. АНАДЫРЯ </w:t>
      </w:r>
      <w:r w:rsidR="006C37B6" w:rsidRPr="00272F8D"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3"/>
        <w:gridCol w:w="1714"/>
        <w:gridCol w:w="1715"/>
        <w:gridCol w:w="1715"/>
      </w:tblGrid>
      <w:tr w:rsidR="00272F8D" w:rsidRPr="00272F8D">
        <w:trPr>
          <w:cantSplit/>
          <w:jc w:val="center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960" w:rsidRPr="00272F8D" w:rsidRDefault="00AF0960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960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960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0960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2019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F0960" w:rsidRPr="00272F8D" w:rsidRDefault="00656C11" w:rsidP="009739E9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НАСЕЛЕНИЕ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</w:t>
            </w:r>
            <w:r w:rsidRPr="00272F8D">
              <w:rPr>
                <w:rFonts w:ascii="Arial" w:hAnsi="Arial"/>
                <w:spacing w:val="-2"/>
                <w:sz w:val="14"/>
              </w:rPr>
              <w:t xml:space="preserve"> населения</w:t>
            </w:r>
            <w:r w:rsidRPr="00272F8D">
              <w:rPr>
                <w:rFonts w:ascii="Arial" w:hAnsi="Arial"/>
                <w:spacing w:val="-2"/>
                <w:sz w:val="14"/>
                <w:vertAlign w:val="superscript"/>
              </w:rPr>
              <w:t xml:space="preserve"> </w:t>
            </w:r>
            <w:r w:rsidRPr="00272F8D">
              <w:rPr>
                <w:rFonts w:ascii="Arial" w:hAnsi="Arial"/>
                <w:spacing w:val="-2"/>
                <w:sz w:val="14"/>
              </w:rPr>
              <w:t>(оценка на конец года), тыс.</w:t>
            </w:r>
            <w:r w:rsidRPr="00272F8D">
              <w:rPr>
                <w:rFonts w:ascii="Arial" w:hAnsi="Arial"/>
                <w:sz w:val="14"/>
              </w:rPr>
              <w:t xml:space="preserve"> человек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15,6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15,8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8B388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15,8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Из общей численности – население в возрасте: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моложе трудоспособного 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3,1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3,2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272F8D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из них детей в возрасте 1</w:t>
            </w:r>
            <w:r w:rsidR="00A53EBC" w:rsidRPr="00272F8D">
              <w:rPr>
                <w:rFonts w:ascii="Arial" w:hAnsi="Arial"/>
                <w:sz w:val="14"/>
              </w:rPr>
              <w:t xml:space="preserve"> – </w:t>
            </w:r>
            <w:r w:rsidRPr="00272F8D">
              <w:rPr>
                <w:rFonts w:ascii="Arial" w:hAnsi="Arial"/>
                <w:sz w:val="14"/>
              </w:rPr>
              <w:t>6 лет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>трудоспособном</w:t>
            </w:r>
            <w:proofErr w:type="gramStart"/>
            <w:r w:rsidRPr="00272F8D">
              <w:rPr>
                <w:rFonts w:ascii="Arial" w:hAnsi="Arial"/>
                <w:sz w:val="14"/>
                <w:vertAlign w:val="superscript"/>
              </w:rPr>
              <w:t>1</w:t>
            </w:r>
            <w:proofErr w:type="gramEnd"/>
            <w:r w:rsidRPr="00272F8D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10,6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</w:t>
            </w:r>
            <w:r w:rsidR="008B388F" w:rsidRPr="00272F8D">
              <w:rPr>
                <w:rFonts w:ascii="Arial" w:hAnsi="Arial"/>
                <w:sz w:val="14"/>
              </w:rPr>
              <w:t>0,7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старше трудоспособного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1,9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2,0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8B388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1,9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Число родившихся на 1000 человек населения 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11,7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11,</w:t>
            </w:r>
            <w:r w:rsidR="00957D65" w:rsidRPr="00272F8D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D3EF8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8,9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>Число умерших на 1000 человек населения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6,6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6,</w:t>
            </w:r>
            <w:r w:rsidR="00957D65" w:rsidRPr="00272F8D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D3EF8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4,7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Естественный</w:t>
            </w:r>
            <w:r w:rsidRPr="00272F8D">
              <w:rPr>
                <w:rFonts w:ascii="Arial" w:hAnsi="Arial"/>
                <w:spacing w:val="-2"/>
                <w:sz w:val="14"/>
              </w:rPr>
              <w:t xml:space="preserve"> прирост, убыль</w:t>
            </w:r>
            <w:proofErr w:type="gramStart"/>
            <w:r w:rsidRPr="00272F8D">
              <w:rPr>
                <w:rFonts w:ascii="Arial" w:hAnsi="Arial"/>
                <w:spacing w:val="-2"/>
                <w:sz w:val="14"/>
              </w:rPr>
              <w:t xml:space="preserve"> (-) </w:t>
            </w:r>
            <w:proofErr w:type="gramEnd"/>
            <w:r w:rsidRPr="00272F8D">
              <w:rPr>
                <w:rFonts w:ascii="Arial" w:hAnsi="Arial"/>
                <w:spacing w:val="-2"/>
                <w:sz w:val="14"/>
              </w:rPr>
              <w:t>на 1000</w:t>
            </w:r>
            <w:r w:rsidRPr="00272F8D">
              <w:rPr>
                <w:rFonts w:ascii="Arial" w:hAnsi="Arial"/>
                <w:sz w:val="14"/>
              </w:rPr>
              <w:t xml:space="preserve"> человек населения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5,1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4,</w:t>
            </w:r>
            <w:r w:rsidR="00957D65" w:rsidRPr="00272F8D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4,</w:t>
            </w:r>
            <w:r w:rsidR="003D3EF8" w:rsidRPr="00272F8D">
              <w:rPr>
                <w:rFonts w:ascii="Arial" w:hAnsi="Arial"/>
                <w:sz w:val="14"/>
              </w:rPr>
              <w:t>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C4855" w:rsidRPr="00272F8D" w:rsidRDefault="006C4855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pacing w:val="-4"/>
                <w:sz w:val="14"/>
              </w:rPr>
              <w:t>Миграционный прирост населения, человек</w:t>
            </w:r>
          </w:p>
        </w:tc>
        <w:tc>
          <w:tcPr>
            <w:tcW w:w="1714" w:type="dxa"/>
            <w:vAlign w:val="bottom"/>
          </w:tcPr>
          <w:p w:rsidR="006C4855" w:rsidRPr="00272F8D" w:rsidRDefault="006C4855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1715" w:type="dxa"/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17</w:t>
            </w:r>
            <w:r w:rsidR="00957D65" w:rsidRPr="00272F8D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C4855" w:rsidRPr="00272F8D" w:rsidRDefault="0032567E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-107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6C4855" w:rsidRPr="00272F8D" w:rsidRDefault="006C4855" w:rsidP="009739E9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ТРУД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Среднегодовая численность работников организаций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272F8D">
              <w:rPr>
                <w:rFonts w:ascii="Arial" w:hAnsi="Arial"/>
                <w:sz w:val="14"/>
              </w:rPr>
              <w:t xml:space="preserve">, </w:t>
            </w:r>
            <w:r w:rsidRPr="00272F8D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1714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Численность незанятых граждан, состоящих на учете в органах службы занятости населения в целях поиска подходящей </w:t>
            </w:r>
            <w:r w:rsidRPr="00272F8D">
              <w:rPr>
                <w:rFonts w:ascii="Arial" w:hAnsi="Arial"/>
                <w:sz w:val="14"/>
              </w:rPr>
              <w:br/>
              <w:t>работы</w:t>
            </w:r>
            <w:r w:rsidRPr="00272F8D">
              <w:rPr>
                <w:rFonts w:ascii="Arial" w:hAnsi="Arial"/>
                <w:spacing w:val="-2"/>
                <w:sz w:val="14"/>
              </w:rPr>
              <w:t xml:space="preserve"> (на конец года)</w:t>
            </w:r>
            <w:r w:rsidRPr="00272F8D">
              <w:rPr>
                <w:rFonts w:ascii="Arial" w:hAnsi="Arial"/>
                <w:sz w:val="14"/>
              </w:rPr>
              <w:t>, человек</w:t>
            </w:r>
          </w:p>
        </w:tc>
        <w:tc>
          <w:tcPr>
            <w:tcW w:w="1714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proofErr w:type="gramStart"/>
            <w:r w:rsidRPr="00272F8D">
              <w:rPr>
                <w:rFonts w:ascii="Arial" w:hAnsi="Arial"/>
                <w:sz w:val="14"/>
              </w:rPr>
              <w:t>из них признаны безработными</w:t>
            </w:r>
            <w:proofErr w:type="gramEnd"/>
          </w:p>
        </w:tc>
        <w:tc>
          <w:tcPr>
            <w:tcW w:w="1714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72A0F" w:rsidRPr="00272F8D" w:rsidRDefault="00072A0F" w:rsidP="009739E9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УРОВЕНЬ ЖИЗНИ НАСЕЛЕНИЯ И СОЦИАЛЬНАЯ СФЕРА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Среднемесячная номинальная начисленная заработная </w:t>
            </w:r>
            <w:r w:rsidRPr="00272F8D">
              <w:rPr>
                <w:rFonts w:ascii="Arial" w:hAnsi="Arial"/>
                <w:sz w:val="14"/>
              </w:rPr>
              <w:br/>
              <w:t>плата работников организаций</w:t>
            </w:r>
            <w:proofErr w:type="gramStart"/>
            <w:r w:rsidRPr="00272F8D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272F8D">
              <w:rPr>
                <w:rFonts w:ascii="Arial" w:hAnsi="Arial"/>
                <w:sz w:val="14"/>
              </w:rPr>
              <w:t>, руб.</w:t>
            </w:r>
          </w:p>
        </w:tc>
        <w:tc>
          <w:tcPr>
            <w:tcW w:w="1714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107061,8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113613,9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123898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Средний размер назначенных пенсий, руб.</w:t>
            </w:r>
          </w:p>
        </w:tc>
        <w:tc>
          <w:tcPr>
            <w:tcW w:w="1714" w:type="dxa"/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24124,4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25511,1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26702,2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 пенсионеров, тыс. человек</w:t>
            </w:r>
          </w:p>
        </w:tc>
        <w:tc>
          <w:tcPr>
            <w:tcW w:w="1714" w:type="dxa"/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3,5</w:t>
            </w:r>
          </w:p>
        </w:tc>
        <w:tc>
          <w:tcPr>
            <w:tcW w:w="1715" w:type="dxa"/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3,6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072A0F" w:rsidRPr="00272F8D" w:rsidRDefault="00072A0F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3,6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 xml:space="preserve">Общая площадь жилых помещений, приходящаяся </w:t>
            </w:r>
            <w:r w:rsidRPr="00272F8D">
              <w:rPr>
                <w:rFonts w:ascii="Arial" w:hAnsi="Arial"/>
                <w:sz w:val="14"/>
              </w:rPr>
              <w:br/>
              <w:t>в среднем на одного городского жителя (на конец года), м</w:t>
            </w:r>
            <w:proofErr w:type="gramStart"/>
            <w:r w:rsidRPr="00272F8D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</w:p>
        </w:tc>
        <w:tc>
          <w:tcPr>
            <w:tcW w:w="1714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18</w:t>
            </w:r>
            <w:r w:rsidRPr="00272F8D">
              <w:rPr>
                <w:rFonts w:ascii="Arial" w:hAnsi="Arial"/>
                <w:sz w:val="14"/>
              </w:rPr>
              <w:t>,4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18</w:t>
            </w:r>
            <w:r w:rsidRPr="00272F8D">
              <w:rPr>
                <w:rFonts w:ascii="Arial" w:hAnsi="Arial"/>
                <w:sz w:val="14"/>
              </w:rPr>
              <w:t>,</w:t>
            </w:r>
            <w:r w:rsidRPr="00272F8D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18,4</w:t>
            </w:r>
          </w:p>
        </w:tc>
      </w:tr>
      <w:tr w:rsidR="00272F8D" w:rsidRPr="00272F8D" w:rsidTr="000B3961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</w:tcPr>
          <w:p w:rsidR="00605BE6" w:rsidRPr="00272F8D" w:rsidRDefault="00605BE6" w:rsidP="00CD500F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t>Число мест в организациях, осуществляющих образовательную</w:t>
            </w:r>
            <w:r w:rsidRPr="00272F8D">
              <w:rPr>
                <w:rFonts w:ascii="Arial" w:hAnsi="Arial" w:cs="Arial"/>
                <w:sz w:val="14"/>
                <w:szCs w:val="14"/>
              </w:rPr>
              <w:br/>
              <w:t>деятельность по образовательным программам дошкольного образования, присмотр и уход за детьми, тыс.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1,0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1,0</w:t>
            </w:r>
          </w:p>
        </w:tc>
      </w:tr>
      <w:tr w:rsidR="00272F8D" w:rsidRPr="00272F8D" w:rsidTr="000B3961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</w:tcPr>
          <w:p w:rsidR="00605BE6" w:rsidRPr="00272F8D" w:rsidRDefault="00605BE6" w:rsidP="00CD500F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t xml:space="preserve">Численность воспитанников организаций, осуществляющих </w:t>
            </w:r>
            <w:r w:rsidRPr="00272F8D">
              <w:rPr>
                <w:rFonts w:ascii="Arial" w:hAnsi="Arial" w:cs="Arial"/>
                <w:sz w:val="14"/>
                <w:szCs w:val="14"/>
              </w:rPr>
              <w:br/>
              <w:t>образовательную деятельность по образовательным програ</w:t>
            </w:r>
            <w:r w:rsidRPr="00272F8D">
              <w:rPr>
                <w:rFonts w:ascii="Arial" w:hAnsi="Arial" w:cs="Arial"/>
                <w:sz w:val="14"/>
                <w:szCs w:val="14"/>
              </w:rPr>
              <w:t>м</w:t>
            </w:r>
            <w:r w:rsidRPr="00272F8D">
              <w:rPr>
                <w:rFonts w:ascii="Arial" w:hAnsi="Arial" w:cs="Arial"/>
                <w:sz w:val="14"/>
                <w:szCs w:val="14"/>
              </w:rPr>
              <w:t xml:space="preserve">мам дошкольного образования, присмотр и уход за детьми, </w:t>
            </w:r>
            <w:r w:rsidRPr="00272F8D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1,1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 врачей, человек: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605BE6" w:rsidRPr="00272F8D" w:rsidRDefault="00605BE6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143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138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94,8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90,2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87,2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Численность среднего медицинского персонала, человек: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233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217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217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149,3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136,9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137,2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Число больничных организаций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Число больничных коек круглосуточных стационаров: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253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251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161,5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159,6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158,7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Число амбулаторно-поликлинических организаций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Мощность амбулаторно-поликлинических организаций, </w:t>
            </w:r>
            <w:r w:rsidRPr="00272F8D">
              <w:rPr>
                <w:rFonts w:ascii="Arial" w:hAnsi="Arial"/>
                <w:sz w:val="14"/>
              </w:rPr>
              <w:br/>
              <w:t>посещений в смену: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640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640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640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на 10 000 человек населения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92004B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410,2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403,8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9C348E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404,6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t xml:space="preserve">Численность лиц, размещенных в коллективных средствах </w:t>
            </w:r>
            <w:r w:rsidRPr="00272F8D">
              <w:rPr>
                <w:rFonts w:ascii="Arial" w:hAnsi="Arial" w:cs="Arial"/>
                <w:sz w:val="14"/>
                <w:szCs w:val="14"/>
              </w:rPr>
              <w:br/>
              <w:t>размещения, человек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1701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2923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4502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t>граждан Российской Федерации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1603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2793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4260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t>иностранных граждан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130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513852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  <w:lang w:val="en-US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242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9019C" w:rsidRPr="00272F8D" w:rsidRDefault="00C9019C" w:rsidP="000750C1">
            <w:pPr>
              <w:spacing w:before="8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ИНВЕСТИЦИИ</w:t>
            </w:r>
            <w:proofErr w:type="gramStart"/>
            <w:r w:rsidRPr="00272F8D">
              <w:rPr>
                <w:rFonts w:ascii="Arial" w:hAnsi="Arial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Инвестиции в основной капитал  (в фактически действовавших ценах), </w:t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7128,0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10335,1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16079,5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92004B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Удельный вес инвестиций в основной капитал, финансируемых за счет бюджетных средств, в общем объеме инвестиций, </w:t>
            </w:r>
            <w:r w:rsidRPr="00272F8D">
              <w:rPr>
                <w:rFonts w:ascii="Arial" w:hAnsi="Arial"/>
                <w:sz w:val="14"/>
              </w:rPr>
              <w:br/>
              <w:t>процентов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33,4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28,0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38,5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56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в том числе за счет: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федерального бюджета</w:t>
            </w:r>
          </w:p>
        </w:tc>
        <w:tc>
          <w:tcPr>
            <w:tcW w:w="1714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22,8</w:t>
            </w:r>
          </w:p>
        </w:tc>
        <w:tc>
          <w:tcPr>
            <w:tcW w:w="1715" w:type="dxa"/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14,1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34,2</w:t>
            </w:r>
          </w:p>
        </w:tc>
      </w:tr>
      <w:tr w:rsidR="00272F8D" w:rsidRPr="00272F8D" w:rsidTr="006C4855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9019C" w:rsidRPr="00272F8D" w:rsidRDefault="00C9019C" w:rsidP="00272F8D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бюджета субъекта Российской Федерации</w:t>
            </w:r>
          </w:p>
        </w:tc>
        <w:tc>
          <w:tcPr>
            <w:tcW w:w="1714" w:type="dxa"/>
            <w:tcBorders>
              <w:bottom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9,9</w:t>
            </w:r>
          </w:p>
        </w:tc>
        <w:tc>
          <w:tcPr>
            <w:tcW w:w="1715" w:type="dxa"/>
            <w:tcBorders>
              <w:bottom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12,8</w:t>
            </w:r>
          </w:p>
        </w:tc>
        <w:tc>
          <w:tcPr>
            <w:tcW w:w="171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9019C" w:rsidRPr="00272F8D" w:rsidRDefault="00C9019C" w:rsidP="00B30728">
            <w:pPr>
              <w:spacing w:before="40" w:line="14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3,9</w:t>
            </w:r>
          </w:p>
        </w:tc>
      </w:tr>
    </w:tbl>
    <w:p w:rsidR="00BE48D1" w:rsidRPr="00272F8D" w:rsidRDefault="00BE48D1">
      <w:pPr>
        <w:spacing w:after="60"/>
        <w:jc w:val="right"/>
        <w:rPr>
          <w:rFonts w:ascii="Arial" w:hAnsi="Arial"/>
          <w:sz w:val="14"/>
          <w:szCs w:val="14"/>
        </w:rPr>
        <w:sectPr w:rsidR="00BE48D1" w:rsidRPr="00272F8D" w:rsidSect="004A04F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13" w:h="16834" w:code="9"/>
          <w:pgMar w:top="2835" w:right="1191" w:bottom="1928" w:left="1191" w:header="2268" w:footer="1474" w:gutter="0"/>
          <w:cols w:space="720"/>
          <w:titlePg/>
        </w:sectPr>
      </w:pPr>
    </w:p>
    <w:p w:rsidR="0051435A" w:rsidRPr="00272F8D" w:rsidRDefault="0051435A">
      <w:pPr>
        <w:spacing w:after="60"/>
        <w:jc w:val="right"/>
        <w:rPr>
          <w:rFonts w:ascii="Arial" w:hAnsi="Arial"/>
          <w:sz w:val="14"/>
          <w:szCs w:val="14"/>
        </w:rPr>
      </w:pPr>
      <w:r w:rsidRPr="00272F8D">
        <w:rPr>
          <w:rFonts w:ascii="Arial" w:hAnsi="Arial"/>
          <w:sz w:val="14"/>
          <w:szCs w:val="14"/>
        </w:rPr>
        <w:lastRenderedPageBreak/>
        <w:t>Продолжение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3"/>
        <w:gridCol w:w="1714"/>
        <w:gridCol w:w="1715"/>
        <w:gridCol w:w="1715"/>
      </w:tblGrid>
      <w:tr w:rsidR="00272F8D" w:rsidRPr="00272F8D">
        <w:trPr>
          <w:cantSplit/>
          <w:jc w:val="center"/>
        </w:trPr>
        <w:tc>
          <w:tcPr>
            <w:tcW w:w="4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46D" w:rsidRPr="00272F8D" w:rsidRDefault="0094146D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46D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46D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146D" w:rsidRPr="00272F8D" w:rsidRDefault="006C4855" w:rsidP="00BF6F7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2019</w:t>
            </w:r>
          </w:p>
        </w:tc>
      </w:tr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750C1" w:rsidRPr="00272F8D" w:rsidRDefault="000750C1" w:rsidP="004621D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ОСНОВНЫЕ ФОНДЫ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bookmarkStart w:id="0" w:name="_GoBack" w:colFirst="1" w:colLast="3"/>
            <w:r w:rsidRPr="00272F8D">
              <w:rPr>
                <w:rFonts w:ascii="Arial" w:hAnsi="Arial"/>
                <w:sz w:val="14"/>
              </w:rPr>
              <w:t>Наличие основных фондов организаций</w:t>
            </w:r>
            <w:r w:rsidRPr="00272F8D">
              <w:rPr>
                <w:rFonts w:ascii="Arial" w:hAnsi="Arial"/>
                <w:sz w:val="14"/>
                <w:vertAlign w:val="superscript"/>
              </w:rPr>
              <w:t xml:space="preserve">3);4)  </w:t>
            </w:r>
            <w:r w:rsidRPr="00272F8D">
              <w:rPr>
                <w:rFonts w:ascii="Arial" w:hAnsi="Arial"/>
                <w:sz w:val="14"/>
              </w:rPr>
              <w:t xml:space="preserve">(на конец года), </w:t>
            </w:r>
            <w:r w:rsidRPr="00272F8D">
              <w:rPr>
                <w:rFonts w:ascii="Arial" w:hAnsi="Arial"/>
                <w:sz w:val="14"/>
              </w:rPr>
              <w:br/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96549,9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107133,8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605BE6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121277,4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 w:cs="Arial"/>
                <w:sz w:val="14"/>
              </w:rPr>
            </w:pPr>
            <w:r w:rsidRPr="00272F8D">
              <w:rPr>
                <w:rFonts w:ascii="Arial" w:hAnsi="Arial" w:cs="Arial"/>
                <w:sz w:val="14"/>
              </w:rPr>
              <w:t>Ввод в действие основных фондов</w:t>
            </w:r>
            <w:r w:rsidRPr="00272F8D">
              <w:rPr>
                <w:rFonts w:ascii="Arial" w:hAnsi="Arial" w:cs="Arial"/>
                <w:sz w:val="14"/>
                <w:vertAlign w:val="superscript"/>
              </w:rPr>
              <w:t>3)</w:t>
            </w:r>
            <w:r w:rsidRPr="00272F8D">
              <w:rPr>
                <w:rFonts w:ascii="Arial" w:hAnsi="Arial" w:cs="Arial"/>
                <w:sz w:val="14"/>
              </w:rPr>
              <w:t xml:space="preserve">, </w:t>
            </w:r>
            <w:proofErr w:type="gramStart"/>
            <w:r w:rsidRPr="00272F8D">
              <w:rPr>
                <w:rFonts w:ascii="Arial" w:hAnsi="Arial" w:cs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 w:cs="Arial"/>
                <w:sz w:val="14"/>
              </w:rPr>
              <w:t xml:space="preserve"> руб.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8121,8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5581,5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11234,9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272F8D">
              <w:rPr>
                <w:rFonts w:ascii="Arial" w:hAnsi="Arial"/>
                <w:sz w:val="14"/>
              </w:rPr>
              <w:t>Степень износа основных фондов</w:t>
            </w:r>
            <w:r w:rsidRPr="00272F8D">
              <w:rPr>
                <w:rFonts w:ascii="Arial" w:hAnsi="Arial"/>
                <w:spacing w:val="-2"/>
                <w:sz w:val="14"/>
                <w:vertAlign w:val="superscript"/>
              </w:rPr>
              <w:t>5)</w:t>
            </w:r>
            <w:r w:rsidRPr="00272F8D">
              <w:rPr>
                <w:rFonts w:ascii="Arial" w:hAnsi="Arial"/>
                <w:sz w:val="14"/>
              </w:rPr>
              <w:t xml:space="preserve"> (на конец года), </w:t>
            </w:r>
            <w:r w:rsidRPr="00272F8D">
              <w:rPr>
                <w:rFonts w:ascii="Arial" w:hAnsi="Arial"/>
                <w:spacing w:val="-2"/>
                <w:sz w:val="14"/>
              </w:rPr>
              <w:t>процентов</w:t>
            </w:r>
            <w:proofErr w:type="gramEnd"/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53,6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57,5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58,9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pacing w:val="-2"/>
                <w:sz w:val="14"/>
              </w:rPr>
            </w:pPr>
            <w:proofErr w:type="gramStart"/>
            <w:r w:rsidRPr="00272F8D">
              <w:rPr>
                <w:rFonts w:ascii="Arial" w:hAnsi="Arial"/>
                <w:spacing w:val="-2"/>
                <w:sz w:val="14"/>
              </w:rPr>
              <w:t xml:space="preserve">Удельный вес полностью изношенных основных фондов </w:t>
            </w:r>
            <w:r w:rsidRPr="00272F8D">
              <w:rPr>
                <w:rFonts w:ascii="Arial" w:hAnsi="Arial"/>
                <w:spacing w:val="-2"/>
                <w:sz w:val="14"/>
              </w:rPr>
              <w:br/>
              <w:t>в общем объеме основных фондов</w:t>
            </w:r>
            <w:r w:rsidRPr="00272F8D">
              <w:rPr>
                <w:rFonts w:ascii="Arial" w:hAnsi="Arial"/>
                <w:sz w:val="14"/>
                <w:vertAlign w:val="superscript"/>
              </w:rPr>
              <w:t>5)</w:t>
            </w:r>
            <w:r w:rsidRPr="00272F8D">
              <w:rPr>
                <w:rFonts w:ascii="Arial" w:hAnsi="Arial"/>
                <w:spacing w:val="-2"/>
                <w:sz w:val="14"/>
              </w:rPr>
              <w:t xml:space="preserve">, </w:t>
            </w:r>
            <w:r w:rsidRPr="00272F8D">
              <w:rPr>
                <w:rFonts w:ascii="Arial" w:hAnsi="Arial"/>
                <w:sz w:val="14"/>
              </w:rPr>
              <w:t>процент</w:t>
            </w:r>
            <w:r w:rsidR="00DE78CD">
              <w:rPr>
                <w:rFonts w:ascii="Arial" w:hAnsi="Arial"/>
                <w:sz w:val="14"/>
              </w:rPr>
              <w:t>ов</w:t>
            </w:r>
            <w:proofErr w:type="gramEnd"/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6,3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9,4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9,9</w:t>
            </w:r>
          </w:p>
        </w:tc>
      </w:tr>
      <w:bookmarkEnd w:id="0"/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05BE6" w:rsidRPr="00272F8D" w:rsidRDefault="00605BE6" w:rsidP="004621D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ПРЕДПРИЯТИЯ И ОРГАНИЗАЦИИ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Число предприятий и организаций (на конец года; по данным </w:t>
            </w:r>
            <w:r w:rsidRPr="00272F8D">
              <w:rPr>
                <w:rFonts w:ascii="Arial" w:hAnsi="Arial"/>
                <w:sz w:val="14"/>
              </w:rPr>
              <w:br/>
              <w:t>государственной регистрации)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493</w:t>
            </w:r>
          </w:p>
        </w:tc>
      </w:tr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05BE6" w:rsidRPr="00272F8D" w:rsidRDefault="00605BE6" w:rsidP="004621D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ПРОМЫШЛЕННОЕ ПРОИЗВОДСТВО</w:t>
            </w:r>
            <w:r w:rsidRPr="00272F8D">
              <w:rPr>
                <w:rFonts w:ascii="Arial" w:hAnsi="Arial"/>
                <w:b/>
                <w:sz w:val="16"/>
                <w:vertAlign w:val="superscript"/>
              </w:rPr>
              <w:t xml:space="preserve"> 2)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Объем отгруженных товаров собственного производства, </w:t>
            </w:r>
            <w:r w:rsidRPr="00272F8D">
              <w:rPr>
                <w:rFonts w:ascii="Arial" w:hAnsi="Arial"/>
                <w:sz w:val="14"/>
              </w:rPr>
              <w:br/>
              <w:t xml:space="preserve">выполненных работ и услуг собственными силами по видам </w:t>
            </w:r>
            <w:r w:rsidRPr="00272F8D">
              <w:rPr>
                <w:rFonts w:ascii="Arial" w:hAnsi="Arial"/>
                <w:sz w:val="14"/>
              </w:rPr>
              <w:br/>
              <w:t xml:space="preserve">экономической деятельности </w:t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руб.: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добыча полезных ископаемых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18511,3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14253,7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>244,7</w:t>
            </w:r>
            <w:r w:rsidRPr="00272F8D">
              <w:rPr>
                <w:rFonts w:ascii="Arial" w:hAnsi="Arial"/>
                <w:sz w:val="14"/>
                <w:vertAlign w:val="superscript"/>
              </w:rPr>
              <w:t>6)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559,8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677,4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>16151,7</w:t>
            </w:r>
            <w:r w:rsidRPr="00272F8D">
              <w:rPr>
                <w:rFonts w:ascii="Arial" w:hAnsi="Arial"/>
                <w:sz w:val="14"/>
                <w:vertAlign w:val="superscript"/>
              </w:rPr>
              <w:t>6)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обеспечение электрической энергией, газом и паром; </w:t>
            </w:r>
            <w:r w:rsidRPr="00272F8D">
              <w:rPr>
                <w:rFonts w:ascii="Arial" w:hAnsi="Arial"/>
                <w:sz w:val="14"/>
              </w:rPr>
              <w:br/>
              <w:t>кондиционирование воздуха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1368,4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1518,1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1657,7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397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водоснабжение; водоотведение, организация сбора </w:t>
            </w:r>
            <w:r w:rsidRPr="00272F8D">
              <w:rPr>
                <w:rFonts w:ascii="Arial" w:hAnsi="Arial"/>
                <w:sz w:val="14"/>
              </w:rPr>
              <w:br/>
              <w:t xml:space="preserve">и утилизации отходов, деятельность по ликвидации </w:t>
            </w:r>
            <w:r w:rsidRPr="00272F8D">
              <w:rPr>
                <w:rFonts w:ascii="Arial" w:hAnsi="Arial"/>
                <w:sz w:val="14"/>
              </w:rPr>
              <w:br/>
              <w:t>загрязнений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6E5B5C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  <w:vertAlign w:val="superscript"/>
              </w:rPr>
            </w:pPr>
            <w:r w:rsidRPr="00272F8D">
              <w:rPr>
                <w:rFonts w:ascii="Arial" w:hAnsi="Arial"/>
                <w:sz w:val="14"/>
              </w:rPr>
              <w:t>…</w:t>
            </w:r>
            <w:r w:rsidR="00DE78CD" w:rsidRPr="00272F8D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6E5B5C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…</w:t>
            </w:r>
            <w:r w:rsidR="00DE78CD" w:rsidRPr="00272F8D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6E5B5C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…</w:t>
            </w:r>
            <w:r w:rsidR="00DE78CD" w:rsidRPr="00272F8D">
              <w:rPr>
                <w:rFonts w:ascii="Arial" w:hAnsi="Arial"/>
                <w:sz w:val="14"/>
                <w:vertAlign w:val="superscript"/>
              </w:rPr>
              <w:t>7)</w:t>
            </w:r>
          </w:p>
        </w:tc>
      </w:tr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05BE6" w:rsidRPr="00272F8D" w:rsidRDefault="00605BE6" w:rsidP="004621D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СТРОИТЕЛЬСТВО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Объем работ, выполненных по виду экономической </w:t>
            </w:r>
            <w:r w:rsidRPr="00272F8D">
              <w:rPr>
                <w:rFonts w:ascii="Arial" w:hAnsi="Arial"/>
                <w:sz w:val="14"/>
              </w:rPr>
              <w:br/>
              <w:t xml:space="preserve">деятельности </w:t>
            </w:r>
            <w:r w:rsidRPr="00272F8D">
              <w:rPr>
                <w:rFonts w:ascii="Arial" w:hAnsi="Arial" w:cs="Arial"/>
                <w:sz w:val="14"/>
              </w:rPr>
              <w:t>«</w:t>
            </w:r>
            <w:r w:rsidRPr="00272F8D">
              <w:rPr>
                <w:rFonts w:ascii="Arial" w:hAnsi="Arial"/>
                <w:sz w:val="14"/>
              </w:rPr>
              <w:t>Строительство»</w:t>
            </w:r>
            <w:r w:rsidRPr="00272F8D">
              <w:rPr>
                <w:rFonts w:ascii="Arial" w:hAnsi="Arial"/>
                <w:sz w:val="14"/>
                <w:vertAlign w:val="superscript"/>
              </w:rPr>
              <w:t xml:space="preserve">2) </w:t>
            </w:r>
            <w:r w:rsidRPr="00272F8D">
              <w:rPr>
                <w:rFonts w:ascii="Arial" w:hAnsi="Arial"/>
                <w:sz w:val="14"/>
              </w:rPr>
              <w:t xml:space="preserve">(в фактически </w:t>
            </w:r>
            <w:r w:rsidRPr="00272F8D">
              <w:rPr>
                <w:rFonts w:ascii="Arial" w:hAnsi="Arial"/>
                <w:sz w:val="14"/>
              </w:rPr>
              <w:br/>
              <w:t xml:space="preserve">действовавших ценах), </w:t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53EFD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  <w:lang w:val="en-US"/>
              </w:rPr>
              <w:t>214</w:t>
            </w:r>
            <w:r w:rsidRPr="00272F8D">
              <w:rPr>
                <w:rFonts w:ascii="Arial" w:hAnsi="Arial"/>
                <w:sz w:val="14"/>
              </w:rPr>
              <w:t>,2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599,1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B30728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615,8</w:t>
            </w:r>
          </w:p>
        </w:tc>
      </w:tr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05BE6" w:rsidRPr="00272F8D" w:rsidRDefault="00605BE6" w:rsidP="004621D7">
            <w:pPr>
              <w:spacing w:before="60" w:after="40"/>
              <w:jc w:val="center"/>
              <w:rPr>
                <w:rFonts w:ascii="Arial" w:hAnsi="Arial"/>
                <w:b/>
                <w:sz w:val="16"/>
              </w:rPr>
            </w:pPr>
            <w:r w:rsidRPr="00272F8D">
              <w:rPr>
                <w:rFonts w:ascii="Arial" w:hAnsi="Arial"/>
                <w:b/>
                <w:sz w:val="16"/>
              </w:rPr>
              <w:t>ТОРГОВЛЯ</w:t>
            </w:r>
            <w:proofErr w:type="gramStart"/>
            <w:r w:rsidRPr="00272F8D">
              <w:rPr>
                <w:rFonts w:ascii="Arial" w:hAnsi="Arial"/>
                <w:b/>
                <w:sz w:val="16"/>
                <w:szCs w:val="16"/>
                <w:vertAlign w:val="superscript"/>
              </w:rPr>
              <w:t>2</w:t>
            </w:r>
            <w:proofErr w:type="gramEnd"/>
            <w:r w:rsidRPr="00272F8D">
              <w:rPr>
                <w:rFonts w:ascii="Arial" w:hAnsi="Arial"/>
                <w:b/>
                <w:sz w:val="16"/>
                <w:szCs w:val="16"/>
                <w:vertAlign w:val="superscript"/>
              </w:rPr>
              <w:t>)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Оборот розничной торговли  (в фактически действовавших </w:t>
            </w:r>
            <w:r w:rsidRPr="00272F8D">
              <w:rPr>
                <w:rFonts w:ascii="Arial" w:hAnsi="Arial"/>
                <w:sz w:val="14"/>
              </w:rPr>
              <w:br/>
              <w:t xml:space="preserve">ценах), </w:t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1587,0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1584,8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1669,8</w:t>
            </w:r>
          </w:p>
        </w:tc>
      </w:tr>
      <w:tr w:rsidR="00272F8D" w:rsidRPr="00272F8D" w:rsidTr="00DE78CD">
        <w:trPr>
          <w:cantSplit/>
          <w:jc w:val="center"/>
        </w:trPr>
        <w:tc>
          <w:tcPr>
            <w:tcW w:w="4403" w:type="dxa"/>
            <w:tcBorders>
              <w:left w:val="single" w:sz="6" w:space="0" w:color="auto"/>
            </w:tcBorders>
            <w:vAlign w:val="bottom"/>
          </w:tcPr>
          <w:p w:rsidR="00605BE6" w:rsidRPr="00272F8D" w:rsidRDefault="00605BE6" w:rsidP="00DE78CD">
            <w:pPr>
              <w:spacing w:before="160" w:line="200" w:lineRule="exact"/>
              <w:ind w:left="113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 xml:space="preserve">Оборот общественного питания (в фактически действовавших ценах), </w:t>
            </w:r>
            <w:proofErr w:type="gramStart"/>
            <w:r w:rsidRPr="00272F8D">
              <w:rPr>
                <w:rFonts w:ascii="Arial" w:hAnsi="Arial"/>
                <w:sz w:val="14"/>
              </w:rPr>
              <w:t>млн</w:t>
            </w:r>
            <w:proofErr w:type="gramEnd"/>
            <w:r w:rsidRPr="00272F8D">
              <w:rPr>
                <w:rFonts w:ascii="Arial" w:hAnsi="Arial"/>
                <w:sz w:val="14"/>
              </w:rPr>
              <w:t xml:space="preserve"> руб. </w:t>
            </w:r>
          </w:p>
        </w:tc>
        <w:tc>
          <w:tcPr>
            <w:tcW w:w="1714" w:type="dxa"/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85,0</w:t>
            </w:r>
          </w:p>
        </w:tc>
        <w:tc>
          <w:tcPr>
            <w:tcW w:w="1715" w:type="dxa"/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108,6</w:t>
            </w:r>
          </w:p>
        </w:tc>
        <w:tc>
          <w:tcPr>
            <w:tcW w:w="1715" w:type="dxa"/>
            <w:tcBorders>
              <w:right w:val="single" w:sz="6" w:space="0" w:color="auto"/>
            </w:tcBorders>
            <w:vAlign w:val="bottom"/>
          </w:tcPr>
          <w:p w:rsidR="00605BE6" w:rsidRPr="00272F8D" w:rsidRDefault="00605BE6" w:rsidP="00513852">
            <w:pPr>
              <w:spacing w:before="160" w:line="200" w:lineRule="exact"/>
              <w:ind w:right="680"/>
              <w:jc w:val="right"/>
              <w:rPr>
                <w:rFonts w:ascii="Arial" w:hAnsi="Arial"/>
                <w:sz w:val="14"/>
              </w:rPr>
            </w:pPr>
            <w:r w:rsidRPr="00272F8D">
              <w:rPr>
                <w:rFonts w:ascii="Arial" w:hAnsi="Arial"/>
                <w:sz w:val="14"/>
              </w:rPr>
              <w:t>108,0</w:t>
            </w:r>
          </w:p>
        </w:tc>
      </w:tr>
      <w:tr w:rsidR="00272F8D" w:rsidRPr="00272F8D">
        <w:trPr>
          <w:cantSplit/>
          <w:jc w:val="center"/>
        </w:trPr>
        <w:tc>
          <w:tcPr>
            <w:tcW w:w="954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BE6" w:rsidRPr="00272F8D" w:rsidRDefault="00605BE6" w:rsidP="00D37AF1">
            <w:pPr>
              <w:spacing w:before="12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272F8D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05BE6" w:rsidRPr="00272F8D" w:rsidRDefault="00605BE6" w:rsidP="00DE78CD">
            <w:pPr>
              <w:spacing w:before="60"/>
              <w:ind w:left="113" w:right="113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1)</w:t>
            </w:r>
            <w:r w:rsidR="00272F8D">
              <w:rPr>
                <w:rFonts w:ascii="Arial" w:hAnsi="Arial"/>
                <w:sz w:val="12"/>
              </w:rPr>
              <w:t> </w:t>
            </w:r>
            <w:r w:rsidR="00DE78CD" w:rsidRPr="00805AD1">
              <w:rPr>
                <w:rFonts w:ascii="Arial" w:hAnsi="Arial"/>
                <w:sz w:val="12"/>
              </w:rPr>
              <w:t>2017, 2018 гг. – мужчины в возрасте 16</w:t>
            </w:r>
            <w:r w:rsidR="00DE78CD">
              <w:rPr>
                <w:rFonts w:ascii="Arial" w:hAnsi="Arial"/>
                <w:sz w:val="12"/>
              </w:rPr>
              <w:t xml:space="preserve"> – </w:t>
            </w:r>
            <w:r w:rsidR="00DE78CD" w:rsidRPr="00805AD1">
              <w:rPr>
                <w:rFonts w:ascii="Arial" w:hAnsi="Arial"/>
                <w:sz w:val="12"/>
              </w:rPr>
              <w:t>59 лет, женщины 16</w:t>
            </w:r>
            <w:r w:rsidR="00DE78CD">
              <w:rPr>
                <w:rFonts w:ascii="Arial" w:hAnsi="Arial"/>
                <w:sz w:val="12"/>
              </w:rPr>
              <w:t xml:space="preserve"> – </w:t>
            </w:r>
            <w:r w:rsidR="00DE78CD" w:rsidRPr="00805AD1">
              <w:rPr>
                <w:rFonts w:ascii="Arial" w:hAnsi="Arial"/>
                <w:sz w:val="12"/>
              </w:rPr>
              <w:t>54 года. 2019 г. – мужчины в возрасте 16</w:t>
            </w:r>
            <w:r w:rsidR="00DE78CD">
              <w:rPr>
                <w:rFonts w:ascii="Arial" w:hAnsi="Arial"/>
                <w:sz w:val="12"/>
              </w:rPr>
              <w:t xml:space="preserve"> – </w:t>
            </w:r>
            <w:r w:rsidR="00DE78CD" w:rsidRPr="00805AD1">
              <w:rPr>
                <w:rFonts w:ascii="Arial" w:hAnsi="Arial"/>
                <w:sz w:val="12"/>
              </w:rPr>
              <w:t>60 лет, женщины 16</w:t>
            </w:r>
            <w:r w:rsidR="00DE78CD">
              <w:rPr>
                <w:rFonts w:ascii="Arial" w:hAnsi="Arial"/>
                <w:sz w:val="12"/>
              </w:rPr>
              <w:t xml:space="preserve"> – </w:t>
            </w:r>
            <w:r w:rsidR="00DE78CD" w:rsidRPr="00805AD1">
              <w:rPr>
                <w:rFonts w:ascii="Arial" w:hAnsi="Arial"/>
                <w:sz w:val="12"/>
              </w:rPr>
              <w:t>55 лет.</w:t>
            </w:r>
          </w:p>
          <w:p w:rsidR="00605BE6" w:rsidRPr="00272F8D" w:rsidRDefault="00605BE6" w:rsidP="001A59A5">
            <w:pPr>
              <w:ind w:left="113" w:right="113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 w:cs="Arial"/>
                <w:sz w:val="12"/>
                <w:vertAlign w:val="superscript"/>
              </w:rPr>
              <w:t>2)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 xml:space="preserve">По организациям, не относящимся к субъектам малого предпринимательства. </w:t>
            </w:r>
          </w:p>
          <w:p w:rsidR="00605BE6" w:rsidRPr="00272F8D" w:rsidRDefault="00605BE6" w:rsidP="001A59A5">
            <w:pPr>
              <w:ind w:left="113" w:right="113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 xml:space="preserve">3) 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По полной учетной стоимости; по коммерческим, без субъектов малого предпринимательства, и некоммерческим организациям.</w:t>
            </w:r>
          </w:p>
          <w:p w:rsidR="00605BE6" w:rsidRPr="00272F8D" w:rsidRDefault="00605BE6" w:rsidP="001A59A5">
            <w:pPr>
              <w:ind w:left="113" w:right="113"/>
              <w:rPr>
                <w:rFonts w:ascii="Arial" w:hAnsi="Arial"/>
                <w:sz w:val="12"/>
              </w:rPr>
            </w:pPr>
            <w:r w:rsidRPr="00272F8D">
              <w:rPr>
                <w:rFonts w:ascii="Arial" w:hAnsi="Arial"/>
                <w:sz w:val="12"/>
                <w:vertAlign w:val="superscript"/>
              </w:rPr>
              <w:t>4)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605BE6" w:rsidRPr="00272F8D" w:rsidRDefault="00605BE6" w:rsidP="006C4855">
            <w:pPr>
              <w:spacing w:after="20"/>
              <w:ind w:left="113" w:right="113"/>
              <w:jc w:val="both"/>
              <w:rPr>
                <w:rFonts w:ascii="Arial" w:hAnsi="Arial"/>
                <w:sz w:val="14"/>
              </w:rPr>
            </w:pPr>
            <w:r w:rsidRPr="00272F8D">
              <w:rPr>
                <w:rStyle w:val="ac"/>
                <w:rFonts w:ascii="Arial" w:hAnsi="Arial" w:cs="Arial"/>
                <w:sz w:val="12"/>
                <w:szCs w:val="12"/>
              </w:rPr>
              <w:t>5)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 w:cs="Arial"/>
                <w:sz w:val="12"/>
                <w:szCs w:val="12"/>
              </w:rPr>
              <w:t>По коммерческим организациям, без субъектов малого предпринимательства.</w:t>
            </w:r>
            <w:r w:rsidRPr="00272F8D">
              <w:rPr>
                <w:rFonts w:ascii="Arial" w:hAnsi="Arial"/>
                <w:sz w:val="14"/>
              </w:rPr>
              <w:t xml:space="preserve"> </w:t>
            </w:r>
          </w:p>
          <w:p w:rsidR="00605BE6" w:rsidRPr="00272F8D" w:rsidRDefault="00605BE6" w:rsidP="006C4855">
            <w:pPr>
              <w:spacing w:after="2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272F8D">
              <w:rPr>
                <w:rStyle w:val="ac"/>
                <w:rFonts w:ascii="Arial" w:hAnsi="Arial" w:cs="Arial"/>
                <w:sz w:val="12"/>
                <w:szCs w:val="12"/>
              </w:rPr>
              <w:t>6)</w:t>
            </w:r>
            <w:r w:rsidR="00272F8D">
              <w:rPr>
                <w:rFonts w:ascii="Arial" w:hAnsi="Arial"/>
                <w:sz w:val="12"/>
              </w:rPr>
              <w:t> </w:t>
            </w:r>
            <w:r w:rsidRPr="00272F8D">
              <w:rPr>
                <w:rFonts w:ascii="Arial" w:hAnsi="Arial" w:cs="Arial"/>
                <w:sz w:val="12"/>
                <w:szCs w:val="12"/>
              </w:rPr>
              <w:t>С учетом изменения методологии по производству драгоценных металлов</w:t>
            </w:r>
          </w:p>
          <w:p w:rsidR="00605BE6" w:rsidRPr="00272F8D" w:rsidRDefault="00605BE6" w:rsidP="00DE78CD">
            <w:pPr>
              <w:spacing w:after="40"/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272F8D">
              <w:rPr>
                <w:rStyle w:val="ac"/>
                <w:rFonts w:ascii="Arial" w:hAnsi="Arial" w:cs="Arial"/>
                <w:sz w:val="12"/>
                <w:szCs w:val="12"/>
              </w:rPr>
              <w:t>7)</w:t>
            </w:r>
            <w:r w:rsidR="00431230" w:rsidRPr="00272F8D">
              <w:rPr>
                <w:rFonts w:ascii="Arial" w:hAnsi="Arial" w:cs="Arial"/>
                <w:sz w:val="12"/>
                <w:szCs w:val="12"/>
              </w:rPr>
              <w:t> </w:t>
            </w:r>
            <w:r w:rsidRPr="00272F8D">
              <w:rPr>
                <w:rFonts w:ascii="Arial" w:hAnsi="Arial"/>
                <w:sz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431230" w:rsidRPr="00272F8D">
              <w:rPr>
                <w:rFonts w:ascii="Arial" w:hAnsi="Arial"/>
                <w:sz w:val="12"/>
              </w:rPr>
              <w:br/>
              <w:t>с Федераль</w:t>
            </w:r>
            <w:r w:rsidR="00431230" w:rsidRPr="00272F8D">
              <w:rPr>
                <w:rFonts w:ascii="Arial" w:hAnsi="Arial"/>
                <w:spacing w:val="-2"/>
                <w:sz w:val="12"/>
              </w:rPr>
              <w:t xml:space="preserve">ным законом от 29 ноября </w:t>
            </w:r>
            <w:r w:rsidRPr="00272F8D">
              <w:rPr>
                <w:rFonts w:ascii="Arial" w:hAnsi="Arial"/>
                <w:spacing w:val="-2"/>
                <w:sz w:val="12"/>
              </w:rPr>
              <w:t>2007</w:t>
            </w:r>
            <w:r w:rsidR="00431230" w:rsidRPr="00272F8D">
              <w:rPr>
                <w:rFonts w:ascii="Arial" w:hAnsi="Arial"/>
                <w:spacing w:val="-2"/>
                <w:sz w:val="12"/>
              </w:rPr>
              <w:t xml:space="preserve"> г.</w:t>
            </w:r>
            <w:r w:rsidRPr="00272F8D">
              <w:rPr>
                <w:rFonts w:ascii="Arial" w:hAnsi="Arial"/>
                <w:spacing w:val="-2"/>
                <w:sz w:val="12"/>
              </w:rPr>
              <w:t xml:space="preserve"> №</w:t>
            </w:r>
            <w:r w:rsidR="00431230" w:rsidRPr="00272F8D">
              <w:rPr>
                <w:rFonts w:ascii="Arial" w:hAnsi="Arial"/>
                <w:spacing w:val="-2"/>
                <w:sz w:val="12"/>
              </w:rPr>
              <w:t> </w:t>
            </w:r>
            <w:r w:rsidRPr="00272F8D">
              <w:rPr>
                <w:rFonts w:ascii="Arial" w:hAnsi="Arial"/>
                <w:spacing w:val="-2"/>
                <w:sz w:val="12"/>
              </w:rPr>
              <w:t xml:space="preserve">282-ФЗ «Об официальном статистическом учете и системе государственной статистики в Российской Федерации» </w:t>
            </w:r>
            <w:r w:rsidR="00431230" w:rsidRPr="00272F8D">
              <w:rPr>
                <w:rFonts w:ascii="Arial" w:hAnsi="Arial"/>
                <w:spacing w:val="-2"/>
                <w:sz w:val="12"/>
              </w:rPr>
              <w:br/>
            </w:r>
            <w:r w:rsidRPr="00272F8D">
              <w:rPr>
                <w:rFonts w:ascii="Arial" w:hAnsi="Arial"/>
                <w:spacing w:val="-2"/>
                <w:sz w:val="12"/>
              </w:rPr>
              <w:t>(п.5 ст.4, ч.1 ст.9)</w:t>
            </w:r>
          </w:p>
        </w:tc>
      </w:tr>
    </w:tbl>
    <w:p w:rsidR="0051435A" w:rsidRPr="00272F8D" w:rsidRDefault="0051435A" w:rsidP="00A04DBE"/>
    <w:sectPr w:rsidR="0051435A" w:rsidRPr="00272F8D" w:rsidSect="005D2767">
      <w:pgSz w:w="11913" w:h="16834" w:code="9"/>
      <w:pgMar w:top="2835" w:right="1191" w:bottom="1928" w:left="1191" w:header="2268" w:footer="147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82A" w:rsidRDefault="0041282A">
      <w:r>
        <w:separator/>
      </w:r>
    </w:p>
  </w:endnote>
  <w:endnote w:type="continuationSeparator" w:id="0">
    <w:p w:rsidR="0041282A" w:rsidRDefault="0041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2A6E66">
      <w:trPr>
        <w:cantSplit/>
      </w:trPr>
      <w:tc>
        <w:tcPr>
          <w:tcW w:w="565" w:type="dxa"/>
        </w:tcPr>
        <w:p w:rsidR="002A6E66" w:rsidRDefault="002A6E66">
          <w:pPr>
            <w:pStyle w:val="a7"/>
            <w:spacing w:before="120"/>
            <w:rPr>
              <w:rStyle w:val="aa"/>
            </w:rPr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610</w:t>
          </w:r>
          <w:r>
            <w:rPr>
              <w:rStyle w:val="aa"/>
            </w:rPr>
            <w:fldChar w:fldCharType="end"/>
          </w:r>
        </w:p>
      </w:tc>
      <w:tc>
        <w:tcPr>
          <w:tcW w:w="8340" w:type="dxa"/>
        </w:tcPr>
        <w:p w:rsidR="002A6E66" w:rsidRDefault="002A6E66">
          <w:pPr>
            <w:pStyle w:val="a7"/>
            <w:spacing w:before="120"/>
            <w:ind w:right="113"/>
            <w:jc w:val="right"/>
            <w:rPr>
              <w:rStyle w:val="aa"/>
            </w:rPr>
          </w:pPr>
          <w:r>
            <w:rPr>
              <w:i/>
            </w:rPr>
            <w:t>Регионы России.  Основные социально-экономические показатели городов. 2005</w:t>
          </w:r>
        </w:p>
      </w:tc>
      <w:tc>
        <w:tcPr>
          <w:tcW w:w="621" w:type="dxa"/>
        </w:tcPr>
        <w:p w:rsidR="002A6E66" w:rsidRDefault="002A6E66">
          <w:pPr>
            <w:pStyle w:val="a7"/>
            <w:spacing w:before="60"/>
            <w:rPr>
              <w:rStyle w:val="aa"/>
            </w:rPr>
          </w:pPr>
          <w:r>
            <w:rPr>
              <w:rFonts w:ascii="GaramondC" w:hAnsi="GaramondC"/>
              <w:i/>
            </w:rPr>
            <w:object w:dxaOrig="598" w:dyaOrig="3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65pt" o:ole="">
                <v:imagedata r:id="rId1" o:title=""/>
              </v:shape>
              <o:OLEObject Type="Embed" ProgID="Word.Document.8" ShapeID="_x0000_i1025" DrawAspect="Content" ObjectID="_1673254380" r:id="rId2"/>
            </w:object>
          </w:r>
        </w:p>
      </w:tc>
    </w:tr>
  </w:tbl>
  <w:p w:rsidR="002A6E66" w:rsidRDefault="002A6E6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E66" w:rsidRDefault="002A6E66">
    <w:pPr>
      <w:pStyle w:val="a7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611</w:t>
    </w:r>
    <w:r>
      <w:rPr>
        <w:rStyle w:val="aa"/>
      </w:rPr>
      <w:fldChar w:fldCharType="end"/>
    </w:r>
  </w:p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0"/>
      <w:gridCol w:w="2098"/>
      <w:gridCol w:w="5927"/>
      <w:gridCol w:w="541"/>
    </w:tblGrid>
    <w:tr w:rsidR="002A6E66">
      <w:tc>
        <w:tcPr>
          <w:tcW w:w="621" w:type="dxa"/>
        </w:tcPr>
        <w:p w:rsidR="002A6E66" w:rsidRDefault="002A6E66">
          <w:pPr>
            <w:pStyle w:val="a7"/>
            <w:spacing w:before="60"/>
            <w:ind w:right="360" w:firstLine="360"/>
            <w:rPr>
              <w:rStyle w:val="aa"/>
            </w:rPr>
          </w:pPr>
          <w:r>
            <w:rPr>
              <w:rFonts w:ascii="GaramondC" w:hAnsi="GaramondC"/>
              <w:i/>
            </w:rPr>
            <w:object w:dxaOrig="598" w:dyaOrig="3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65pt" o:ole="">
                <v:imagedata r:id="rId1" o:title=""/>
              </v:shape>
              <o:OLEObject Type="Embed" ProgID="Word.Document.8" ShapeID="_x0000_i1026" DrawAspect="Content" ObjectID="_1673254381" r:id="rId2"/>
            </w:object>
          </w:r>
        </w:p>
      </w:tc>
      <w:tc>
        <w:tcPr>
          <w:tcW w:w="2153" w:type="dxa"/>
        </w:tcPr>
        <w:p w:rsidR="002A6E66" w:rsidRDefault="002A6E66">
          <w:pPr>
            <w:pStyle w:val="a7"/>
            <w:spacing w:before="120"/>
            <w:ind w:left="113"/>
            <w:rPr>
              <w:rStyle w:val="aa"/>
            </w:rPr>
          </w:pPr>
          <w:r>
            <w:rPr>
              <w:i/>
            </w:rPr>
            <w:t xml:space="preserve">Регионы России, </w:t>
          </w:r>
          <w:r>
            <w:rPr>
              <w:i/>
              <w:lang w:val="en-US"/>
            </w:rPr>
            <w:t>2001</w:t>
          </w:r>
        </w:p>
      </w:tc>
      <w:tc>
        <w:tcPr>
          <w:tcW w:w="6187" w:type="dxa"/>
        </w:tcPr>
        <w:p w:rsidR="002A6E66" w:rsidRDefault="002A6E66">
          <w:pPr>
            <w:pStyle w:val="a7"/>
            <w:pBdr>
              <w:bottom w:val="single" w:sz="6" w:space="1" w:color="auto"/>
            </w:pBdr>
            <w:rPr>
              <w:rStyle w:val="aa"/>
            </w:rPr>
          </w:pPr>
        </w:p>
      </w:tc>
      <w:tc>
        <w:tcPr>
          <w:tcW w:w="565" w:type="dxa"/>
        </w:tcPr>
        <w:p w:rsidR="002A6E66" w:rsidRDefault="002A6E66">
          <w:pPr>
            <w:pStyle w:val="a7"/>
            <w:spacing w:before="120"/>
            <w:jc w:val="right"/>
            <w:rPr>
              <w:rStyle w:val="aa"/>
            </w:rPr>
          </w:pPr>
        </w:p>
      </w:tc>
    </w:tr>
  </w:tbl>
  <w:p w:rsidR="002A6E66" w:rsidRDefault="002A6E66">
    <w:pPr>
      <w:pStyle w:val="a7"/>
      <w:spacing w:before="120"/>
      <w:ind w:right="360" w:firstLine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DE78CD" w:rsidTr="00C3372F">
      <w:tc>
        <w:tcPr>
          <w:tcW w:w="8961" w:type="dxa"/>
        </w:tcPr>
        <w:p w:rsidR="00DE78CD" w:rsidRPr="00463EC0" w:rsidRDefault="00DE78CD" w:rsidP="00C3372F">
          <w:pPr>
            <w:pStyle w:val="a7"/>
            <w:spacing w:before="120"/>
            <w:ind w:left="57"/>
            <w:rPr>
              <w:rStyle w:val="aa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  <w:tc>
        <w:tcPr>
          <w:tcW w:w="565" w:type="dxa"/>
        </w:tcPr>
        <w:p w:rsidR="00DE78CD" w:rsidRDefault="00DE78CD" w:rsidP="00C3372F">
          <w:pPr>
            <w:pStyle w:val="a7"/>
            <w:spacing w:before="120"/>
            <w:jc w:val="right"/>
            <w:rPr>
              <w:rStyle w:val="aa"/>
            </w:rPr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447</w:t>
          </w:r>
          <w:r>
            <w:rPr>
              <w:rStyle w:val="aa"/>
            </w:rPr>
            <w:fldChar w:fldCharType="end"/>
          </w:r>
        </w:p>
      </w:tc>
    </w:tr>
  </w:tbl>
  <w:p w:rsidR="002A6E66" w:rsidRDefault="002A6E66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6C4855" w:rsidTr="00F3295E">
      <w:trPr>
        <w:cantSplit/>
      </w:trPr>
      <w:tc>
        <w:tcPr>
          <w:tcW w:w="565" w:type="dxa"/>
        </w:tcPr>
        <w:p w:rsidR="006C4855" w:rsidRDefault="006C4855">
          <w:pPr>
            <w:pStyle w:val="a7"/>
            <w:spacing w:before="120"/>
            <w:rPr>
              <w:rStyle w:val="aa"/>
            </w:rPr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DE78CD">
            <w:rPr>
              <w:rStyle w:val="aa"/>
              <w:noProof/>
            </w:rPr>
            <w:t>436</w:t>
          </w:r>
          <w:r>
            <w:rPr>
              <w:rStyle w:val="aa"/>
            </w:rPr>
            <w:fldChar w:fldCharType="end"/>
          </w:r>
        </w:p>
      </w:tc>
      <w:tc>
        <w:tcPr>
          <w:tcW w:w="8961" w:type="dxa"/>
        </w:tcPr>
        <w:p w:rsidR="006C4855" w:rsidRDefault="006C4855" w:rsidP="006C4855">
          <w:pPr>
            <w:pStyle w:val="a7"/>
            <w:spacing w:before="120"/>
            <w:ind w:right="57"/>
            <w:jc w:val="right"/>
            <w:rPr>
              <w:rStyle w:val="aa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2A6E66" w:rsidRDefault="002A6E66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2"/>
      <w:gridCol w:w="8339"/>
      <w:gridCol w:w="565"/>
    </w:tblGrid>
    <w:tr w:rsidR="002A6E66">
      <w:tc>
        <w:tcPr>
          <w:tcW w:w="622" w:type="dxa"/>
        </w:tcPr>
        <w:p w:rsidR="002A6E66" w:rsidRDefault="002A6E66">
          <w:pPr>
            <w:pStyle w:val="a7"/>
            <w:spacing w:before="60"/>
            <w:rPr>
              <w:rStyle w:val="aa"/>
            </w:rPr>
          </w:pPr>
          <w:r>
            <w:rPr>
              <w:rFonts w:ascii="GaramondC" w:hAnsi="GaramondC"/>
              <w:i/>
            </w:rPr>
            <w:object w:dxaOrig="598" w:dyaOrig="3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65pt" o:ole="">
                <v:imagedata r:id="rId1" o:title=""/>
              </v:shape>
              <o:OLEObject Type="Embed" ProgID="Word.Document.8" ShapeID="_x0000_i1027" DrawAspect="Content" ObjectID="_1673254382" r:id="rId2"/>
            </w:object>
          </w:r>
        </w:p>
      </w:tc>
      <w:tc>
        <w:tcPr>
          <w:tcW w:w="8339" w:type="dxa"/>
        </w:tcPr>
        <w:p w:rsidR="002A6E66" w:rsidRDefault="002A6E66">
          <w:pPr>
            <w:pStyle w:val="a7"/>
            <w:spacing w:before="120"/>
            <w:ind w:left="113"/>
            <w:rPr>
              <w:rStyle w:val="aa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2010</w:t>
          </w:r>
        </w:p>
      </w:tc>
      <w:tc>
        <w:tcPr>
          <w:tcW w:w="565" w:type="dxa"/>
        </w:tcPr>
        <w:p w:rsidR="002A6E66" w:rsidRDefault="002A6E66">
          <w:pPr>
            <w:pStyle w:val="a7"/>
            <w:spacing w:before="120"/>
            <w:jc w:val="right"/>
            <w:rPr>
              <w:rStyle w:val="aa"/>
            </w:rPr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DE78CD">
            <w:rPr>
              <w:rStyle w:val="aa"/>
              <w:noProof/>
            </w:rPr>
            <w:t>449</w:t>
          </w:r>
          <w:r>
            <w:rPr>
              <w:rStyle w:val="aa"/>
            </w:rPr>
            <w:fldChar w:fldCharType="end"/>
          </w:r>
        </w:p>
      </w:tc>
    </w:tr>
  </w:tbl>
  <w:p w:rsidR="002A6E66" w:rsidRDefault="002A6E66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DE78CD" w:rsidTr="00C3372F">
      <w:trPr>
        <w:cantSplit/>
      </w:trPr>
      <w:tc>
        <w:tcPr>
          <w:tcW w:w="565" w:type="dxa"/>
        </w:tcPr>
        <w:p w:rsidR="00DE78CD" w:rsidRDefault="00DE78CD" w:rsidP="00C3372F">
          <w:pPr>
            <w:pStyle w:val="a7"/>
            <w:spacing w:before="120"/>
            <w:rPr>
              <w:rStyle w:val="aa"/>
            </w:rPr>
          </w:pP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450</w:t>
          </w:r>
          <w:r>
            <w:rPr>
              <w:rStyle w:val="aa"/>
            </w:rPr>
            <w:fldChar w:fldCharType="end"/>
          </w:r>
        </w:p>
      </w:tc>
      <w:tc>
        <w:tcPr>
          <w:tcW w:w="8961" w:type="dxa"/>
        </w:tcPr>
        <w:p w:rsidR="00DE78CD" w:rsidRDefault="00DE78CD" w:rsidP="00C3372F">
          <w:pPr>
            <w:pStyle w:val="a7"/>
            <w:spacing w:before="120"/>
            <w:ind w:right="57"/>
            <w:jc w:val="right"/>
            <w:rPr>
              <w:rStyle w:val="aa"/>
            </w:rPr>
          </w:pPr>
          <w:r>
            <w:rPr>
              <w:i/>
            </w:rPr>
            <w:t>Регионы России.  Основные социально-экономические показатели городов. 2020</w:t>
          </w:r>
        </w:p>
      </w:tc>
    </w:tr>
  </w:tbl>
  <w:p w:rsidR="002A6E66" w:rsidRDefault="002A6E66">
    <w:pPr>
      <w:pStyle w:val="a7"/>
      <w:tabs>
        <w:tab w:val="left" w:pos="935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82A" w:rsidRDefault="0041282A">
      <w:r>
        <w:separator/>
      </w:r>
    </w:p>
  </w:footnote>
  <w:footnote w:type="continuationSeparator" w:id="0">
    <w:p w:rsidR="0041282A" w:rsidRDefault="00412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2A6E66">
      <w:trPr>
        <w:jc w:val="center"/>
      </w:trPr>
      <w:tc>
        <w:tcPr>
          <w:tcW w:w="9741" w:type="dxa"/>
        </w:tcPr>
        <w:p w:rsidR="002A6E66" w:rsidRDefault="002A6E66">
          <w:pPr>
            <w:spacing w:after="60"/>
            <w:jc w:val="center"/>
            <w:rPr>
              <w:spacing w:val="64"/>
            </w:rPr>
          </w:pPr>
          <w:r>
            <w:rPr>
              <w:rFonts w:ascii="Arial" w:hAnsi="Arial"/>
              <w:b/>
              <w:spacing w:val="64"/>
              <w:sz w:val="40"/>
            </w:rPr>
            <w:t>ГОРОДА ЧУКОТСКОГО АВТОНОМНОГО ОКРУГА</w:t>
          </w:r>
        </w:p>
      </w:tc>
    </w:tr>
  </w:tbl>
  <w:p w:rsidR="002A6E66" w:rsidRDefault="002A6E6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2A6E66">
      <w:trPr>
        <w:jc w:val="center"/>
      </w:trPr>
      <w:tc>
        <w:tcPr>
          <w:tcW w:w="9741" w:type="dxa"/>
        </w:tcPr>
        <w:p w:rsidR="002A6E66" w:rsidRDefault="002A6E66">
          <w:pPr>
            <w:spacing w:after="60"/>
            <w:jc w:val="center"/>
            <w:rPr>
              <w:spacing w:val="64"/>
            </w:rPr>
          </w:pPr>
          <w:r>
            <w:rPr>
              <w:rFonts w:ascii="Arial" w:hAnsi="Arial"/>
              <w:b/>
              <w:spacing w:val="64"/>
              <w:sz w:val="40"/>
            </w:rPr>
            <w:t>ЧУКОТСКИЙ АВТОНОМНЫЙ ОКРУГ</w:t>
          </w:r>
        </w:p>
      </w:tc>
    </w:tr>
  </w:tbl>
  <w:p w:rsidR="002A6E66" w:rsidRDefault="002A6E6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2A6E66">
      <w:trPr>
        <w:jc w:val="center"/>
      </w:trPr>
      <w:tc>
        <w:tcPr>
          <w:tcW w:w="9741" w:type="dxa"/>
        </w:tcPr>
        <w:p w:rsidR="002A6E66" w:rsidRDefault="002A6E66">
          <w:pPr>
            <w:spacing w:after="60"/>
            <w:jc w:val="center"/>
            <w:rPr>
              <w:spacing w:val="64"/>
            </w:rPr>
          </w:pPr>
          <w:r>
            <w:rPr>
              <w:rFonts w:ascii="Arial" w:hAnsi="Arial"/>
              <w:b/>
              <w:spacing w:val="64"/>
              <w:sz w:val="40"/>
            </w:rPr>
            <w:t>ГОРОДА ЧУКОТСКОГО АВТОНОМНОГО ОКРУГА</w:t>
          </w:r>
        </w:p>
      </w:tc>
    </w:tr>
  </w:tbl>
  <w:p w:rsidR="002A6E66" w:rsidRDefault="002A6E66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2A6E66">
      <w:trPr>
        <w:jc w:val="center"/>
      </w:trPr>
      <w:tc>
        <w:tcPr>
          <w:tcW w:w="2552" w:type="dxa"/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</w:tcPr>
        <w:p w:rsidR="002A6E66" w:rsidRDefault="002A6E66">
          <w:pPr>
            <w:pStyle w:val="a6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ДАЛЬНЕВОСТОЧНЫЙ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ЧУКОТСКОГО АВТОНОМНОГО ОКРУГА</w:t>
          </w:r>
        </w:p>
      </w:tc>
      <w:tc>
        <w:tcPr>
          <w:tcW w:w="2552" w:type="dxa"/>
          <w:tcBorders>
            <w:left w:val="nil"/>
          </w:tcBorders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A6E66" w:rsidRDefault="002A6E66">
    <w:pPr>
      <w:pStyle w:val="a6"/>
      <w:shd w:val="clear" w:color="FFFFFF" w:fill="auto"/>
      <w:rPr>
        <w:b/>
        <w:sz w:val="1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2A6E66">
      <w:trPr>
        <w:jc w:val="center"/>
      </w:trPr>
      <w:tc>
        <w:tcPr>
          <w:tcW w:w="2552" w:type="dxa"/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</w:tcPr>
        <w:p w:rsidR="002A6E66" w:rsidRDefault="002A6E66">
          <w:pPr>
            <w:pStyle w:val="a6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ДАЛЬНЕВОСТОЧНЫЙ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ЧУКОТСКОГО АВТОНОМНОГО ОКРУГА</w:t>
          </w:r>
        </w:p>
      </w:tc>
      <w:tc>
        <w:tcPr>
          <w:tcW w:w="2552" w:type="dxa"/>
          <w:tcBorders>
            <w:left w:val="nil"/>
          </w:tcBorders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A6E66" w:rsidRDefault="002A6E66">
    <w:pPr>
      <w:pStyle w:val="a6"/>
      <w:shd w:val="clear" w:color="FFFFFF" w:fill="auto"/>
      <w:rPr>
        <w:b/>
        <w:sz w:val="16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23"/>
      <w:gridCol w:w="4485"/>
      <w:gridCol w:w="2523"/>
    </w:tblGrid>
    <w:tr w:rsidR="002A6E66">
      <w:trPr>
        <w:jc w:val="center"/>
      </w:trPr>
      <w:tc>
        <w:tcPr>
          <w:tcW w:w="2552" w:type="dxa"/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536" w:type="dxa"/>
        </w:tcPr>
        <w:p w:rsidR="002A6E66" w:rsidRDefault="002A6E66">
          <w:pPr>
            <w:pStyle w:val="a6"/>
            <w:spacing w:before="90" w:after="9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ДАЛЬНЕВОСТОЧНЫЙ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ЧУКОТСКОГО АВТОНОМНОГО ОКРУГА</w:t>
          </w:r>
        </w:p>
      </w:tc>
      <w:tc>
        <w:tcPr>
          <w:tcW w:w="2552" w:type="dxa"/>
          <w:tcBorders>
            <w:left w:val="nil"/>
          </w:tcBorders>
        </w:tcPr>
        <w:p w:rsidR="002A6E66" w:rsidRDefault="002A6E66">
          <w:pPr>
            <w:pStyle w:val="a6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2A6E66" w:rsidRDefault="002A6E66" w:rsidP="001F7FFE">
    <w:pPr>
      <w:pStyle w:val="a6"/>
      <w:shd w:val="clear" w:color="FFFFFF" w:fill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8">
      <o:colormru v:ext="edit" colors="#d2d2d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C8"/>
    <w:rsid w:val="00001293"/>
    <w:rsid w:val="00005F5C"/>
    <w:rsid w:val="000074B7"/>
    <w:rsid w:val="00020521"/>
    <w:rsid w:val="00024BC6"/>
    <w:rsid w:val="0003576D"/>
    <w:rsid w:val="00045BBF"/>
    <w:rsid w:val="00047E57"/>
    <w:rsid w:val="000521EE"/>
    <w:rsid w:val="00072A0F"/>
    <w:rsid w:val="00073344"/>
    <w:rsid w:val="000750C1"/>
    <w:rsid w:val="00086266"/>
    <w:rsid w:val="00086CC4"/>
    <w:rsid w:val="00090775"/>
    <w:rsid w:val="00094A2C"/>
    <w:rsid w:val="000A2F8E"/>
    <w:rsid w:val="000A51BB"/>
    <w:rsid w:val="000B1706"/>
    <w:rsid w:val="000C1582"/>
    <w:rsid w:val="000C40A3"/>
    <w:rsid w:val="000C44CC"/>
    <w:rsid w:val="000C5A71"/>
    <w:rsid w:val="000C5DD0"/>
    <w:rsid w:val="000C71EB"/>
    <w:rsid w:val="000C75BC"/>
    <w:rsid w:val="000D086B"/>
    <w:rsid w:val="000E1348"/>
    <w:rsid w:val="000E50DD"/>
    <w:rsid w:val="000E6B73"/>
    <w:rsid w:val="000F5861"/>
    <w:rsid w:val="00103B38"/>
    <w:rsid w:val="00104002"/>
    <w:rsid w:val="001046A3"/>
    <w:rsid w:val="00127BF2"/>
    <w:rsid w:val="001308DC"/>
    <w:rsid w:val="00133971"/>
    <w:rsid w:val="0015445B"/>
    <w:rsid w:val="00171366"/>
    <w:rsid w:val="001822ED"/>
    <w:rsid w:val="00191BC7"/>
    <w:rsid w:val="00193AD0"/>
    <w:rsid w:val="00196890"/>
    <w:rsid w:val="001A1A8E"/>
    <w:rsid w:val="001A59A5"/>
    <w:rsid w:val="001B636B"/>
    <w:rsid w:val="001C38AD"/>
    <w:rsid w:val="001D2CF3"/>
    <w:rsid w:val="001D3463"/>
    <w:rsid w:val="001D4EEE"/>
    <w:rsid w:val="001D6EE0"/>
    <w:rsid w:val="001E1B05"/>
    <w:rsid w:val="001E7D9F"/>
    <w:rsid w:val="001F6440"/>
    <w:rsid w:val="001F7FFE"/>
    <w:rsid w:val="002060B3"/>
    <w:rsid w:val="00210BD4"/>
    <w:rsid w:val="00215028"/>
    <w:rsid w:val="00217C2E"/>
    <w:rsid w:val="00226F87"/>
    <w:rsid w:val="002314CC"/>
    <w:rsid w:val="00232E45"/>
    <w:rsid w:val="0023407B"/>
    <w:rsid w:val="00237E2D"/>
    <w:rsid w:val="002432A4"/>
    <w:rsid w:val="002530A1"/>
    <w:rsid w:val="00270ED2"/>
    <w:rsid w:val="00272F8D"/>
    <w:rsid w:val="002861EA"/>
    <w:rsid w:val="00286E22"/>
    <w:rsid w:val="00293302"/>
    <w:rsid w:val="00296325"/>
    <w:rsid w:val="002A1026"/>
    <w:rsid w:val="002A538B"/>
    <w:rsid w:val="002A6B18"/>
    <w:rsid w:val="002A6E66"/>
    <w:rsid w:val="002B6F08"/>
    <w:rsid w:val="002C0D74"/>
    <w:rsid w:val="002D4C72"/>
    <w:rsid w:val="002D4DD9"/>
    <w:rsid w:val="002E5976"/>
    <w:rsid w:val="002F0E7C"/>
    <w:rsid w:val="002F1402"/>
    <w:rsid w:val="002F20CA"/>
    <w:rsid w:val="002F24FD"/>
    <w:rsid w:val="002F6956"/>
    <w:rsid w:val="00307F5A"/>
    <w:rsid w:val="003162F8"/>
    <w:rsid w:val="00317F74"/>
    <w:rsid w:val="0032567E"/>
    <w:rsid w:val="00326795"/>
    <w:rsid w:val="00331156"/>
    <w:rsid w:val="00331311"/>
    <w:rsid w:val="0033715D"/>
    <w:rsid w:val="003600C5"/>
    <w:rsid w:val="00363801"/>
    <w:rsid w:val="00375093"/>
    <w:rsid w:val="003757F9"/>
    <w:rsid w:val="00381227"/>
    <w:rsid w:val="003909D1"/>
    <w:rsid w:val="003A498C"/>
    <w:rsid w:val="003A63EF"/>
    <w:rsid w:val="003B4D3F"/>
    <w:rsid w:val="003D3EF8"/>
    <w:rsid w:val="003E3199"/>
    <w:rsid w:val="003E4ABC"/>
    <w:rsid w:val="003E4EAB"/>
    <w:rsid w:val="003E5FC5"/>
    <w:rsid w:val="003E631D"/>
    <w:rsid w:val="003E7248"/>
    <w:rsid w:val="003E7E9A"/>
    <w:rsid w:val="003F5158"/>
    <w:rsid w:val="0040194C"/>
    <w:rsid w:val="00403255"/>
    <w:rsid w:val="004036D2"/>
    <w:rsid w:val="004040D7"/>
    <w:rsid w:val="00404B94"/>
    <w:rsid w:val="004058CD"/>
    <w:rsid w:val="004067AB"/>
    <w:rsid w:val="00406A37"/>
    <w:rsid w:val="00411584"/>
    <w:rsid w:val="0041282A"/>
    <w:rsid w:val="00412BEC"/>
    <w:rsid w:val="004154D3"/>
    <w:rsid w:val="00420AD1"/>
    <w:rsid w:val="00425736"/>
    <w:rsid w:val="004302C8"/>
    <w:rsid w:val="00431230"/>
    <w:rsid w:val="00434D3D"/>
    <w:rsid w:val="00442448"/>
    <w:rsid w:val="00442B44"/>
    <w:rsid w:val="00444B49"/>
    <w:rsid w:val="00451D42"/>
    <w:rsid w:val="0045360D"/>
    <w:rsid w:val="004557B8"/>
    <w:rsid w:val="004561DD"/>
    <w:rsid w:val="00457004"/>
    <w:rsid w:val="00457F22"/>
    <w:rsid w:val="004621D7"/>
    <w:rsid w:val="00463EC0"/>
    <w:rsid w:val="00467473"/>
    <w:rsid w:val="004715DD"/>
    <w:rsid w:val="0047225B"/>
    <w:rsid w:val="004807EC"/>
    <w:rsid w:val="0048190F"/>
    <w:rsid w:val="004827C3"/>
    <w:rsid w:val="00487E6D"/>
    <w:rsid w:val="00491649"/>
    <w:rsid w:val="00492066"/>
    <w:rsid w:val="00492A2E"/>
    <w:rsid w:val="00494E1B"/>
    <w:rsid w:val="00495C3B"/>
    <w:rsid w:val="004A04FB"/>
    <w:rsid w:val="004A78D5"/>
    <w:rsid w:val="004B6ED5"/>
    <w:rsid w:val="004C29C0"/>
    <w:rsid w:val="004C2A4A"/>
    <w:rsid w:val="004C52A8"/>
    <w:rsid w:val="004D0754"/>
    <w:rsid w:val="004D10C2"/>
    <w:rsid w:val="004D18CD"/>
    <w:rsid w:val="004E1677"/>
    <w:rsid w:val="004E24F0"/>
    <w:rsid w:val="004F4E47"/>
    <w:rsid w:val="00504392"/>
    <w:rsid w:val="00504B3E"/>
    <w:rsid w:val="00506D88"/>
    <w:rsid w:val="0051091D"/>
    <w:rsid w:val="005136AB"/>
    <w:rsid w:val="0051435A"/>
    <w:rsid w:val="00515B6E"/>
    <w:rsid w:val="0052254B"/>
    <w:rsid w:val="00530EDC"/>
    <w:rsid w:val="00541A15"/>
    <w:rsid w:val="00552E8C"/>
    <w:rsid w:val="00553EFD"/>
    <w:rsid w:val="00557139"/>
    <w:rsid w:val="0055729D"/>
    <w:rsid w:val="00557E32"/>
    <w:rsid w:val="00566DA0"/>
    <w:rsid w:val="00567482"/>
    <w:rsid w:val="0059300C"/>
    <w:rsid w:val="00594E3C"/>
    <w:rsid w:val="005A666A"/>
    <w:rsid w:val="005A7FE8"/>
    <w:rsid w:val="005B1334"/>
    <w:rsid w:val="005B544F"/>
    <w:rsid w:val="005B587F"/>
    <w:rsid w:val="005C0707"/>
    <w:rsid w:val="005D2650"/>
    <w:rsid w:val="005D2767"/>
    <w:rsid w:val="005E4033"/>
    <w:rsid w:val="005E4036"/>
    <w:rsid w:val="005F416B"/>
    <w:rsid w:val="005F6463"/>
    <w:rsid w:val="005F7CE9"/>
    <w:rsid w:val="0060588C"/>
    <w:rsid w:val="00605BE6"/>
    <w:rsid w:val="006133B3"/>
    <w:rsid w:val="00614734"/>
    <w:rsid w:val="00621329"/>
    <w:rsid w:val="0062232A"/>
    <w:rsid w:val="0063498A"/>
    <w:rsid w:val="00642C75"/>
    <w:rsid w:val="006569A0"/>
    <w:rsid w:val="00656C11"/>
    <w:rsid w:val="00657016"/>
    <w:rsid w:val="00660315"/>
    <w:rsid w:val="006653CC"/>
    <w:rsid w:val="00665F4F"/>
    <w:rsid w:val="00665F6B"/>
    <w:rsid w:val="006743F7"/>
    <w:rsid w:val="006932E8"/>
    <w:rsid w:val="00693EC5"/>
    <w:rsid w:val="00696443"/>
    <w:rsid w:val="00696990"/>
    <w:rsid w:val="006A5316"/>
    <w:rsid w:val="006A5868"/>
    <w:rsid w:val="006A7719"/>
    <w:rsid w:val="006B1D31"/>
    <w:rsid w:val="006B6B60"/>
    <w:rsid w:val="006C37B6"/>
    <w:rsid w:val="006C4730"/>
    <w:rsid w:val="006C4855"/>
    <w:rsid w:val="006C685B"/>
    <w:rsid w:val="006D01A9"/>
    <w:rsid w:val="006D5BDA"/>
    <w:rsid w:val="006D63CA"/>
    <w:rsid w:val="006E318D"/>
    <w:rsid w:val="006E5B5C"/>
    <w:rsid w:val="006E6B9F"/>
    <w:rsid w:val="006F07BA"/>
    <w:rsid w:val="006F760B"/>
    <w:rsid w:val="0070018E"/>
    <w:rsid w:val="00703609"/>
    <w:rsid w:val="007106BF"/>
    <w:rsid w:val="00714027"/>
    <w:rsid w:val="00717F33"/>
    <w:rsid w:val="00721A8E"/>
    <w:rsid w:val="0072382B"/>
    <w:rsid w:val="00724EA4"/>
    <w:rsid w:val="00731621"/>
    <w:rsid w:val="0073291F"/>
    <w:rsid w:val="00732FAA"/>
    <w:rsid w:val="00733906"/>
    <w:rsid w:val="00737D85"/>
    <w:rsid w:val="0074036B"/>
    <w:rsid w:val="007412CD"/>
    <w:rsid w:val="007515A7"/>
    <w:rsid w:val="00751CE0"/>
    <w:rsid w:val="007570B3"/>
    <w:rsid w:val="00760769"/>
    <w:rsid w:val="007714F7"/>
    <w:rsid w:val="007728F7"/>
    <w:rsid w:val="00794CD3"/>
    <w:rsid w:val="00795577"/>
    <w:rsid w:val="007A16CB"/>
    <w:rsid w:val="007A3CC9"/>
    <w:rsid w:val="007A6942"/>
    <w:rsid w:val="007A6C77"/>
    <w:rsid w:val="007A7E2F"/>
    <w:rsid w:val="007B4B1F"/>
    <w:rsid w:val="007C42E0"/>
    <w:rsid w:val="007D25DA"/>
    <w:rsid w:val="007D36D5"/>
    <w:rsid w:val="007D3E8E"/>
    <w:rsid w:val="007D5970"/>
    <w:rsid w:val="007D683C"/>
    <w:rsid w:val="007E07AB"/>
    <w:rsid w:val="007E43D1"/>
    <w:rsid w:val="007F45F2"/>
    <w:rsid w:val="007F50AD"/>
    <w:rsid w:val="007F54A9"/>
    <w:rsid w:val="00814992"/>
    <w:rsid w:val="00820499"/>
    <w:rsid w:val="00832BCC"/>
    <w:rsid w:val="0083578F"/>
    <w:rsid w:val="00835A0F"/>
    <w:rsid w:val="0083657E"/>
    <w:rsid w:val="00837A18"/>
    <w:rsid w:val="008471D8"/>
    <w:rsid w:val="00850B2D"/>
    <w:rsid w:val="00862A99"/>
    <w:rsid w:val="00864577"/>
    <w:rsid w:val="00866BE6"/>
    <w:rsid w:val="008717D7"/>
    <w:rsid w:val="00871F8F"/>
    <w:rsid w:val="00875872"/>
    <w:rsid w:val="00877873"/>
    <w:rsid w:val="00880D18"/>
    <w:rsid w:val="00880E11"/>
    <w:rsid w:val="00886E60"/>
    <w:rsid w:val="008924F2"/>
    <w:rsid w:val="00894E83"/>
    <w:rsid w:val="00897D51"/>
    <w:rsid w:val="008A4B1E"/>
    <w:rsid w:val="008B3208"/>
    <w:rsid w:val="008B388F"/>
    <w:rsid w:val="008B620E"/>
    <w:rsid w:val="008B6282"/>
    <w:rsid w:val="008C3B77"/>
    <w:rsid w:val="008D1F89"/>
    <w:rsid w:val="008E03C7"/>
    <w:rsid w:val="008E1107"/>
    <w:rsid w:val="008E52A1"/>
    <w:rsid w:val="008F0196"/>
    <w:rsid w:val="00901DF6"/>
    <w:rsid w:val="00902F96"/>
    <w:rsid w:val="009158D5"/>
    <w:rsid w:val="0092004B"/>
    <w:rsid w:val="009340AA"/>
    <w:rsid w:val="00934F3E"/>
    <w:rsid w:val="0094146D"/>
    <w:rsid w:val="009424A8"/>
    <w:rsid w:val="009443F2"/>
    <w:rsid w:val="00951F12"/>
    <w:rsid w:val="0095498E"/>
    <w:rsid w:val="00957D65"/>
    <w:rsid w:val="009643F7"/>
    <w:rsid w:val="00967459"/>
    <w:rsid w:val="00967651"/>
    <w:rsid w:val="009739E9"/>
    <w:rsid w:val="00977047"/>
    <w:rsid w:val="00977139"/>
    <w:rsid w:val="00985BD4"/>
    <w:rsid w:val="009A19EE"/>
    <w:rsid w:val="009A35E4"/>
    <w:rsid w:val="009B51A7"/>
    <w:rsid w:val="009B5C03"/>
    <w:rsid w:val="009C282E"/>
    <w:rsid w:val="009D22EF"/>
    <w:rsid w:val="009D6834"/>
    <w:rsid w:val="009E2A10"/>
    <w:rsid w:val="009E5D08"/>
    <w:rsid w:val="009E7323"/>
    <w:rsid w:val="009F1668"/>
    <w:rsid w:val="009F37D2"/>
    <w:rsid w:val="00A04163"/>
    <w:rsid w:val="00A04DBE"/>
    <w:rsid w:val="00A06112"/>
    <w:rsid w:val="00A1256A"/>
    <w:rsid w:val="00A1554A"/>
    <w:rsid w:val="00A17F93"/>
    <w:rsid w:val="00A222EA"/>
    <w:rsid w:val="00A253AD"/>
    <w:rsid w:val="00A26F31"/>
    <w:rsid w:val="00A43E8C"/>
    <w:rsid w:val="00A44DD7"/>
    <w:rsid w:val="00A45245"/>
    <w:rsid w:val="00A45BDC"/>
    <w:rsid w:val="00A50FDE"/>
    <w:rsid w:val="00A53EBC"/>
    <w:rsid w:val="00A6689A"/>
    <w:rsid w:val="00A81DC5"/>
    <w:rsid w:val="00A82EEB"/>
    <w:rsid w:val="00A84BF4"/>
    <w:rsid w:val="00A87088"/>
    <w:rsid w:val="00A97BBE"/>
    <w:rsid w:val="00AA2C9B"/>
    <w:rsid w:val="00AA73FF"/>
    <w:rsid w:val="00AB4E61"/>
    <w:rsid w:val="00AB5F61"/>
    <w:rsid w:val="00AB765E"/>
    <w:rsid w:val="00AC21D5"/>
    <w:rsid w:val="00AD0059"/>
    <w:rsid w:val="00AD1032"/>
    <w:rsid w:val="00AD40E8"/>
    <w:rsid w:val="00AD6DCF"/>
    <w:rsid w:val="00AE0EF6"/>
    <w:rsid w:val="00AE261F"/>
    <w:rsid w:val="00AE4FF3"/>
    <w:rsid w:val="00AE6678"/>
    <w:rsid w:val="00AE7113"/>
    <w:rsid w:val="00AE7F2D"/>
    <w:rsid w:val="00AF0960"/>
    <w:rsid w:val="00AF0D61"/>
    <w:rsid w:val="00B07349"/>
    <w:rsid w:val="00B076F5"/>
    <w:rsid w:val="00B1385A"/>
    <w:rsid w:val="00B24727"/>
    <w:rsid w:val="00B27EFD"/>
    <w:rsid w:val="00B353D5"/>
    <w:rsid w:val="00B36E17"/>
    <w:rsid w:val="00B45F81"/>
    <w:rsid w:val="00B47698"/>
    <w:rsid w:val="00B57A60"/>
    <w:rsid w:val="00B72189"/>
    <w:rsid w:val="00B72872"/>
    <w:rsid w:val="00B73031"/>
    <w:rsid w:val="00B7617A"/>
    <w:rsid w:val="00B86842"/>
    <w:rsid w:val="00B910DB"/>
    <w:rsid w:val="00B94F4F"/>
    <w:rsid w:val="00B95540"/>
    <w:rsid w:val="00B97793"/>
    <w:rsid w:val="00BA0E7B"/>
    <w:rsid w:val="00BA5BAB"/>
    <w:rsid w:val="00BB4A0B"/>
    <w:rsid w:val="00BC3C1F"/>
    <w:rsid w:val="00BC47DE"/>
    <w:rsid w:val="00BC4E67"/>
    <w:rsid w:val="00BC5DD6"/>
    <w:rsid w:val="00BD3649"/>
    <w:rsid w:val="00BE0C3B"/>
    <w:rsid w:val="00BE48D1"/>
    <w:rsid w:val="00BE7959"/>
    <w:rsid w:val="00BE7C61"/>
    <w:rsid w:val="00BF0F12"/>
    <w:rsid w:val="00BF6F74"/>
    <w:rsid w:val="00BF6F77"/>
    <w:rsid w:val="00C049C8"/>
    <w:rsid w:val="00C04BC8"/>
    <w:rsid w:val="00C2381F"/>
    <w:rsid w:val="00C2770C"/>
    <w:rsid w:val="00C51B7A"/>
    <w:rsid w:val="00C526D9"/>
    <w:rsid w:val="00C542E3"/>
    <w:rsid w:val="00C5665B"/>
    <w:rsid w:val="00C60A73"/>
    <w:rsid w:val="00C60B51"/>
    <w:rsid w:val="00C628B8"/>
    <w:rsid w:val="00C66253"/>
    <w:rsid w:val="00C66AF6"/>
    <w:rsid w:val="00C754EF"/>
    <w:rsid w:val="00C8045B"/>
    <w:rsid w:val="00C8561A"/>
    <w:rsid w:val="00C9019C"/>
    <w:rsid w:val="00C92AF4"/>
    <w:rsid w:val="00C9383B"/>
    <w:rsid w:val="00C95F15"/>
    <w:rsid w:val="00C960BF"/>
    <w:rsid w:val="00C96F56"/>
    <w:rsid w:val="00CA2D85"/>
    <w:rsid w:val="00CA3864"/>
    <w:rsid w:val="00CA4F0E"/>
    <w:rsid w:val="00CA6E61"/>
    <w:rsid w:val="00CB2066"/>
    <w:rsid w:val="00CB31A1"/>
    <w:rsid w:val="00CC5961"/>
    <w:rsid w:val="00CD500F"/>
    <w:rsid w:val="00CD71A3"/>
    <w:rsid w:val="00CE0191"/>
    <w:rsid w:val="00CE19FF"/>
    <w:rsid w:val="00CE752B"/>
    <w:rsid w:val="00CF0733"/>
    <w:rsid w:val="00CF7DE0"/>
    <w:rsid w:val="00D02FC8"/>
    <w:rsid w:val="00D03688"/>
    <w:rsid w:val="00D050D6"/>
    <w:rsid w:val="00D07AD6"/>
    <w:rsid w:val="00D07F40"/>
    <w:rsid w:val="00D16CAE"/>
    <w:rsid w:val="00D25006"/>
    <w:rsid w:val="00D3200C"/>
    <w:rsid w:val="00D37AF1"/>
    <w:rsid w:val="00D50B17"/>
    <w:rsid w:val="00D63759"/>
    <w:rsid w:val="00D639DD"/>
    <w:rsid w:val="00D63EF8"/>
    <w:rsid w:val="00D678B5"/>
    <w:rsid w:val="00D74DFB"/>
    <w:rsid w:val="00D80AEF"/>
    <w:rsid w:val="00D8582F"/>
    <w:rsid w:val="00DA0512"/>
    <w:rsid w:val="00DB2228"/>
    <w:rsid w:val="00DB3DCB"/>
    <w:rsid w:val="00DB4A12"/>
    <w:rsid w:val="00DB5E01"/>
    <w:rsid w:val="00DC1B10"/>
    <w:rsid w:val="00DE4A9E"/>
    <w:rsid w:val="00DE78CD"/>
    <w:rsid w:val="00E02FFF"/>
    <w:rsid w:val="00E067DF"/>
    <w:rsid w:val="00E07CBE"/>
    <w:rsid w:val="00E11354"/>
    <w:rsid w:val="00E33CE4"/>
    <w:rsid w:val="00E3770B"/>
    <w:rsid w:val="00E4016F"/>
    <w:rsid w:val="00E47630"/>
    <w:rsid w:val="00E513B9"/>
    <w:rsid w:val="00E60004"/>
    <w:rsid w:val="00E62017"/>
    <w:rsid w:val="00E62507"/>
    <w:rsid w:val="00E62ADF"/>
    <w:rsid w:val="00E631F7"/>
    <w:rsid w:val="00E66405"/>
    <w:rsid w:val="00E67003"/>
    <w:rsid w:val="00E71B53"/>
    <w:rsid w:val="00E77F2A"/>
    <w:rsid w:val="00E91AAD"/>
    <w:rsid w:val="00EA2959"/>
    <w:rsid w:val="00EA3209"/>
    <w:rsid w:val="00EA559D"/>
    <w:rsid w:val="00EB3420"/>
    <w:rsid w:val="00ED2EE8"/>
    <w:rsid w:val="00ED3671"/>
    <w:rsid w:val="00ED4569"/>
    <w:rsid w:val="00EE0228"/>
    <w:rsid w:val="00EE0C41"/>
    <w:rsid w:val="00EE42C8"/>
    <w:rsid w:val="00EF06A1"/>
    <w:rsid w:val="00F238DE"/>
    <w:rsid w:val="00F27BFD"/>
    <w:rsid w:val="00F33B87"/>
    <w:rsid w:val="00F35200"/>
    <w:rsid w:val="00F47DF0"/>
    <w:rsid w:val="00F508C2"/>
    <w:rsid w:val="00F52B19"/>
    <w:rsid w:val="00F6110F"/>
    <w:rsid w:val="00F65D2C"/>
    <w:rsid w:val="00F66DF5"/>
    <w:rsid w:val="00F71379"/>
    <w:rsid w:val="00F774FE"/>
    <w:rsid w:val="00F862F9"/>
    <w:rsid w:val="00F86CA2"/>
    <w:rsid w:val="00F90B47"/>
    <w:rsid w:val="00F90BA8"/>
    <w:rsid w:val="00F92D86"/>
    <w:rsid w:val="00FA71E0"/>
    <w:rsid w:val="00FA7E2D"/>
    <w:rsid w:val="00FB0311"/>
    <w:rsid w:val="00FB1A21"/>
    <w:rsid w:val="00FB7FE6"/>
    <w:rsid w:val="00FC0891"/>
    <w:rsid w:val="00FC79B5"/>
    <w:rsid w:val="00FD344C"/>
    <w:rsid w:val="00FF3A1F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8">
      <o:colormru v:ext="edit" colors="#d2d2d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pageBreakBefore/>
      <w:spacing w:before="300" w:after="720"/>
      <w:jc w:val="center"/>
      <w:outlineLvl w:val="0"/>
    </w:pPr>
    <w:rPr>
      <w:rFonts w:ascii="Arial" w:hAnsi="Arial"/>
      <w:b/>
      <w:noProof/>
      <w:spacing w:val="100"/>
      <w:sz w:val="40"/>
    </w:rPr>
  </w:style>
  <w:style w:type="paragraph" w:styleId="2">
    <w:name w:val="heading 2"/>
    <w:basedOn w:val="a"/>
    <w:next w:val="a"/>
    <w:qFormat/>
    <w:pPr>
      <w:keepNext/>
      <w:spacing w:before="300" w:after="120" w:line="170" w:lineRule="exact"/>
      <w:jc w:val="center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after="160"/>
      <w:jc w:val="center"/>
      <w:outlineLvl w:val="2"/>
    </w:pPr>
    <w:rPr>
      <w:rFonts w:ascii="Arial" w:hAnsi="Arial"/>
      <w:b/>
      <w:smallCaps/>
      <w:sz w:val="16"/>
    </w:rPr>
  </w:style>
  <w:style w:type="paragraph" w:styleId="4">
    <w:name w:val="heading 4"/>
    <w:basedOn w:val="a"/>
    <w:next w:val="a"/>
    <w:qFormat/>
    <w:pPr>
      <w:keepNext/>
      <w:spacing w:before="60" w:line="240" w:lineRule="exact"/>
      <w:ind w:left="340"/>
      <w:outlineLvl w:val="3"/>
    </w:pPr>
    <w:rPr>
      <w:rFonts w:ascii="Arial" w:hAnsi="Arial"/>
      <w:b/>
      <w:bCs/>
      <w:sz w:val="16"/>
    </w:rPr>
  </w:style>
  <w:style w:type="paragraph" w:styleId="5">
    <w:name w:val="heading 5"/>
    <w:basedOn w:val="a"/>
    <w:next w:val="a"/>
    <w:qFormat/>
    <w:pPr>
      <w:keepNext/>
      <w:spacing w:before="120" w:after="80"/>
      <w:ind w:right="57"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4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20">
    <w:name w:val="Body Text Indent 2"/>
    <w:basedOn w:val="a"/>
    <w:pPr>
      <w:widowControl w:val="0"/>
      <w:ind w:firstLine="340"/>
      <w:jc w:val="both"/>
    </w:pPr>
    <w:rPr>
      <w:snapToGrid w:val="0"/>
      <w:sz w:val="24"/>
    </w:rPr>
  </w:style>
  <w:style w:type="paragraph" w:styleId="a5">
    <w:name w:val="Body Text Indent"/>
    <w:basedOn w:val="a"/>
    <w:pPr>
      <w:widowControl w:val="0"/>
      <w:ind w:firstLine="320"/>
      <w:jc w:val="both"/>
    </w:pPr>
    <w:rPr>
      <w:snapToGrid w:val="0"/>
      <w:sz w:val="24"/>
    </w:r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er"/>
    <w:basedOn w:val="a"/>
    <w:link w:val="a8"/>
    <w:pPr>
      <w:tabs>
        <w:tab w:val="center" w:pos="4819"/>
        <w:tab w:val="right" w:pos="9071"/>
      </w:tabs>
    </w:pPr>
  </w:style>
  <w:style w:type="paragraph" w:styleId="a9">
    <w:name w:val="endnote text"/>
    <w:basedOn w:val="a"/>
    <w:semiHidden/>
  </w:style>
  <w:style w:type="character" w:styleId="aa">
    <w:name w:val="page number"/>
    <w:basedOn w:val="a0"/>
  </w:style>
  <w:style w:type="paragraph" w:styleId="30">
    <w:name w:val="Body Text Indent 3"/>
    <w:basedOn w:val="a"/>
    <w:pPr>
      <w:shd w:val="clear" w:color="auto" w:fill="FFFFFF"/>
      <w:ind w:firstLine="284"/>
      <w:jc w:val="both"/>
    </w:pPr>
    <w:rPr>
      <w:rFonts w:ascii="Arial" w:hAnsi="Arial"/>
      <w:sz w:val="16"/>
    </w:rPr>
  </w:style>
  <w:style w:type="paragraph" w:styleId="ab">
    <w:name w:val="Body Text"/>
    <w:basedOn w:val="a"/>
    <w:pPr>
      <w:jc w:val="center"/>
    </w:pPr>
    <w:rPr>
      <w:rFonts w:ascii="Arial" w:hAnsi="Arial"/>
      <w:b/>
      <w:sz w:val="16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rPr>
      <w:color w:val="0000FF"/>
      <w:u w:val="single"/>
    </w:rPr>
  </w:style>
  <w:style w:type="paragraph" w:styleId="ae">
    <w:name w:val="footnote text"/>
    <w:basedOn w:val="a"/>
    <w:semiHidden/>
    <w:rsid w:val="00A1554A"/>
  </w:style>
  <w:style w:type="paragraph" w:customStyle="1" w:styleId="af">
    <w:name w:val="боковик"/>
    <w:basedOn w:val="a"/>
    <w:rsid w:val="002F1402"/>
    <w:pPr>
      <w:jc w:val="both"/>
    </w:pPr>
    <w:rPr>
      <w:rFonts w:ascii="Arial" w:hAnsi="Arial"/>
      <w:sz w:val="16"/>
    </w:rPr>
  </w:style>
  <w:style w:type="paragraph" w:styleId="af0">
    <w:name w:val="Balloon Text"/>
    <w:basedOn w:val="a"/>
    <w:link w:val="af1"/>
    <w:rsid w:val="006C485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6C4855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0"/>
    <w:link w:val="a7"/>
    <w:rsid w:val="00DE7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pageBreakBefore/>
      <w:spacing w:before="300" w:after="720"/>
      <w:jc w:val="center"/>
      <w:outlineLvl w:val="0"/>
    </w:pPr>
    <w:rPr>
      <w:rFonts w:ascii="Arial" w:hAnsi="Arial"/>
      <w:b/>
      <w:noProof/>
      <w:spacing w:val="100"/>
      <w:sz w:val="40"/>
    </w:rPr>
  </w:style>
  <w:style w:type="paragraph" w:styleId="2">
    <w:name w:val="heading 2"/>
    <w:basedOn w:val="a"/>
    <w:next w:val="a"/>
    <w:qFormat/>
    <w:pPr>
      <w:keepNext/>
      <w:spacing w:before="300" w:after="120" w:line="170" w:lineRule="exact"/>
      <w:jc w:val="center"/>
      <w:outlineLvl w:val="1"/>
    </w:pPr>
    <w:rPr>
      <w:rFonts w:ascii="Arial" w:hAnsi="Arial" w:cs="Arial"/>
      <w:b/>
      <w:sz w:val="16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after="160"/>
      <w:jc w:val="center"/>
      <w:outlineLvl w:val="2"/>
    </w:pPr>
    <w:rPr>
      <w:rFonts w:ascii="Arial" w:hAnsi="Arial"/>
      <w:b/>
      <w:smallCaps/>
      <w:sz w:val="16"/>
    </w:rPr>
  </w:style>
  <w:style w:type="paragraph" w:styleId="4">
    <w:name w:val="heading 4"/>
    <w:basedOn w:val="a"/>
    <w:next w:val="a"/>
    <w:qFormat/>
    <w:pPr>
      <w:keepNext/>
      <w:spacing w:before="60" w:line="240" w:lineRule="exact"/>
      <w:ind w:left="340"/>
      <w:outlineLvl w:val="3"/>
    </w:pPr>
    <w:rPr>
      <w:rFonts w:ascii="Arial" w:hAnsi="Arial"/>
      <w:b/>
      <w:bCs/>
      <w:sz w:val="16"/>
    </w:rPr>
  </w:style>
  <w:style w:type="paragraph" w:styleId="5">
    <w:name w:val="heading 5"/>
    <w:basedOn w:val="a"/>
    <w:next w:val="a"/>
    <w:qFormat/>
    <w:pPr>
      <w:keepNext/>
      <w:spacing w:before="120" w:after="80"/>
      <w:ind w:right="57"/>
      <w:jc w:val="center"/>
      <w:outlineLvl w:val="4"/>
    </w:pPr>
    <w:rPr>
      <w:rFonts w:ascii="Arial" w:hAnsi="Arial"/>
      <w:b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300" w:after="720"/>
      <w:jc w:val="center"/>
    </w:pPr>
    <w:rPr>
      <w:rFonts w:ascii="Arial" w:hAnsi="Arial"/>
      <w:b/>
      <w:caps/>
      <w:spacing w:val="100"/>
      <w:sz w:val="40"/>
    </w:rPr>
  </w:style>
  <w:style w:type="paragraph" w:styleId="a4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lang w:val="en-US"/>
    </w:rPr>
  </w:style>
  <w:style w:type="paragraph" w:styleId="20">
    <w:name w:val="Body Text Indent 2"/>
    <w:basedOn w:val="a"/>
    <w:pPr>
      <w:widowControl w:val="0"/>
      <w:ind w:firstLine="340"/>
      <w:jc w:val="both"/>
    </w:pPr>
    <w:rPr>
      <w:snapToGrid w:val="0"/>
      <w:sz w:val="24"/>
    </w:rPr>
  </w:style>
  <w:style w:type="paragraph" w:styleId="a5">
    <w:name w:val="Body Text Indent"/>
    <w:basedOn w:val="a"/>
    <w:pPr>
      <w:widowControl w:val="0"/>
      <w:ind w:firstLine="320"/>
      <w:jc w:val="both"/>
    </w:pPr>
    <w:rPr>
      <w:snapToGrid w:val="0"/>
      <w:sz w:val="24"/>
    </w:rPr>
  </w:style>
  <w:style w:type="paragraph" w:styleId="a6">
    <w:name w:val="header"/>
    <w:basedOn w:val="a"/>
    <w:pPr>
      <w:tabs>
        <w:tab w:val="center" w:pos="4819"/>
        <w:tab w:val="right" w:pos="9071"/>
      </w:tabs>
    </w:pPr>
  </w:style>
  <w:style w:type="paragraph" w:styleId="a7">
    <w:name w:val="footer"/>
    <w:basedOn w:val="a"/>
    <w:link w:val="a8"/>
    <w:pPr>
      <w:tabs>
        <w:tab w:val="center" w:pos="4819"/>
        <w:tab w:val="right" w:pos="9071"/>
      </w:tabs>
    </w:pPr>
  </w:style>
  <w:style w:type="paragraph" w:styleId="a9">
    <w:name w:val="endnote text"/>
    <w:basedOn w:val="a"/>
    <w:semiHidden/>
  </w:style>
  <w:style w:type="character" w:styleId="aa">
    <w:name w:val="page number"/>
    <w:basedOn w:val="a0"/>
  </w:style>
  <w:style w:type="paragraph" w:styleId="30">
    <w:name w:val="Body Text Indent 3"/>
    <w:basedOn w:val="a"/>
    <w:pPr>
      <w:shd w:val="clear" w:color="auto" w:fill="FFFFFF"/>
      <w:ind w:firstLine="284"/>
      <w:jc w:val="both"/>
    </w:pPr>
    <w:rPr>
      <w:rFonts w:ascii="Arial" w:hAnsi="Arial"/>
      <w:sz w:val="16"/>
    </w:rPr>
  </w:style>
  <w:style w:type="paragraph" w:styleId="ab">
    <w:name w:val="Body Text"/>
    <w:basedOn w:val="a"/>
    <w:pPr>
      <w:jc w:val="center"/>
    </w:pPr>
    <w:rPr>
      <w:rFonts w:ascii="Arial" w:hAnsi="Arial"/>
      <w:b/>
      <w:sz w:val="16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rPr>
      <w:color w:val="0000FF"/>
      <w:u w:val="single"/>
    </w:rPr>
  </w:style>
  <w:style w:type="paragraph" w:styleId="ae">
    <w:name w:val="footnote text"/>
    <w:basedOn w:val="a"/>
    <w:semiHidden/>
    <w:rsid w:val="00A1554A"/>
  </w:style>
  <w:style w:type="paragraph" w:customStyle="1" w:styleId="af">
    <w:name w:val="боковик"/>
    <w:basedOn w:val="a"/>
    <w:rsid w:val="002F1402"/>
    <w:pPr>
      <w:jc w:val="both"/>
    </w:pPr>
    <w:rPr>
      <w:rFonts w:ascii="Arial" w:hAnsi="Arial"/>
      <w:sz w:val="16"/>
    </w:rPr>
  </w:style>
  <w:style w:type="paragraph" w:styleId="af0">
    <w:name w:val="Balloon Text"/>
    <w:basedOn w:val="a"/>
    <w:link w:val="af1"/>
    <w:rsid w:val="006C485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6C4855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0"/>
    <w:link w:val="a7"/>
    <w:rsid w:val="00DE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2E2DB-8696-48C6-9C1C-409C003B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978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 САХА (ЯКУТИЯ)</vt:lpstr>
    </vt:vector>
  </TitlesOfParts>
  <Company>******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САХА (ЯКУТИЯ)</dc:title>
  <dc:creator>Люба В.</dc:creator>
  <cp:lastModifiedBy>Чанова Елена Валентиновна</cp:lastModifiedBy>
  <cp:revision>32</cp:revision>
  <cp:lastPrinted>2020-12-22T15:35:00Z</cp:lastPrinted>
  <dcterms:created xsi:type="dcterms:W3CDTF">2020-07-22T12:20:00Z</dcterms:created>
  <dcterms:modified xsi:type="dcterms:W3CDTF">2021-01-27T09:05:00Z</dcterms:modified>
</cp:coreProperties>
</file>