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0E2F06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914A2C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199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</w:t>
      </w:r>
      <w:bookmarkStart w:id="0" w:name="_GoBack"/>
      <w:bookmarkEnd w:id="0"/>
      <w:r w:rsidR="001A00E4">
        <w:rPr>
          <w:rFonts w:ascii="Times New Roman" w:eastAsiaTheme="minorEastAsia" w:hAnsi="Times New Roman" w:cs="Times New Roman"/>
          <w:sz w:val="26"/>
          <w:szCs w:val="26"/>
        </w:rPr>
        <w:t>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010321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достижения поставленной цели, а именно разработк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обеспечения миграционной привлекательности. Так, этот анализ позволит:</w:t>
      </w:r>
    </w:p>
    <w:p w:rsidR="00987414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значимость отдельных 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наличи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е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устойчивых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поведенческих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зависимостей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с т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очки зрения природы их воздействия.</w:t>
      </w:r>
    </w:p>
    <w:p w:rsidR="00352DFF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b/>
          <w:i/>
          <w:sz w:val="26"/>
          <w:szCs w:val="26"/>
        </w:rPr>
        <w:t>Анализ разницы между положительными и отрицательными субкластерами.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Pr="00010321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Важно отметить, что миграционное сальдо и численность населения не использовались в качестве факторов при кластеризации, то есть кластеры были сформированы алгоритмом к-средних независимо от этих характеристик.</w:t>
      </w:r>
    </w:p>
    <w:p w:rsidR="00A263BA" w:rsidRPr="00010321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Итак, на диаграмме ниже показаны различия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медиан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010321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На графике отчётливо наблюдаются 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факторы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ам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относятся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retailturnover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11%)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harvest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(сред. разн.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17%)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factoriescap (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сред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разн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18%).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>Почти такое же влияния име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>ет фактор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линия). Похожая ситуация наблюдается и с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avgsalary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010321" w:rsidRDefault="00914A2C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6" type="#_x0000_t75" style="width:467.3pt;height:254.7pt">
            <v:imagedata r:id="rId8" o:title="11"/>
          </v:shape>
        </w:pict>
      </w:r>
    </w:p>
    <w:p w:rsidR="0052356F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Также серьезный интерес вызывает разница между положительным и отрицательным субкластером по факторам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beforeschool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hospitals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. На графике видно, что в 5, 4 и 0 кластере данные факторы в среднем имеют большее значение в отрицательном субкластере, то есть наблюдается большая миграция при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низких значениях этих факторов. </w:t>
      </w:r>
    </w:p>
    <w:p w:rsidR="00010321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На первый взгляд этот результат может показаться противоречивым. Однако, одним из главных объяснений может являться разный тип миграции [111], который наблюдается в кластерах.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>Так, в РФ сильно превалирует молодежная миграция (когорта 15-19), которая переезжает в целях учёбы [111]. Несомненно, молодое поколение также мигрирует и в расчете карьерных перспектив. Таким образом, для молодых возрастных групп, не имеющих детей, здравоохранение и дошкольные организации не являются важными факторами при принятии решения о переезде.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Однако, в эти кластеры (5, 4 и 0) характеризуются высоким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значени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ями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foodseats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retaliturnover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harvest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livestock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что также согласуется с интересами молодежной и рабочей миграции.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2356F" w:rsidRPr="00914A2C" w:rsidRDefault="0052356F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При этом в РФ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ярко наблюдается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тенденция миграции людей с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детьми дошкольного возраста, а также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так называемая пенсионная миграция [111]. Обратите внимание на красную, зеленую и фиолетовую линию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графика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(см. рис. 2, кластеры 1, 2 и 3), которые вероятн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ее всего отражают эту тенденцию, то есть в этих случаях количество мест в дошкольных организациях и количество лечебных организаций играет существенную роль при миграции. Также эти 3 кластера характеризуются положительной миграцией в факторе спортивных сооружений (sportsvenue), что даёт возможность устроить детей на какие-либо спортивные секции.</w:t>
      </w:r>
    </w:p>
    <w:p w:rsidR="00CD3B30" w:rsidRPr="00914A2C" w:rsidRDefault="00CD3B30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Таким образом, полученная разница по отдельным факторам вполне может объясняться различным типом миграции, которая наблюдается в стране [111]. Однако, нельзя также исключать, например, причину с точки зрения качества, а не количества. </w:t>
      </w:r>
    </w:p>
    <w:p w:rsidR="00E8639A" w:rsidRPr="00914A2C" w:rsidRDefault="00CD3B30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>Следует еще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результат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согласуется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гравитационной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территорией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миграционных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потоков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[???].</w:t>
      </w:r>
    </w:p>
    <w:p w:rsidR="00EE2B2E" w:rsidRPr="00EE2B2E" w:rsidRDefault="00EE2B2E" w:rsidP="00EE2B2E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[111] </w:t>
      </w:r>
      <w:r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Karachurina, L.B., Mkrtchyan, N.V. To the City or to the Suburbs: What Russians Choose at Different Stages of Life Course.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Reg. Res. Russ. 14 (Suppl 1), S55–S66 (2024). https://doi.org/10.1134/S2079970524600689</w:t>
      </w: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B3DFE" w:rsidRPr="00EE2B2E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352DFF" w:rsidRPr="00EE2B2E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075B6D" w:rsidRPr="00914A2C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EE2B2E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analysis of 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hese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difference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for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identifying a vector of changes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that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has the potential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to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the migration attractiveness of specific settlements.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the basis of such 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analysis, the following aspects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can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be assessed: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importance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positive net migration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both in general and within specific clusters;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presence of stable behavioral dependencies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the nature of their impact.</w:t>
      </w:r>
    </w:p>
    <w:p w:rsidR="004D40E0" w:rsidRPr="00EE2B2E" w:rsidRDefault="001606F5" w:rsidP="001606F5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lastRenderedPageBreak/>
        <w:t xml:space="preserve">The difference between positive and negative sub-clusters.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order to implement the analysis that mentioned above, it is necessary to divide each cluster into two sub-clusters: “positive” and “negative”. The positive sub-cluster includes only those states m_t that are characterised by net migration s &gt; 0, while the negative sub-cluster is characterised by the opposite condition.</w:t>
      </w:r>
    </w:p>
    <w:p w:rsidR="0045106D" w:rsidRPr="00EE2B2E" w:rsidRDefault="0045106D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next step is to calculate the median of each element (factor) of the states m_t for specific sub-clusters. Based on these medians, an assessment can be made of how much each factor in the positive sub-cluster differs from the negative one.</w:t>
      </w:r>
    </w:p>
    <w:p w:rsidR="00B56823" w:rsidRPr="00EE2B2E" w:rsidRDefault="00B56823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It should be noted that neither net migration nor population size (popsize) is used as a factor in the process of clusterization. Consequently, the formation of clusters is entirely independent of these characteristics.</w:t>
      </w:r>
    </w:p>
    <w:p w:rsidR="00BD4F22" w:rsidRPr="00EE2B2E" w:rsidRDefault="00334D61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diagram below (Fig. </w:t>
      </w:r>
      <w:r w:rsidR="00EF389A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) demonstrates the difference between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medians of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socio-economic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(elements of </w:t>
      </w: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m_t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from the positive and negative sub-clusters for each cluster. The value less than 0% indicates that th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factor is greater in the negative sub-cluster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compared to the positive sub-cluster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BD4F22" w:rsidRDefault="00EF389A" w:rsidP="006669A3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Firstly,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diagram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shows some areas of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overall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and decrease in the difference, illustrating the factors that have a similar nature of impact in all clusters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(Fig. 2)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The factors that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demonstrate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common increase in all cases should be considered the most significant, as their higher value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 consistently result in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positive net migration.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These include retailturnover (avg. diff. ~11%), harvest (avg. diff. ~17%) and factoriescap (avg. diff. ~18%). The factor agrprod (avg. diff. ~15%) has almost the same influence, except cluster 3 (see Fig. 2, purple line). A similar situation is observed with avgsalary, however, the average difference is quite small ~ 4%.</w:t>
      </w:r>
    </w:p>
    <w:p w:rsidR="00EC2ACD" w:rsidRDefault="00EC2ACD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>It is important to note that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although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 population size was not involved in the clustering process, its higher value 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always led to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positive net migration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too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(see Fig. 1). This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result is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ctually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consistent with the gravitational theory of migration flows [???].</w:t>
      </w:r>
    </w:p>
    <w:p w:rsidR="00B83E7F" w:rsidRPr="00914A2C" w:rsidRDefault="00B83E7F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 difference between the positive and negative sub-clusters by the factors ‘beforeschool’ and ‘hospitals’ should be considered carefully. The diagram shows that in 5, 4 and 0 clusters these factors actually have a higher value in the negative sub-cluster. This indicates that there is a </w:t>
      </w:r>
      <w:r w:rsidR="00D053F5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positive 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when these factors are lower.</w:t>
      </w:r>
    </w:p>
    <w:p w:rsidR="00B83E7F" w:rsidRPr="00914A2C" w:rsidRDefault="00B83E7F" w:rsidP="003B09A6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first glance, this result may seem contradictory. However, one of the main explanations may be the different type of migration [111] observed in the cluster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Thus, youth migration 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(cohort 15-19), which moves for educational purposes, strongly prevails in the Russia Federation [111]. Undoubtedly, the younger generation also migrates for in the reason of career opportunities. So, for younger age groups without children, healthcare and per-school organizations are not important factors in decision to move. Also these clusters (5, 4 and 0) are characterized by high values of foodseats, retaliturnover, harvest, agrprod, livestock, which is consistent with the interests of youth and labour migration.</w:t>
      </w:r>
    </w:p>
    <w:p w:rsidR="004E3C69" w:rsidRPr="00914A2C" w:rsidRDefault="003178A0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the same time, there is also a clear trend of family migration with pre-school age children and so-called retirement migration [111]. The red, green and purple lines of the diagram (see Fig. 1, clusters 1-3), illustrates this trends most clearly around "hospitals" and "beforeschool" factors. In such cases, healthcare and per-school organizations are significant factors in decision-making. In addition, these three clusters are distinguished by positive migration when “sportsvenue” is higher, indicating the availability of opportunities for children to engage in sports.</w:t>
      </w:r>
    </w:p>
    <w:p w:rsidR="004E3C69" w:rsidRPr="00914A2C" w:rsidRDefault="004E3C69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However, it is obvious that not only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types of migration in the country [111] could explain such a difference. For instance, the nature of the factors 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is quantitative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, while the qualitative aspects are also significant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(fewer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hospitals, but better in terms of medical equipment etc.).</w:t>
      </w:r>
    </w:p>
    <w:sectPr w:rsidR="004E3C69" w:rsidRPr="0091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F06" w:rsidRDefault="000E2F06" w:rsidP="00075B6D">
      <w:pPr>
        <w:spacing w:after="0" w:line="240" w:lineRule="auto"/>
      </w:pPr>
      <w:r>
        <w:separator/>
      </w:r>
    </w:p>
  </w:endnote>
  <w:endnote w:type="continuationSeparator" w:id="0">
    <w:p w:rsidR="000E2F06" w:rsidRDefault="000E2F06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F06" w:rsidRDefault="000E2F06" w:rsidP="00075B6D">
      <w:pPr>
        <w:spacing w:after="0" w:line="240" w:lineRule="auto"/>
      </w:pPr>
      <w:r>
        <w:separator/>
      </w:r>
    </w:p>
  </w:footnote>
  <w:footnote w:type="continuationSeparator" w:id="0">
    <w:p w:rsidR="000E2F06" w:rsidRDefault="000E2F06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0321"/>
    <w:rsid w:val="0001228F"/>
    <w:rsid w:val="00075B6D"/>
    <w:rsid w:val="00094DF8"/>
    <w:rsid w:val="000A3BCB"/>
    <w:rsid w:val="000D2430"/>
    <w:rsid w:val="000E2F06"/>
    <w:rsid w:val="000E304A"/>
    <w:rsid w:val="000F57E8"/>
    <w:rsid w:val="00125E44"/>
    <w:rsid w:val="00140A47"/>
    <w:rsid w:val="00156D14"/>
    <w:rsid w:val="001606F5"/>
    <w:rsid w:val="00172746"/>
    <w:rsid w:val="001A00E4"/>
    <w:rsid w:val="001A6C02"/>
    <w:rsid w:val="001B12A2"/>
    <w:rsid w:val="001B494E"/>
    <w:rsid w:val="001B5E23"/>
    <w:rsid w:val="001E0BAA"/>
    <w:rsid w:val="001F065B"/>
    <w:rsid w:val="002333A8"/>
    <w:rsid w:val="00254189"/>
    <w:rsid w:val="00274B12"/>
    <w:rsid w:val="002963F7"/>
    <w:rsid w:val="00296652"/>
    <w:rsid w:val="002B350E"/>
    <w:rsid w:val="002E46F7"/>
    <w:rsid w:val="002E532A"/>
    <w:rsid w:val="003178A0"/>
    <w:rsid w:val="00334D61"/>
    <w:rsid w:val="00352DFF"/>
    <w:rsid w:val="003B09A6"/>
    <w:rsid w:val="003D2B7B"/>
    <w:rsid w:val="003F522E"/>
    <w:rsid w:val="00401D62"/>
    <w:rsid w:val="0045106D"/>
    <w:rsid w:val="0046732D"/>
    <w:rsid w:val="00470832"/>
    <w:rsid w:val="00486AD6"/>
    <w:rsid w:val="004A4316"/>
    <w:rsid w:val="004D40E0"/>
    <w:rsid w:val="004E3C69"/>
    <w:rsid w:val="0052356F"/>
    <w:rsid w:val="00531C53"/>
    <w:rsid w:val="0054680D"/>
    <w:rsid w:val="00560666"/>
    <w:rsid w:val="00596C91"/>
    <w:rsid w:val="005B4AF7"/>
    <w:rsid w:val="005C271F"/>
    <w:rsid w:val="005C57D3"/>
    <w:rsid w:val="005D0BA0"/>
    <w:rsid w:val="005E5F29"/>
    <w:rsid w:val="00647880"/>
    <w:rsid w:val="00665640"/>
    <w:rsid w:val="006669A3"/>
    <w:rsid w:val="00683808"/>
    <w:rsid w:val="006A1ADF"/>
    <w:rsid w:val="006A54BB"/>
    <w:rsid w:val="006A5D3B"/>
    <w:rsid w:val="006C0F4D"/>
    <w:rsid w:val="006D0019"/>
    <w:rsid w:val="007116CC"/>
    <w:rsid w:val="00716CF6"/>
    <w:rsid w:val="00773EBE"/>
    <w:rsid w:val="00781C27"/>
    <w:rsid w:val="00797D96"/>
    <w:rsid w:val="008547DF"/>
    <w:rsid w:val="00877D59"/>
    <w:rsid w:val="00891E1B"/>
    <w:rsid w:val="0090104F"/>
    <w:rsid w:val="009017C2"/>
    <w:rsid w:val="00914A2C"/>
    <w:rsid w:val="0092122D"/>
    <w:rsid w:val="00970EEF"/>
    <w:rsid w:val="00974AE2"/>
    <w:rsid w:val="00986B4D"/>
    <w:rsid w:val="00987414"/>
    <w:rsid w:val="009A0F89"/>
    <w:rsid w:val="009A206D"/>
    <w:rsid w:val="009A3CD2"/>
    <w:rsid w:val="009A7B50"/>
    <w:rsid w:val="009D0DED"/>
    <w:rsid w:val="009F007C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4004C"/>
    <w:rsid w:val="00B56823"/>
    <w:rsid w:val="00B760CD"/>
    <w:rsid w:val="00B83E7F"/>
    <w:rsid w:val="00BA172C"/>
    <w:rsid w:val="00BD4F22"/>
    <w:rsid w:val="00BE284D"/>
    <w:rsid w:val="00C46B91"/>
    <w:rsid w:val="00CD0784"/>
    <w:rsid w:val="00CD3B30"/>
    <w:rsid w:val="00CE4AEA"/>
    <w:rsid w:val="00D053F5"/>
    <w:rsid w:val="00D41AAD"/>
    <w:rsid w:val="00D5012C"/>
    <w:rsid w:val="00D521DE"/>
    <w:rsid w:val="00D91437"/>
    <w:rsid w:val="00DD0815"/>
    <w:rsid w:val="00DD6E3A"/>
    <w:rsid w:val="00E21279"/>
    <w:rsid w:val="00E75502"/>
    <w:rsid w:val="00E81CC9"/>
    <w:rsid w:val="00E8639A"/>
    <w:rsid w:val="00E92311"/>
    <w:rsid w:val="00EB4E14"/>
    <w:rsid w:val="00EC2ACD"/>
    <w:rsid w:val="00EE2B2E"/>
    <w:rsid w:val="00EF389A"/>
    <w:rsid w:val="00F12E3F"/>
    <w:rsid w:val="00F67128"/>
    <w:rsid w:val="00F76DD9"/>
    <w:rsid w:val="00F95178"/>
    <w:rsid w:val="00FB3DFE"/>
    <w:rsid w:val="00FC13C6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7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72</cp:revision>
  <dcterms:created xsi:type="dcterms:W3CDTF">2025-03-31T05:44:00Z</dcterms:created>
  <dcterms:modified xsi:type="dcterms:W3CDTF">2025-04-07T13:20:00Z</dcterms:modified>
</cp:coreProperties>
</file>