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2551D8"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w:t>
      </w:r>
      <w:r>
        <w:rPr>
          <w:rFonts w:ascii="Times New Roman" w:hAnsi="Times New Roman" w:cs="Times New Roman"/>
          <w:sz w:val="26"/>
          <w:szCs w:val="26"/>
        </w:rPr>
        <w:lastRenderedPageBreak/>
        <w:t>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2551D8"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w:t>
      </w:r>
      <w:r w:rsidRPr="00010321">
        <w:rPr>
          <w:rFonts w:ascii="Times New Roman" w:eastAsiaTheme="minorEastAsia" w:hAnsi="Times New Roman" w:cs="Times New Roman"/>
          <w:sz w:val="26"/>
          <w:szCs w:val="26"/>
        </w:rPr>
        <w:lastRenderedPageBreak/>
        <w:t>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поскольку во всех кластерах их большее значение ведет к положительному сальдо. К 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010321">
        <w:rPr>
          <w:rFonts w:ascii="Times New Roman" w:eastAsiaTheme="minorEastAsia" w:hAnsi="Times New Roman" w:cs="Times New Roman"/>
          <w:sz w:val="26"/>
          <w:szCs w:val="26"/>
          <w:lang w:val="en-US"/>
        </w:rPr>
        <w:t xml:space="preserve">17%) </w:t>
      </w:r>
      <w:r w:rsidR="009A0F89" w:rsidRPr="00010321">
        <w:rPr>
          <w:rFonts w:ascii="Times New Roman" w:eastAsiaTheme="minorEastAsia" w:hAnsi="Times New Roman" w:cs="Times New Roman"/>
          <w:sz w:val="26"/>
          <w:szCs w:val="26"/>
        </w:rPr>
        <w:t>и</w:t>
      </w:r>
      <w:r w:rsidR="009A0F89" w:rsidRPr="00010321">
        <w:rPr>
          <w:rFonts w:ascii="Times New Roman" w:eastAsiaTheme="minorEastAsia" w:hAnsi="Times New Roman" w:cs="Times New Roman"/>
          <w:sz w:val="26"/>
          <w:szCs w:val="26"/>
          <w:lang w:val="en-US"/>
        </w:rPr>
        <w:t xml:space="preserve"> factoriescap (</w:t>
      </w:r>
      <w:r w:rsidR="009A0F89" w:rsidRPr="00010321">
        <w:rPr>
          <w:rFonts w:ascii="Times New Roman" w:eastAsiaTheme="minorEastAsia" w:hAnsi="Times New Roman" w:cs="Times New Roman"/>
          <w:sz w:val="26"/>
          <w:szCs w:val="26"/>
        </w:rPr>
        <w:t>сред</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разн</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2551D8"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lastRenderedPageBreak/>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lastRenderedPageBreak/>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 xml:space="preserve">ачения, а в зеленных </w:t>
      </w:r>
      <w:r w:rsidR="005F07E0" w:rsidRPr="001C2C38">
        <w:rPr>
          <w:rFonts w:ascii="Times New Roman" w:eastAsiaTheme="minorEastAsia" w:hAnsi="Times New Roman" w:cs="Times New Roman"/>
          <w:color w:val="000000" w:themeColor="text1"/>
          <w:sz w:val="26"/>
          <w:szCs w:val="26"/>
        </w:rPr>
        <w:lastRenderedPageBreak/>
        <w:t>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496ADA" w:rsidRPr="00EE2B2E"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 general dataset </w:t>
      </w:r>
      <w:r w:rsidRPr="003A061D">
        <w:rPr>
          <w:rFonts w:ascii="Times New Roman" w:eastAsiaTheme="minorEastAsia" w:hAnsi="Times New Roman" w:cs="Times New Roman"/>
          <w:b/>
          <w:i/>
          <w:sz w:val="26"/>
          <w:szCs w:val="26"/>
          <w:lang w:val="en-US"/>
        </w:rPr>
        <w:t xml:space="preserve">D </w:t>
      </w:r>
      <w:r w:rsidRPr="003A061D">
        <w:rPr>
          <w:rFonts w:ascii="Times New Roman" w:eastAsiaTheme="minorEastAsia" w:hAnsi="Times New Roman" w:cs="Times New Roman"/>
          <w:sz w:val="26"/>
          <w:szCs w:val="26"/>
          <w:lang w:val="en-US"/>
        </w:rPr>
        <w:t xml:space="preserve">contains a certain number of municipalities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with each of them represented by data for a defined period </w:t>
      </w:r>
      <w:r w:rsidRPr="003A061D">
        <w:rPr>
          <w:rFonts w:ascii="Times New Roman" w:eastAsiaTheme="minorEastAsia" w:hAnsi="Times New Roman" w:cs="Times New Roman"/>
          <w:b/>
          <w:i/>
          <w:sz w:val="26"/>
          <w:szCs w:val="26"/>
          <w:lang w:val="en-US"/>
        </w:rPr>
        <w:t>t</w:t>
      </w:r>
      <w:r w:rsidRPr="003A061D">
        <w:rPr>
          <w:rFonts w:ascii="Times New Roman" w:eastAsiaTheme="minorEastAsia" w:hAnsi="Times New Roman" w:cs="Times New Roman"/>
          <w:sz w:val="26"/>
          <w:szCs w:val="26"/>
          <w:lang w:val="en-US"/>
        </w:rPr>
        <w:t xml:space="preserve"> (in years). The </w:t>
      </w:r>
      <w:r w:rsidRPr="003A061D">
        <w:rPr>
          <w:rFonts w:ascii="Times New Roman" w:eastAsiaTheme="minorEastAsia" w:hAnsi="Times New Roman" w:cs="Times New Roman"/>
          <w:b/>
          <w:i/>
          <w:sz w:val="26"/>
          <w:szCs w:val="26"/>
          <w:lang w:val="en-US"/>
        </w:rPr>
        <w:t xml:space="preserve">M </w:t>
      </w:r>
      <w:r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2551D8"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FB3DFE" w:rsidRPr="00EE2B2E"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EE2B2E"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Pr="00914A2C" w:rsidRDefault="00075B6D" w:rsidP="00F6712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 xml:space="preserve">This indicates the prevalence of population </w:t>
      </w:r>
      <w:r w:rsidRPr="009A206D">
        <w:rPr>
          <w:rFonts w:ascii="Times New Roman" w:hAnsi="Times New Roman" w:cs="Times New Roman"/>
          <w:sz w:val="26"/>
          <w:szCs w:val="26"/>
          <w:lang w:val="en-US"/>
        </w:rPr>
        <w:lastRenderedPageBreak/>
        <w:t>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3A061D" w:rsidRPr="009E3C9C" w:rsidRDefault="004E3C69" w:rsidP="009E3C9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xml:space="preserve">, while the </w:t>
      </w:r>
      <w:r w:rsidRPr="00914A2C">
        <w:rPr>
          <w:rFonts w:ascii="Times New Roman" w:eastAsiaTheme="minorEastAsia" w:hAnsi="Times New Roman" w:cs="Times New Roman"/>
          <w:sz w:val="26"/>
          <w:szCs w:val="26"/>
          <w:lang w:val="en-US"/>
        </w:rPr>
        <w:lastRenderedPageBreak/>
        <w:t>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3A061D" w:rsidRDefault="0052337D" w:rsidP="004751D1">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t>
      </w: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 xml:space="preserve">Таблица 1. Отобранные примеры для исследования </w:t>
      </w:r>
    </w:p>
    <w:tbl>
      <w:tblPr>
        <w:tblW w:w="9640" w:type="dxa"/>
        <w:tblInd w:w="-5" w:type="dxa"/>
        <w:tblLook w:val="04A0" w:firstRow="1" w:lastRow="0" w:firstColumn="1" w:lastColumn="0" w:noHBand="0" w:noVBand="1"/>
      </w:tblPr>
      <w:tblGrid>
        <w:gridCol w:w="889"/>
        <w:gridCol w:w="946"/>
        <w:gridCol w:w="612"/>
        <w:gridCol w:w="1380"/>
        <w:gridCol w:w="662"/>
        <w:gridCol w:w="367"/>
        <w:gridCol w:w="909"/>
        <w:gridCol w:w="367"/>
        <w:gridCol w:w="584"/>
        <w:gridCol w:w="514"/>
        <w:gridCol w:w="367"/>
        <w:gridCol w:w="946"/>
        <w:gridCol w:w="1097"/>
      </w:tblGrid>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2551D8"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bookmarkStart w:id="0" w:name="_GoBack"/>
      <w:bookmarkEnd w:id="0"/>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473" w:rsidRDefault="009B3473" w:rsidP="00075B6D">
      <w:pPr>
        <w:spacing w:after="0" w:line="240" w:lineRule="auto"/>
      </w:pPr>
      <w:r>
        <w:separator/>
      </w:r>
    </w:p>
  </w:endnote>
  <w:endnote w:type="continuationSeparator" w:id="0">
    <w:p w:rsidR="009B3473" w:rsidRDefault="009B3473"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473" w:rsidRDefault="009B3473" w:rsidP="00075B6D">
      <w:pPr>
        <w:spacing w:after="0" w:line="240" w:lineRule="auto"/>
      </w:pPr>
      <w:r>
        <w:separator/>
      </w:r>
    </w:p>
  </w:footnote>
  <w:footnote w:type="continuationSeparator" w:id="0">
    <w:p w:rsidR="009B3473" w:rsidRDefault="009B3473"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10321"/>
    <w:rsid w:val="0001228F"/>
    <w:rsid w:val="000436AB"/>
    <w:rsid w:val="00075B6D"/>
    <w:rsid w:val="00085CA1"/>
    <w:rsid w:val="00094DF8"/>
    <w:rsid w:val="000A3BCB"/>
    <w:rsid w:val="000C3E33"/>
    <w:rsid w:val="000D2430"/>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E0BAA"/>
    <w:rsid w:val="001F065B"/>
    <w:rsid w:val="0020399C"/>
    <w:rsid w:val="00232D25"/>
    <w:rsid w:val="002333A8"/>
    <w:rsid w:val="002509FC"/>
    <w:rsid w:val="00254189"/>
    <w:rsid w:val="00254FAA"/>
    <w:rsid w:val="002551D8"/>
    <w:rsid w:val="00274B12"/>
    <w:rsid w:val="002853A0"/>
    <w:rsid w:val="002963F7"/>
    <w:rsid w:val="00296652"/>
    <w:rsid w:val="002B350E"/>
    <w:rsid w:val="002E46F7"/>
    <w:rsid w:val="002E532A"/>
    <w:rsid w:val="00314E00"/>
    <w:rsid w:val="003178A0"/>
    <w:rsid w:val="00334D61"/>
    <w:rsid w:val="00345028"/>
    <w:rsid w:val="00352DFF"/>
    <w:rsid w:val="003A061D"/>
    <w:rsid w:val="003B09A6"/>
    <w:rsid w:val="003D2B7B"/>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2337D"/>
    <w:rsid w:val="0052356F"/>
    <w:rsid w:val="00531C53"/>
    <w:rsid w:val="0054680D"/>
    <w:rsid w:val="0055432A"/>
    <w:rsid w:val="00560666"/>
    <w:rsid w:val="00596C91"/>
    <w:rsid w:val="005B4AF7"/>
    <w:rsid w:val="005C271F"/>
    <w:rsid w:val="005C57D3"/>
    <w:rsid w:val="005D0BA0"/>
    <w:rsid w:val="005D2C08"/>
    <w:rsid w:val="005E5F29"/>
    <w:rsid w:val="005F07E0"/>
    <w:rsid w:val="00630B3A"/>
    <w:rsid w:val="00647880"/>
    <w:rsid w:val="00650728"/>
    <w:rsid w:val="00665640"/>
    <w:rsid w:val="006669A3"/>
    <w:rsid w:val="00671654"/>
    <w:rsid w:val="00683808"/>
    <w:rsid w:val="00685B15"/>
    <w:rsid w:val="006A1ADF"/>
    <w:rsid w:val="006A54BB"/>
    <w:rsid w:val="006A5D3B"/>
    <w:rsid w:val="006B39E8"/>
    <w:rsid w:val="006C0F4D"/>
    <w:rsid w:val="006D0019"/>
    <w:rsid w:val="007116CC"/>
    <w:rsid w:val="00716CF6"/>
    <w:rsid w:val="00750E2B"/>
    <w:rsid w:val="007665D2"/>
    <w:rsid w:val="00773EBE"/>
    <w:rsid w:val="00781C27"/>
    <w:rsid w:val="00797D96"/>
    <w:rsid w:val="007A3D89"/>
    <w:rsid w:val="007B5D69"/>
    <w:rsid w:val="008547DF"/>
    <w:rsid w:val="00870367"/>
    <w:rsid w:val="00877D59"/>
    <w:rsid w:val="00891E1B"/>
    <w:rsid w:val="0090104F"/>
    <w:rsid w:val="009017C2"/>
    <w:rsid w:val="009143BD"/>
    <w:rsid w:val="00914A2C"/>
    <w:rsid w:val="0092122D"/>
    <w:rsid w:val="00955C1D"/>
    <w:rsid w:val="00964999"/>
    <w:rsid w:val="00970EEF"/>
    <w:rsid w:val="00974AE2"/>
    <w:rsid w:val="00986B4D"/>
    <w:rsid w:val="00987414"/>
    <w:rsid w:val="009A0F89"/>
    <w:rsid w:val="009A206D"/>
    <w:rsid w:val="009A3CD2"/>
    <w:rsid w:val="009A7B50"/>
    <w:rsid w:val="009B3473"/>
    <w:rsid w:val="009C7A30"/>
    <w:rsid w:val="009D0DED"/>
    <w:rsid w:val="009E3C04"/>
    <w:rsid w:val="009E3C9C"/>
    <w:rsid w:val="009F007C"/>
    <w:rsid w:val="009F7444"/>
    <w:rsid w:val="00A06716"/>
    <w:rsid w:val="00A24093"/>
    <w:rsid w:val="00A263BA"/>
    <w:rsid w:val="00A27B83"/>
    <w:rsid w:val="00A85844"/>
    <w:rsid w:val="00A86603"/>
    <w:rsid w:val="00A937AA"/>
    <w:rsid w:val="00AA38FB"/>
    <w:rsid w:val="00AA55AD"/>
    <w:rsid w:val="00AA6940"/>
    <w:rsid w:val="00AA7AF0"/>
    <w:rsid w:val="00AB5CC8"/>
    <w:rsid w:val="00AE10D7"/>
    <w:rsid w:val="00AE1149"/>
    <w:rsid w:val="00B0087E"/>
    <w:rsid w:val="00B1711A"/>
    <w:rsid w:val="00B27645"/>
    <w:rsid w:val="00B4004C"/>
    <w:rsid w:val="00B56823"/>
    <w:rsid w:val="00B65EC3"/>
    <w:rsid w:val="00B760CD"/>
    <w:rsid w:val="00B83E7F"/>
    <w:rsid w:val="00BA172C"/>
    <w:rsid w:val="00BD4F22"/>
    <w:rsid w:val="00BE284D"/>
    <w:rsid w:val="00C25934"/>
    <w:rsid w:val="00C43424"/>
    <w:rsid w:val="00C46B91"/>
    <w:rsid w:val="00C7167C"/>
    <w:rsid w:val="00CD0784"/>
    <w:rsid w:val="00CD3B30"/>
    <w:rsid w:val="00CE4AEA"/>
    <w:rsid w:val="00CF6975"/>
    <w:rsid w:val="00D053F5"/>
    <w:rsid w:val="00D41AAD"/>
    <w:rsid w:val="00D5012C"/>
    <w:rsid w:val="00D521DE"/>
    <w:rsid w:val="00D91437"/>
    <w:rsid w:val="00DB0736"/>
    <w:rsid w:val="00DD0815"/>
    <w:rsid w:val="00DD6E3A"/>
    <w:rsid w:val="00DE079E"/>
    <w:rsid w:val="00DE4CE9"/>
    <w:rsid w:val="00DF2071"/>
    <w:rsid w:val="00DF2907"/>
    <w:rsid w:val="00E21279"/>
    <w:rsid w:val="00E51194"/>
    <w:rsid w:val="00E75502"/>
    <w:rsid w:val="00E81CC9"/>
    <w:rsid w:val="00E8639A"/>
    <w:rsid w:val="00E92311"/>
    <w:rsid w:val="00EB4E14"/>
    <w:rsid w:val="00EC2ACD"/>
    <w:rsid w:val="00ED24E2"/>
    <w:rsid w:val="00EE2B2E"/>
    <w:rsid w:val="00EE60E0"/>
    <w:rsid w:val="00EF389A"/>
    <w:rsid w:val="00F12E3F"/>
    <w:rsid w:val="00F2215A"/>
    <w:rsid w:val="00F31359"/>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A4B4"/>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4B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1</Pages>
  <Words>3088</Words>
  <Characters>17604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107</cp:revision>
  <dcterms:created xsi:type="dcterms:W3CDTF">2025-03-31T05:44:00Z</dcterms:created>
  <dcterms:modified xsi:type="dcterms:W3CDTF">2025-04-17T13:57:00Z</dcterms:modified>
</cp:coreProperties>
</file>