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2" w:rsidRPr="00AE1149" w:rsidRDefault="009A7B50" w:rsidP="009A7B5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Исходный набор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D0DED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>состоит из некоторого числа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каждая из которых 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представлена данными </w:t>
      </w:r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за определенный промежуток времени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</w:rPr>
          <m:t>t</m:t>
        </m:r>
      </m:oMath>
      <w:r w:rsidR="001B12A2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E7550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F76DD9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F76DD9" w:rsidRPr="00AE1149">
        <w:rPr>
          <w:rFonts w:ascii="Times New Roman" w:eastAsiaTheme="minorEastAsia" w:hAnsi="Times New Roman" w:cs="Times New Roman"/>
          <w:sz w:val="26"/>
          <w:szCs w:val="26"/>
        </w:rPr>
        <w:t>следует выразить как кортеж следующего вида:</w:t>
      </w:r>
    </w:p>
    <w:p w:rsidR="00E92311" w:rsidRPr="00AE1149" w:rsidRDefault="00274B12" w:rsidP="00E92311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</m:t>
        </m:r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E92311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6D0019" w:rsidRPr="00AE1149" w:rsidRDefault="00486AD6" w:rsidP="0046732D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является социально-экономическим состоянием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Все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>состояни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являются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неотъемлемой частью набора данных</w:t>
      </w:r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D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="009D0DE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D0019" w:rsidRPr="00AE1149" w:rsidRDefault="00B1711A" w:rsidP="00B1711A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B760C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есть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упорядоченны</w:t>
      </w:r>
      <w:r w:rsidR="0092122D" w:rsidRPr="00AE1149">
        <w:rPr>
          <w:rFonts w:ascii="Times New Roman" w:eastAsiaTheme="minorEastAsia" w:hAnsi="Times New Roman" w:cs="Times New Roman"/>
          <w:sz w:val="26"/>
          <w:szCs w:val="26"/>
        </w:rPr>
        <w:t>й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набор социально-экономических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индикаторов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, также представляющим собой кортеж вида:</w:t>
      </w:r>
    </w:p>
    <w:p w:rsidR="00274B12" w:rsidRPr="00AE1149" w:rsidRDefault="00DE4CE9" w:rsidP="00B1711A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e>
        </m:d>
      </m:oMath>
      <w:r w:rsidR="00B1711A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F12E3F" w:rsidRPr="00AE1149" w:rsidRDefault="00B1711A" w:rsidP="00877D59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это определенн</w:t>
      </w:r>
      <w:r w:rsidR="00560666" w:rsidRPr="00AE1149">
        <w:rPr>
          <w:rFonts w:ascii="Times New Roman" w:eastAsiaTheme="minorEastAsia" w:hAnsi="Times New Roman" w:cs="Times New Roman"/>
          <w:sz w:val="26"/>
          <w:szCs w:val="26"/>
        </w:rPr>
        <w:t>ый</w:t>
      </w:r>
      <w:r w:rsidR="008547DF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социально-экономическ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ий индикатор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0104F" w:rsidRPr="00AE1149" w:rsidRDefault="00773EBE" w:rsidP="00877D59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Каждое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2122D" w:rsidRPr="00AE1149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470832" w:rsidRPr="00AE1149">
        <w:rPr>
          <w:rFonts w:ascii="Times New Roman" w:eastAsiaTheme="minorEastAsia" w:hAnsi="Times New Roman" w:cs="Times New Roman"/>
          <w:sz w:val="26"/>
          <w:szCs w:val="26"/>
        </w:rPr>
        <w:t>сопровождается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некоторым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миграционн</w:t>
      </w:r>
      <w:r w:rsidR="00974AE2" w:rsidRPr="00AE1149">
        <w:rPr>
          <w:rFonts w:ascii="Times New Roman" w:eastAsiaTheme="minorEastAsia" w:hAnsi="Times New Roman" w:cs="Times New Roman"/>
          <w:sz w:val="26"/>
          <w:szCs w:val="26"/>
        </w:rPr>
        <w:t>ым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сальдо </w:t>
      </w:r>
      <w:r w:rsidR="00877D59"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 которое вычисляется как</w:t>
      </w:r>
      <w:r w:rsidR="00DD0815"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877D59" w:rsidRPr="00AE1149" w:rsidRDefault="00DD0815" w:rsidP="00877D59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inflow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outflow</m:t>
        </m:r>
      </m:oMath>
      <w:r w:rsidR="00877D59" w:rsidRPr="00AE1149">
        <w:rPr>
          <w:rFonts w:ascii="Times New Roman" w:eastAsiaTheme="minorEastAsia" w:hAnsi="Times New Roman" w:cs="Times New Roman"/>
          <w:sz w:val="26"/>
          <w:szCs w:val="26"/>
        </w:rPr>
        <w:t>,</w:t>
      </w:r>
    </w:p>
    <w:p w:rsidR="00296652" w:rsidRPr="00AE1149" w:rsidRDefault="00DD0815" w:rsidP="00DD0815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количество прибывших людей, а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– количество выбывших.</w:t>
      </w:r>
      <w:r w:rsidR="00296652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96652" w:rsidRPr="00AE1149" w:rsidRDefault="00296652" w:rsidP="0029665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При этом делается </w:t>
      </w:r>
      <w:r w:rsidR="00891E1B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обоснованное 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допущение, что значения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Pr="00AE1149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имеют зависимость от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A2409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, что можно представить некоторой функцией миграционной привлекательности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en-US"/>
          </w:rPr>
          <m:t>a</m:t>
        </m:r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:rsidR="00296652" w:rsidRPr="00AE1149" w:rsidRDefault="00A24093" w:rsidP="00296652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>s</m:t>
        </m:r>
      </m:oMath>
      <w:r w:rsidR="00647880"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877D59" w:rsidRPr="00AE1149" w:rsidRDefault="00DD0815" w:rsidP="00DD0815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AE1149">
        <w:rPr>
          <w:rFonts w:ascii="Times New Roman" w:eastAsiaTheme="minorEastAsia" w:hAnsi="Times New Roman" w:cs="Times New Roman"/>
          <w:sz w:val="26"/>
          <w:szCs w:val="26"/>
        </w:rPr>
        <w:t>Соответственно, задача исследования заключается в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разработке </w:t>
      </w:r>
      <w:r w:rsidR="005D0BA0" w:rsidRPr="00AE1149">
        <w:rPr>
          <w:rFonts w:ascii="Times New Roman" w:eastAsiaTheme="minorEastAsia" w:hAnsi="Times New Roman" w:cs="Times New Roman"/>
          <w:sz w:val="26"/>
          <w:szCs w:val="26"/>
        </w:rPr>
        <w:t xml:space="preserve">метода </w:t>
      </w:r>
      <w:r w:rsidR="00A27B83" w:rsidRPr="00AE1149">
        <w:rPr>
          <w:rFonts w:ascii="Times New Roman" w:eastAsiaTheme="minorEastAsia" w:hAnsi="Times New Roman" w:cs="Times New Roman"/>
          <w:sz w:val="26"/>
          <w:szCs w:val="26"/>
        </w:rPr>
        <w:t>определения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необходимого вектора изменений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AE1149">
        <w:rPr>
          <w:rFonts w:ascii="Times New Roman" w:eastAsiaTheme="minorEastAsia" w:hAnsi="Times New Roman" w:cs="Times New Roman"/>
          <w:sz w:val="26"/>
          <w:szCs w:val="26"/>
        </w:rPr>
        <w:t xml:space="preserve"> для потенциального обеспечения миграционной привлекательности, то есть:</w:t>
      </w:r>
    </w:p>
    <w:p w:rsidR="008547DF" w:rsidRPr="00AE1149" w:rsidRDefault="00A24093" w:rsidP="008547DF">
      <w:pPr>
        <w:ind w:left="-567" w:firstLine="567"/>
        <w:jc w:val="both"/>
        <w:rPr>
          <w:rFonts w:eastAsiaTheme="minorEastAsia"/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или </m:t>
          </m:r>
          <m:r>
            <w:rPr>
              <w:rFonts w:ascii="Cambria Math" w:hAnsi="Cambria Math"/>
              <w:sz w:val="26"/>
              <w:szCs w:val="26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AE1149" w:rsidRPr="00AE1149" w:rsidRDefault="00AE1149" w:rsidP="00AE1149">
      <w:pPr>
        <w:jc w:val="both"/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……..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Кластеризация.</w:t>
      </w:r>
    </w:p>
    <w:p w:rsidR="00AE1149" w:rsidRDefault="00AE1149" w:rsidP="00AE1149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…</w:t>
      </w:r>
    </w:p>
    <w:p w:rsidR="00AE1149" w:rsidRPr="00E81CC9" w:rsidRDefault="00AE1149" w:rsidP="00AE1149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После кластеризации набора данных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на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AE114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кластеров, </w:t>
      </w:r>
      <w:r w:rsidR="005C271F">
        <w:rPr>
          <w:rFonts w:ascii="Times New Roman" w:hAnsi="Times New Roman" w:cs="Times New Roman"/>
          <w:sz w:val="26"/>
          <w:szCs w:val="26"/>
        </w:rPr>
        <w:t>возникает</w:t>
      </w:r>
      <w:r>
        <w:rPr>
          <w:rFonts w:ascii="Times New Roman" w:hAnsi="Times New Roman" w:cs="Times New Roman"/>
          <w:sz w:val="26"/>
          <w:szCs w:val="26"/>
        </w:rPr>
        <w:t xml:space="preserve"> возможность оценить как медианное значение миграционного сальдо </w:t>
      </w:r>
      <w:r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AE1149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так и долю примеров с отрицательным и положительным </w:t>
      </w:r>
      <w:r w:rsidR="005C271F">
        <w:rPr>
          <w:rFonts w:ascii="Times New Roman" w:hAnsi="Times New Roman" w:cs="Times New Roman"/>
          <w:sz w:val="26"/>
          <w:szCs w:val="26"/>
        </w:rPr>
        <w:t>сальдо</w:t>
      </w:r>
      <w:r w:rsidRPr="00AE114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 каждом кластере.</w:t>
      </w:r>
    </w:p>
    <w:p w:rsidR="00AE1149" w:rsidRDefault="00AE1149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рисунк</w:t>
      </w:r>
      <w:r w:rsidR="00BE284D">
        <w:rPr>
          <w:rFonts w:ascii="Times New Roman" w:hAnsi="Times New Roman" w:cs="Times New Roman"/>
          <w:sz w:val="26"/>
          <w:szCs w:val="26"/>
        </w:rPr>
        <w:t>е 1</w:t>
      </w:r>
      <w:r w:rsidR="002963F7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BE284D">
        <w:rPr>
          <w:rFonts w:ascii="Times New Roman" w:hAnsi="Times New Roman" w:cs="Times New Roman"/>
          <w:sz w:val="26"/>
          <w:szCs w:val="26"/>
        </w:rPr>
        <w:t xml:space="preserve"> на боксплот графике </w:t>
      </w:r>
      <w:r>
        <w:rPr>
          <w:rFonts w:ascii="Times New Roman" w:hAnsi="Times New Roman" w:cs="Times New Roman"/>
          <w:sz w:val="26"/>
          <w:szCs w:val="26"/>
        </w:rPr>
        <w:t>видно, что нет ни одного кластера, имеющего положительную медиану</w:t>
      </w:r>
      <w:r w:rsidR="001A00E4">
        <w:rPr>
          <w:rFonts w:ascii="Times New Roman" w:hAnsi="Times New Roman" w:cs="Times New Roman"/>
          <w:sz w:val="26"/>
          <w:szCs w:val="26"/>
        </w:rPr>
        <w:t xml:space="preserve"> (разделительная линия на блоке)</w:t>
      </w:r>
      <w:r>
        <w:rPr>
          <w:rFonts w:ascii="Times New Roman" w:hAnsi="Times New Roman" w:cs="Times New Roman"/>
          <w:sz w:val="26"/>
          <w:szCs w:val="26"/>
        </w:rPr>
        <w:t xml:space="preserve"> для миграционного сальдо, </w:t>
      </w:r>
      <w:r>
        <w:rPr>
          <w:rFonts w:ascii="Times New Roman" w:hAnsi="Times New Roman" w:cs="Times New Roman"/>
          <w:sz w:val="26"/>
          <w:szCs w:val="26"/>
        </w:rPr>
        <w:lastRenderedPageBreak/>
        <w:t>что, несомненно, говорит о превалировании тенденции оттока</w:t>
      </w:r>
      <w:r w:rsidR="00F67128">
        <w:rPr>
          <w:rFonts w:ascii="Times New Roman" w:hAnsi="Times New Roman" w:cs="Times New Roman"/>
          <w:sz w:val="26"/>
          <w:szCs w:val="26"/>
        </w:rPr>
        <w:t xml:space="preserve"> населения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E284D">
        <w:rPr>
          <w:rFonts w:ascii="Times New Roman" w:hAnsi="Times New Roman" w:cs="Times New Roman"/>
          <w:sz w:val="26"/>
          <w:szCs w:val="26"/>
        </w:rPr>
        <w:t>при</w:t>
      </w:r>
      <w:r>
        <w:rPr>
          <w:rFonts w:ascii="Times New Roman" w:hAnsi="Times New Roman" w:cs="Times New Roman"/>
          <w:sz w:val="26"/>
          <w:szCs w:val="26"/>
        </w:rPr>
        <w:t xml:space="preserve"> большинств</w:t>
      </w:r>
      <w:r w:rsidR="00BE284D">
        <w:rPr>
          <w:rFonts w:ascii="Times New Roman" w:hAnsi="Times New Roman" w:cs="Times New Roman"/>
          <w:sz w:val="26"/>
          <w:szCs w:val="26"/>
        </w:rPr>
        <w:t>е</w:t>
      </w:r>
      <w:r w:rsidR="00F67128">
        <w:rPr>
          <w:rFonts w:ascii="Times New Roman" w:hAnsi="Times New Roman" w:cs="Times New Roman"/>
          <w:sz w:val="26"/>
          <w:szCs w:val="26"/>
        </w:rPr>
        <w:t xml:space="preserve">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муниципальных образований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2963F7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2963F7" w:rsidRPr="002963F7">
        <w:rPr>
          <w:rFonts w:ascii="Times New Roman" w:eastAsiaTheme="minorEastAsia" w:hAnsi="Times New Roman" w:cs="Times New Roman"/>
          <w:sz w:val="26"/>
          <w:szCs w:val="26"/>
        </w:rPr>
        <w:t>[???]</w:t>
      </w:r>
      <w:r w:rsidRPr="00AE1149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 xml:space="preserve"> Это также ярко демонстрируется 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на столбчатом графике, котором показаны доли </w:t>
      </w:r>
      <w:r w:rsidR="00F67128">
        <w:rPr>
          <w:rFonts w:ascii="Times New Roman" w:eastAsiaTheme="minorEastAsia" w:hAnsi="Times New Roman" w:cs="Times New Roman"/>
          <w:sz w:val="26"/>
          <w:szCs w:val="26"/>
        </w:rPr>
        <w:t>примеров с отрицательным миграционным сальдо в кластере.</w:t>
      </w:r>
    </w:p>
    <w:p w:rsidR="002963F7" w:rsidRPr="002963F7" w:rsidRDefault="00ED24E2" w:rsidP="002963F7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5pt;height:198.75pt">
            <v:imagedata r:id="rId7" o:title="Снимок3"/>
          </v:shape>
        </w:pict>
      </w:r>
    </w:p>
    <w:p w:rsidR="00E81CC9" w:rsidRPr="00C46B91" w:rsidRDefault="00E81CC9" w:rsidP="00E81CC9">
      <w:pPr>
        <w:spacing w:after="0" w:line="360" w:lineRule="auto"/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Рис</w:t>
      </w:r>
      <w:r w:rsidRP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1. </w:t>
      </w:r>
      <w:r w:rsidR="00C46B91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analysis in each cluster</w:t>
      </w:r>
    </w:p>
    <w:p w:rsidR="00F67128" w:rsidRDefault="00F6712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Однако, рассмотренный столбчатый график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 (рис. 1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>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 в том числе</w:t>
      </w:r>
      <w:r w:rsidR="00075B6D">
        <w:rPr>
          <w:rFonts w:ascii="Times New Roman" w:eastAsiaTheme="minorEastAsia" w:hAnsi="Times New Roman" w:cs="Times New Roman"/>
          <w:sz w:val="26"/>
          <w:szCs w:val="26"/>
        </w:rPr>
        <w:t xml:space="preserve"> демонстрирует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наличие положительных </w:t>
      </w:r>
      <w:r>
        <w:rPr>
          <w:rFonts w:ascii="Times New Roman" w:hAnsi="Times New Roman" w:cs="Times New Roman"/>
          <w:sz w:val="26"/>
          <w:szCs w:val="26"/>
        </w:rPr>
        <w:t xml:space="preserve">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 точки зрения миграционного сальдо </w:t>
      </w:r>
      <w:r w:rsidRPr="00AE1149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. Так, в лучшем случае доля примеров с положительным сальдо составила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 xml:space="preserve">35% в кластере 4, а в худшем </w:t>
      </w:r>
      <w:r w:rsidR="001A00E4" w:rsidRPr="001A00E4">
        <w:rPr>
          <w:rFonts w:ascii="Times New Roman" w:eastAsiaTheme="minorEastAsia" w:hAnsi="Times New Roman" w:cs="Times New Roman"/>
          <w:sz w:val="26"/>
          <w:szCs w:val="26"/>
        </w:rPr>
        <w:t>~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15% в кластере 5</w:t>
      </w:r>
      <w:r w:rsidR="002963F7">
        <w:rPr>
          <w:rFonts w:ascii="Times New Roman" w:eastAsiaTheme="minorEastAsia" w:hAnsi="Times New Roman" w:cs="Times New Roman"/>
          <w:sz w:val="26"/>
          <w:szCs w:val="26"/>
        </w:rPr>
        <w:t xml:space="preserve"> (см. рис. 1б</w:t>
      </w:r>
      <w:r w:rsidR="001A00E4">
        <w:rPr>
          <w:rFonts w:ascii="Times New Roman" w:eastAsiaTheme="minorEastAsia" w:hAnsi="Times New Roman" w:cs="Times New Roman"/>
          <w:sz w:val="26"/>
          <w:szCs w:val="26"/>
        </w:rPr>
        <w:t>).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Таким образом, можно сделать вывод, что, во-первых,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миграционно </w:t>
      </w:r>
      <w:r>
        <w:rPr>
          <w:rFonts w:ascii="Times New Roman" w:eastAsiaTheme="minorEastAsia" w:hAnsi="Times New Roman" w:cs="Times New Roman"/>
          <w:sz w:val="26"/>
          <w:szCs w:val="26"/>
        </w:rPr>
        <w:t>привлекательные</w:t>
      </w:r>
      <w:r w:rsidR="0017274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  <w:lang w:val="en-US"/>
          </w:rPr>
          <m:t>s</m:t>
        </m:r>
        <m:r>
          <w:rPr>
            <w:rFonts w:ascii="Cambria Math" w:hAnsi="Cambria Math"/>
            <w:sz w:val="26"/>
            <w:szCs w:val="26"/>
          </w:rPr>
          <m:t>&gt;0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муниципальные образовани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я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или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01228F">
        <w:rPr>
          <w:rFonts w:ascii="Times New Roman" w:eastAsiaTheme="minorEastAsia" w:hAnsi="Times New Roman" w:cs="Times New Roman"/>
          <w:sz w:val="26"/>
          <w:szCs w:val="26"/>
        </w:rPr>
        <w:t>как минимум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 только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определенны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>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их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существуют в каждом кластере, а, во-вторых, это даёт возможность рассмотреть их с </w:t>
      </w:r>
      <w:r w:rsidR="00094DF8">
        <w:rPr>
          <w:rFonts w:ascii="Times New Roman" w:eastAsiaTheme="minorEastAsia" w:hAnsi="Times New Roman" w:cs="Times New Roman"/>
          <w:sz w:val="26"/>
          <w:szCs w:val="26"/>
        </w:rPr>
        <w:t xml:space="preserve">позиции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разницы </w:t>
      </w:r>
      <w:r w:rsidR="005E5F29">
        <w:rPr>
          <w:rFonts w:ascii="Times New Roman" w:eastAsiaTheme="minorEastAsia" w:hAnsi="Times New Roman" w:cs="Times New Roman"/>
          <w:sz w:val="26"/>
          <w:szCs w:val="26"/>
        </w:rPr>
        <w:t xml:space="preserve">социально-экономических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характеристик их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52DFF" w:rsidRPr="00010321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В свою очередь анализ этого различия является одним из фундаментальных составляющих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достижения поставленной цели, а именно разработк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метода определения вектора развития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987414"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="00987414" w:rsidRPr="00010321">
        <w:rPr>
          <w:rFonts w:ascii="Times New Roman" w:eastAsiaTheme="minorEastAsia" w:hAnsi="Times New Roman" w:cs="Times New Roman"/>
          <w:sz w:val="26"/>
          <w:szCs w:val="26"/>
        </w:rPr>
        <w:t>для обеспечения миграционной привлекательности. Так, этот анализ позволит:</w:t>
      </w:r>
    </w:p>
    <w:p w:rsidR="00987414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значимость отдельных 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>на положительное миграционное сальдо как в целом, так и внутри конкретных кластеров;</w:t>
      </w:r>
    </w:p>
    <w:p w:rsidR="00AA7AF0" w:rsidRPr="00010321" w:rsidRDefault="00AA7AF0" w:rsidP="00AA7AF0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- оценить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наличи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е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устойчивых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поведенческих </w:t>
      </w:r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зависимостей 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элементов (факторов) состояний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EB4E14" w:rsidRPr="00010321">
        <w:rPr>
          <w:rFonts w:ascii="Times New Roman" w:eastAsiaTheme="minorEastAsia" w:hAnsi="Times New Roman" w:cs="Times New Roman"/>
          <w:sz w:val="26"/>
          <w:szCs w:val="26"/>
        </w:rPr>
        <w:t>с т</w:t>
      </w:r>
      <w:r w:rsidR="003D2B7B" w:rsidRPr="00010321">
        <w:rPr>
          <w:rFonts w:ascii="Times New Roman" w:eastAsiaTheme="minorEastAsia" w:hAnsi="Times New Roman" w:cs="Times New Roman"/>
          <w:sz w:val="26"/>
          <w:szCs w:val="26"/>
        </w:rPr>
        <w:t>очки зрения природы их воздействия.</w:t>
      </w:r>
    </w:p>
    <w:p w:rsidR="00352DFF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b/>
          <w:i/>
          <w:sz w:val="26"/>
          <w:szCs w:val="26"/>
        </w:rPr>
        <w:t>Анализ разницы между положительными и отрицательными субкластерами.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Для реализации вышеупомянутого анализа необходимо разделить каждый кластер на два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lastRenderedPageBreak/>
        <w:t>субкластера, а именно «положительный» и «отрицательный». В положительный субкластер входят только те состояния, при которых было зафиксировано миграционное сальдо больше 0, а в отрицательный наоборот.</w:t>
      </w:r>
    </w:p>
    <w:p w:rsidR="00F95178" w:rsidRPr="00010321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Это даёт нам возможность вычислить медианы каждого фактора для этих субкластеров. После этого можно рассчитать насколько фактор в положительном кластере отличается от фактора в отрицательном.</w:t>
      </w:r>
    </w:p>
    <w:p w:rsidR="00F95178" w:rsidRPr="00010321" w:rsidRDefault="00F95178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>Важно отметить, что миграционное сальдо и численность населения не использовались в качестве факторов при кластеризации, то есть кластеры были сформированы алгоритмом к-средних независимо от этих характеристик.</w:t>
      </w:r>
    </w:p>
    <w:p w:rsidR="00A263BA" w:rsidRPr="00010321" w:rsidRDefault="00E8639A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Итак, на диаграмме ниже показаны различия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медиан </w:t>
      </w: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положительного субкластера от отрицательного по всем кластерам для каждого элемента (фактора) состояния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Если значение меньше 0%, то это говорит о том, что этот фактор в отрицательном субкластере больше, нежели в положительном.</w:t>
      </w:r>
    </w:p>
    <w:p w:rsidR="00E8639A" w:rsidRPr="00010321" w:rsidRDefault="00E8639A" w:rsidP="00A263BA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На графике отчётливо наблюдаются 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некоторые зоны синхронного повышения значений и их уменьшения. Эти зоны демонстрируют наиболее значимые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факторы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поскольку во всех кластерах их большее значение ведет к положительному сальдо. К таким признак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ам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относятся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retailturnover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11%)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263BA" w:rsidRPr="00010321">
        <w:rPr>
          <w:rFonts w:ascii="Times New Roman" w:eastAsiaTheme="minorEastAsia" w:hAnsi="Times New Roman" w:cs="Times New Roman"/>
          <w:sz w:val="26"/>
          <w:szCs w:val="26"/>
        </w:rPr>
        <w:t>harvest</w:t>
      </w:r>
      <w:r w:rsidR="002333A8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(сред. разн.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17%)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factoriescap (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сред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>разн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</w:t>
      </w:r>
      <w:r w:rsidR="009A0F89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18%).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>Почти такое же влияния име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>ет фактор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B0087E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разн. 15%), который только в кластере №3 имеет больше значение в отрицательном субкластере (см. рис. 2, фиолетовая линия). Похожая ситуация наблюдается и с 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>avgsalary</w:t>
      </w:r>
      <w:r w:rsidR="00AA55AD" w:rsidRPr="00010321">
        <w:rPr>
          <w:rFonts w:ascii="Times New Roman" w:eastAsiaTheme="minorEastAsia" w:hAnsi="Times New Roman" w:cs="Times New Roman"/>
          <w:sz w:val="26"/>
          <w:szCs w:val="26"/>
        </w:rPr>
        <w:t xml:space="preserve"> (сред. заработная плата), однако, разница небольшая и составляет приблизительно 4%.</w:t>
      </w:r>
    </w:p>
    <w:p w:rsidR="00F95178" w:rsidRPr="00010321" w:rsidRDefault="00ED24E2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pict>
          <v:shape id="_x0000_i1026" type="#_x0000_t75" style="width:467.25pt;height:254.25pt">
            <v:imagedata r:id="rId8" o:title="11"/>
          </v:shape>
        </w:pict>
      </w:r>
    </w:p>
    <w:p w:rsidR="0052356F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Также серьезный интерес вызывает разница между положительным и отрицательным субкластером по факторам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beforeschool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и 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«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hospitals</w:t>
      </w:r>
      <w:r w:rsidR="00683808" w:rsidRPr="00914A2C">
        <w:rPr>
          <w:rFonts w:ascii="Times New Roman" w:eastAsiaTheme="minorEastAsia" w:hAnsi="Times New Roman" w:cs="Times New Roman"/>
          <w:sz w:val="26"/>
          <w:szCs w:val="26"/>
        </w:rPr>
        <w:t>»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. На графике видно, что в 5, 4 и 0 кластере данные факторы в среднем имеют большее значение в отрицательном субкластере, то есть наблюдается большая миграция при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низких значениях этих факторов. </w:t>
      </w:r>
    </w:p>
    <w:p w:rsidR="00010321" w:rsidRPr="00914A2C" w:rsidRDefault="00EE2B2E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На первый взгляд этот результат может показаться противоречивым. Однако, одним из главных объяснений может являться разный тип миграции [111], который наблюдается в кластерах. </w:t>
      </w:r>
      <w:r w:rsidR="0052356F" w:rsidRPr="00914A2C">
        <w:rPr>
          <w:rFonts w:ascii="Times New Roman" w:eastAsiaTheme="minorEastAsia" w:hAnsi="Times New Roman" w:cs="Times New Roman"/>
          <w:sz w:val="26"/>
          <w:szCs w:val="26"/>
        </w:rPr>
        <w:t>Так, в РФ сильно превалирует молодежная миграция (когорта 15-19), которая переезжает в целях учёбы [111]. Несомненно, молодое поколение также мигрирует и в расчете карьерных перспектив. Таким образом, для молодых возрастных групп, не имеющих детей, здравоохранение и дошкольные организации не являются важными факторами при принятии решения о переезде.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Однако, в эти кластеры (5, 4 и 0) характеризуются высоким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значени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ями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foodseats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retaliturnover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,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harvest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agrprod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livestock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что также согласуется с интересами молодежной и рабочей миграции.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2356F" w:rsidRPr="00914A2C" w:rsidRDefault="0052356F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При этом в РФ 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>ярко наблюдается</w:t>
      </w: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тенденция миграции людей с 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детьми дошкольного возраста, а также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так называемая пенсионная миграция [111]. Обратите внимание на красную, зеленую и фиолетовую линию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графика</w:t>
      </w:r>
      <w:r w:rsidR="00D91437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(см. рис. 2, кластеры 1, 2 и 3), которые вероятн</w:t>
      </w:r>
      <w:r w:rsidR="00CD3B30" w:rsidRPr="00914A2C">
        <w:rPr>
          <w:rFonts w:ascii="Times New Roman" w:eastAsiaTheme="minorEastAsia" w:hAnsi="Times New Roman" w:cs="Times New Roman"/>
          <w:sz w:val="26"/>
          <w:szCs w:val="26"/>
        </w:rPr>
        <w:t>ее всего отражают эту тенденцию, то есть в этих случаях количество мест в дошкольных организациях и количество лечебных организаций играет существенную роль при миграции. Также эти 3 кластера характеризуются положительной миграцией в факторе спортивных сооружений (sportsvenue), что даёт возможность устроить детей на какие-либо спортивные секции.</w:t>
      </w:r>
    </w:p>
    <w:p w:rsidR="00CD3B30" w:rsidRPr="00914A2C" w:rsidRDefault="00CD3B30" w:rsidP="0052356F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 xml:space="preserve">Таким образом, полученная разница по отдельным факторам вполне может объясняться различным типом миграции, которая наблюдается в стране [111]. Однако, нельзя также исключать, например, причину с точки зрения качества, а не количества. </w:t>
      </w:r>
    </w:p>
    <w:p w:rsidR="00E8639A" w:rsidRPr="00914A2C" w:rsidRDefault="00CD3B30" w:rsidP="00F9517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</w:rPr>
        <w:t>Следует еще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 xml:space="preserve"> отметить, что хоть численность населения и не учувствовала в процессе кластеризации, при её рассмотрении она тоже является сильным признаком, то есть медианное значение в положительном субкластере во всех случаях больше, чем в отрицательном (см. рис. 2). Этот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результат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согласуется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с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гравитационной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территорией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миграционных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</w:rPr>
        <w:t>потоков</w:t>
      </w:r>
      <w:r w:rsidR="00AA55A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[???].</w:t>
      </w:r>
    </w:p>
    <w:p w:rsidR="00EE2B2E" w:rsidRPr="00EE2B2E" w:rsidRDefault="00EE2B2E" w:rsidP="00EE2B2E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 xml:space="preserve">[111] </w:t>
      </w:r>
      <w:r w:rsidRPr="00010321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Karachurina, L.B., Mkrtchyan, N.V. To the City or to the Suburbs: What Russians Choose at Different Stages of Life Course.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Reg. Res. Russ. 14 (Suppl 1), S55–S66 (2024). https://doi.org/10.1134/S2079970524600689</w:t>
      </w:r>
    </w:p>
    <w:p w:rsidR="00F95178" w:rsidRDefault="00F9517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C7167C" w:rsidRDefault="006B39E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>Помимо кластерного анализа, позволившего идентифицировать как разницу социально-экономического состояния в отдельных суб-кластерах, так и степень их вероятного влияния на мигр</w:t>
      </w:r>
      <w:bookmarkStart w:id="0" w:name="_GoBack"/>
      <w:bookmarkEnd w:id="0"/>
      <w:r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ационные потоки, возникает возможность косвенной оценки, подтверждения этих данных на основе модели прогнозирования миграции. </w:t>
      </w:r>
    </w:p>
    <w:p w:rsidR="006B39E8" w:rsidRPr="00B27645" w:rsidRDefault="006B39E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  <w:r w:rsidRPr="00B27645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Таким образом, </w:t>
      </w:r>
      <w:r w:rsidR="009143BD" w:rsidRPr="00B27645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зная социально-экономического состояние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="009143BD" w:rsidRPr="00B27645">
        <w:rPr>
          <w:rFonts w:ascii="Times New Roman" w:eastAsiaTheme="minorEastAsia" w:hAnsi="Times New Roman" w:cs="Times New Roman"/>
          <w:b/>
          <w:color w:val="FF0000"/>
          <w:sz w:val="26"/>
          <w:szCs w:val="26"/>
        </w:rPr>
        <w:t xml:space="preserve"> </w:t>
      </w:r>
      <w:r w:rsidR="009143BD" w:rsidRPr="00B27645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i</m:t>
            </m:r>
          </m:sub>
        </m:sSub>
      </m:oMath>
      <w:r w:rsidR="00B27645" w:rsidRPr="00B27645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а также миграционное сальдо в момент времени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1</m:t>
        </m:r>
      </m:oMath>
      <w:r w:rsidR="00B27645" w:rsidRPr="00B27645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, можно выполнять прогнозирование миграционного сальдо на год вперед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</w:rPr>
          <m:t>+</m:t>
        </m:r>
        <m:r>
          <m:rPr>
            <m:sty m:val="bi"/>
          </m:rPr>
          <w:rPr>
            <w:rFonts w:ascii="Cambria Math" w:hAnsi="Cambria Math" w:cs="Times New Roman"/>
            <w:color w:val="FF0000"/>
            <w:sz w:val="26"/>
            <w:szCs w:val="26"/>
            <w:lang w:val="en-US"/>
          </w:rPr>
          <m:t>1</m:t>
        </m:r>
      </m:oMath>
      <w:r w:rsidR="00B27645" w:rsidRPr="00B27645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 при </w:t>
      </w:r>
      <w:r w:rsidR="00B27645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состоянии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FF0000"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="00B27645">
        <w:rPr>
          <w:rFonts w:ascii="Times New Roman" w:eastAsiaTheme="minorEastAsia" w:hAnsi="Times New Roman" w:cs="Times New Roman"/>
          <w:color w:val="FF0000"/>
          <w:sz w:val="26"/>
          <w:szCs w:val="26"/>
        </w:rPr>
        <w:t xml:space="preserve">. </w:t>
      </w:r>
    </w:p>
    <w:p w:rsidR="006B39E8" w:rsidRPr="006B39E8" w:rsidRDefault="006B39E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p w:rsidR="006B39E8" w:rsidRPr="006B39E8" w:rsidRDefault="006B39E8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</w:rPr>
      </w:pPr>
    </w:p>
    <w:tbl>
      <w:tblPr>
        <w:tblW w:w="10304" w:type="dxa"/>
        <w:tblInd w:w="-714" w:type="dxa"/>
        <w:tblLook w:val="04A0" w:firstRow="1" w:lastRow="0" w:firstColumn="1" w:lastColumn="0" w:noHBand="0" w:noVBand="1"/>
      </w:tblPr>
      <w:tblGrid>
        <w:gridCol w:w="948"/>
        <w:gridCol w:w="948"/>
        <w:gridCol w:w="581"/>
        <w:gridCol w:w="1590"/>
        <w:gridCol w:w="567"/>
        <w:gridCol w:w="367"/>
        <w:gridCol w:w="1082"/>
        <w:gridCol w:w="367"/>
        <w:gridCol w:w="751"/>
        <w:gridCol w:w="555"/>
        <w:gridCol w:w="367"/>
        <w:gridCol w:w="1049"/>
        <w:gridCol w:w="1132"/>
      </w:tblGrid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367" w:rsidRPr="00870367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oktmo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year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name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clust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ind w:right="2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ind w:right="2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f5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ind w:right="2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55432A">
            <w:pPr>
              <w:spacing w:after="0" w:line="240" w:lineRule="auto"/>
              <w:ind w:right="2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f8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630B3A" w:rsidRDefault="00870367" w:rsidP="00630B3A">
            <w:pPr>
              <w:spacing w:after="0" w:line="240" w:lineRule="auto"/>
              <w:ind w:right="2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f9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ind w:right="2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55432A">
            <w:pPr>
              <w:spacing w:after="0" w:line="240" w:lineRule="auto"/>
              <w:ind w:right="2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f15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ind w:right="2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net</w:t>
            </w: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mig</w:t>
            </w: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 (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next</w:t>
            </w: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year</w:t>
            </w:r>
            <w:r w:rsidRPr="00496AD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)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87036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real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22719000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Воротынский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729883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955C1D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630B3A" w:rsidRDefault="00870367" w:rsidP="00630B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39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236233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-140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87036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changed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22719000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Воротынский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1094086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9F7444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78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630B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39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ED24E2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5013077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ED24E2" w:rsidRDefault="00870367" w:rsidP="005543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-73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87036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real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3639000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Павловский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2824761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9F7444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25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55432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12405299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-476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87036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changed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3639000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2019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ED24E2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Павловский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496AD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1094086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9F7444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D24E2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30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55432A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12405299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-476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87036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real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F74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1625000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F74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Локтевский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573514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60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28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828015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-294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87036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changed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F74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1625000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F74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Локтевский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786293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71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28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3002048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-112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87036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real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9F7444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F74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60730000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9F7444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F74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Новошахтинск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3389505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249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22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5939939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496ADA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-429</w:t>
            </w:r>
          </w:p>
        </w:tc>
      </w:tr>
      <w:tr w:rsidR="00870367" w:rsidRPr="00496ADA" w:rsidTr="00870367">
        <w:trPr>
          <w:trHeight w:val="300"/>
        </w:trPr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</w:pPr>
            <w:r w:rsidRPr="00870367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val="en-US" w:eastAsia="ru-RU"/>
              </w:rPr>
              <w:t>changed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9F7444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9F74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60730000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2021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Pr="0020399C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 w:rsidRPr="009F744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Новошахтинск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3389505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249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26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…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5939939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0367" w:rsidRPr="0020399C" w:rsidRDefault="00870367" w:rsidP="008703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 w:eastAsia="ru-RU"/>
              </w:rPr>
              <w:t>-200</w:t>
            </w:r>
          </w:p>
        </w:tc>
      </w:tr>
    </w:tbl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496ADA" w:rsidRPr="00EE2B2E" w:rsidRDefault="00496ADA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9E3C9C" w:rsidRPr="003A061D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 general dataset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D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contains a certain number of municipalities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with each of them represented by data for a defined period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t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(in years). The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M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may be described as a tuple: </w:t>
      </w:r>
    </w:p>
    <w:p w:rsidR="009E3C9C" w:rsidRPr="003A061D" w:rsidRDefault="009E3C9C" w:rsidP="009E3C9C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M=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en-US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 </m:t>
            </m:r>
          </m:e>
        </m:d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</w:p>
    <w:p w:rsidR="009E3C9C" w:rsidRPr="003A061D" w:rsidRDefault="009E3C9C" w:rsidP="009E3C9C">
      <w:pPr>
        <w:spacing w:after="0" w:line="360" w:lineRule="auto"/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is the socio-economic state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during time period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All states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M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are examples of dataset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en-US"/>
          </w:rPr>
          <m:t>∈D.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</w:p>
    <w:p w:rsidR="009E3C9C" w:rsidRPr="003A061D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Additionally,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3A061D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an ordered set of socio-economic indicators that define a particular state of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M,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and also can be represented as a tuple:</w:t>
      </w:r>
    </w:p>
    <w:p w:rsidR="009E3C9C" w:rsidRPr="003A061D" w:rsidRDefault="00DE4CE9" w:rsidP="009E3C9C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 xml:space="preserve"> </m:t>
            </m:r>
          </m:e>
        </m:d>
      </m:oMath>
      <w:r w:rsidR="009E3C9C"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</w:p>
    <w:p w:rsidR="009E3C9C" w:rsidRPr="003A061D" w:rsidRDefault="009E3C9C" w:rsidP="009E3C9C">
      <w:pPr>
        <w:spacing w:after="0" w:line="360" w:lineRule="auto"/>
        <w:ind w:left="-567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i</m:t>
            </m:r>
          </m:sub>
        </m:sSub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is a specific socio-economic indicator.</w:t>
      </w:r>
    </w:p>
    <w:p w:rsidR="009E3C9C" w:rsidRPr="003A061D" w:rsidRDefault="009E3C9C" w:rsidP="009E3C9C">
      <w:pPr>
        <w:spacing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Each state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3A061D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characterised by a certain net migration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s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, which could be calculated as follows:</w:t>
      </w:r>
    </w:p>
    <w:p w:rsidR="009E3C9C" w:rsidRPr="003A061D" w:rsidRDefault="009E3C9C" w:rsidP="009E3C9C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 w:cs="Times New Roman"/>
            <w:sz w:val="26"/>
            <w:szCs w:val="26"/>
            <w:lang w:val="en-US"/>
          </w:rPr>
          <m:t>s=inflow-outflow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</w:p>
    <w:p w:rsidR="009E3C9C" w:rsidRPr="003A061D" w:rsidRDefault="009E3C9C" w:rsidP="009E3C9C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where </w:t>
      </w:r>
      <w:r w:rsidRPr="003A061D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inflow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number of people entering the area, </w:t>
      </w:r>
      <w:r w:rsidRPr="003A061D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>outflow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– number of people leaving the area. </w:t>
      </w:r>
    </w:p>
    <w:p w:rsidR="009E3C9C" w:rsidRPr="003A061D" w:rsidRDefault="009E3C9C" w:rsidP="009E3C9C">
      <w:pPr>
        <w:ind w:left="-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9E3C9C" w:rsidRPr="003A061D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It is possible to make fair assumption [???] that the number of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inflows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and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outflows 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depends on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, which can be described by a certain function of migration attractiveness </w:t>
      </w:r>
      <w:r w:rsidRPr="003A061D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mig</w:t>
      </w: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: </w:t>
      </w:r>
    </w:p>
    <w:p w:rsidR="009E3C9C" w:rsidRPr="003A061D" w:rsidRDefault="009E3C9C" w:rsidP="009E3C9C">
      <w:pPr>
        <w:ind w:left="-567" w:firstLine="567"/>
        <w:jc w:val="center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  <w:lang w:val="en-US"/>
          </w:rPr>
          <m:t>=s</m:t>
        </m:r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9E3C9C" w:rsidRPr="003A061D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Therefore, the main goal of the research is to develop a method to define the vector of necessary changes </w:t>
      </w:r>
      <m:oMath>
        <m:acc>
          <m:accPr>
            <m:chr m:val="⃗"/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acc>
      </m:oMath>
      <w:r w:rsidRPr="003A061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providing the attractiveness of migration:</w:t>
      </w:r>
    </w:p>
    <w:p w:rsidR="00F95178" w:rsidRPr="00EE2B2E" w:rsidRDefault="009E3C9C" w:rsidP="009E3C9C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mig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>&gt;</m:t>
          </m:r>
          <m:r>
            <w:rPr>
              <w:rFonts w:ascii="Cambria Math" w:hAnsi="Cambria Math"/>
              <w:sz w:val="26"/>
              <w:szCs w:val="26"/>
            </w:rPr>
            <m:t>mig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or </m:t>
          </m:r>
          <m:r>
            <w:rPr>
              <w:rFonts w:ascii="Cambria Math" w:hAnsi="Cambria Math"/>
              <w:sz w:val="26"/>
              <w:szCs w:val="26"/>
              <w:lang w:val="en-US"/>
            </w:rPr>
            <m:t>mig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en-US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6"/>
              <w:szCs w:val="26"/>
            </w:rPr>
            <m:t>→</m:t>
          </m:r>
          <m:r>
            <w:rPr>
              <w:rFonts w:ascii="Cambria Math" w:hAnsi="Cambria Math"/>
              <w:sz w:val="26"/>
              <w:szCs w:val="26"/>
              <w:lang w:val="en-US"/>
            </w:rPr>
            <m:t>max</m:t>
          </m:r>
        </m:oMath>
      </m:oMathPara>
    </w:p>
    <w:p w:rsidR="00FB3DFE" w:rsidRPr="00EE2B2E" w:rsidRDefault="00FB3DFE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color w:val="FF0000"/>
          <w:sz w:val="26"/>
          <w:szCs w:val="26"/>
          <w:lang w:val="en-US"/>
        </w:rPr>
      </w:pPr>
    </w:p>
    <w:p w:rsidR="00352DFF" w:rsidRPr="00EE2B2E" w:rsidRDefault="00352DFF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075B6D" w:rsidRPr="00914A2C" w:rsidRDefault="00075B6D" w:rsidP="00F67128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Внутрикластерный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вектор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развития</w:t>
      </w:r>
      <w:r w:rsidRPr="00914A2C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.</w:t>
      </w:r>
    </w:p>
    <w:p w:rsidR="00F67128" w:rsidRPr="00B0087E" w:rsidRDefault="00F67128" w:rsidP="00AE1149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B0087E">
        <w:rPr>
          <w:rFonts w:ascii="Times New Roman" w:eastAsiaTheme="minorEastAsia" w:hAnsi="Times New Roman" w:cs="Times New Roman"/>
          <w:sz w:val="26"/>
          <w:szCs w:val="26"/>
          <w:lang w:val="en-US"/>
        </w:rPr>
        <w:t>…</w:t>
      </w:r>
    </w:p>
    <w:p w:rsidR="002963F7" w:rsidRDefault="003F522E" w:rsidP="003F522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F522E">
        <w:rPr>
          <w:rFonts w:ascii="Times New Roman" w:hAnsi="Times New Roman" w:cs="Times New Roman"/>
          <w:sz w:val="26"/>
          <w:szCs w:val="26"/>
          <w:lang w:val="en-US"/>
        </w:rPr>
        <w:t>Following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clustering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the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dataset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D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n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clusters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is</w:t>
      </w:r>
      <w:r w:rsidRPr="00B008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>possible to analyse both the medians of net migration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and the</w:t>
      </w:r>
      <w:r w:rsidR="00665640">
        <w:rPr>
          <w:rFonts w:ascii="Times New Roman" w:hAnsi="Times New Roman" w:cs="Times New Roman"/>
          <w:sz w:val="26"/>
          <w:szCs w:val="26"/>
          <w:lang w:val="en-US"/>
        </w:rPr>
        <w:t xml:space="preserve"> proportion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of negative examples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Pr="003F522E">
        <w:rPr>
          <w:rFonts w:ascii="Times New Roman" w:hAnsi="Times New Roman" w:cs="Times New Roman"/>
          <w:b/>
          <w:i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 0)</w:t>
      </w:r>
      <w:r w:rsidRPr="003F522E">
        <w:rPr>
          <w:rFonts w:ascii="Times New Roman" w:hAnsi="Times New Roman" w:cs="Times New Roman"/>
          <w:sz w:val="26"/>
          <w:szCs w:val="26"/>
          <w:lang w:val="en-US"/>
        </w:rPr>
        <w:t xml:space="preserve"> within each cluster.</w:t>
      </w:r>
    </w:p>
    <w:p w:rsidR="00254189" w:rsidRDefault="009A206D" w:rsidP="00C46B91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206D">
        <w:rPr>
          <w:rFonts w:ascii="Times New Roman" w:hAnsi="Times New Roman" w:cs="Times New Roman"/>
          <w:sz w:val="26"/>
          <w:szCs w:val="26"/>
          <w:lang w:val="en-US"/>
        </w:rPr>
        <w:t>As illustrated by the boxplot of net migration (Fig. 1a), it is evident that the medians (the lines dividing the box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>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) of all clusters are negative.</w:t>
      </w:r>
      <w:r w:rsidR="000A3BC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>This indicates the prevalence of population outflow in the majority of</w:t>
      </w:r>
      <w:r w:rsidR="00FC13C6" w:rsidRPr="00FC13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states</w:t>
      </w:r>
      <w:r w:rsidRPr="009A206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for settlements </w:t>
      </w:r>
      <w:r w:rsidR="000A3BCB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</w:t>
      </w:r>
      <w:r w:rsidR="000A3BCB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is also confirmed by the bar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chart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in Figure 1b, which shows the proportion of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negative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examples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0D2430">
        <w:rPr>
          <w:rFonts w:ascii="Times New Roman" w:hAnsi="Times New Roman" w:cs="Times New Roman"/>
          <w:b/>
          <w:i/>
          <w:sz w:val="26"/>
          <w:szCs w:val="26"/>
          <w:lang w:val="en-US"/>
        </w:rPr>
        <w:t xml:space="preserve">s &lt; </w:t>
      </w:r>
      <w:r w:rsidR="000D2430">
        <w:rPr>
          <w:rFonts w:ascii="Times New Roman" w:hAnsi="Times New Roman" w:cs="Times New Roman"/>
          <w:sz w:val="26"/>
          <w:szCs w:val="26"/>
          <w:lang w:val="en-US"/>
        </w:rPr>
        <w:t>0)</w:t>
      </w:r>
      <w:r w:rsidR="00C46B91">
        <w:rPr>
          <w:rFonts w:ascii="Times New Roman" w:hAnsi="Times New Roman" w:cs="Times New Roman"/>
          <w:sz w:val="26"/>
          <w:szCs w:val="26"/>
          <w:lang w:val="en-US"/>
        </w:rPr>
        <w:t xml:space="preserve"> for all clusters</w:t>
      </w:r>
      <w:r w:rsidR="00C46B91" w:rsidRPr="00C46B9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C13C6" w:rsidRDefault="009A3CD2" w:rsidP="009A3CD2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However, the bar chart (Fig. 1) also demonstrates positive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FC13C6" w:rsidRPr="00C46B9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>examples in terms of net migration. In the best case the proportion of positive examples is approximately ~35% in cluster 4, while in the wor</w:t>
      </w:r>
      <w:r w:rsidR="00FC13C6">
        <w:rPr>
          <w:rFonts w:ascii="Times New Roman" w:hAnsi="Times New Roman" w:cs="Times New Roman"/>
          <w:sz w:val="26"/>
          <w:szCs w:val="26"/>
          <w:lang w:val="en-US"/>
        </w:rPr>
        <w:t>st case it is around ~15% in</w:t>
      </w:r>
      <w:r w:rsidRPr="009A3CD2">
        <w:rPr>
          <w:rFonts w:ascii="Times New Roman" w:hAnsi="Times New Roman" w:cs="Times New Roman"/>
          <w:sz w:val="26"/>
          <w:szCs w:val="26"/>
          <w:lang w:val="en-US"/>
        </w:rPr>
        <w:t xml:space="preserve"> cluster 5 (Fig.1 b).</w:t>
      </w:r>
    </w:p>
    <w:p w:rsidR="000D2430" w:rsidRDefault="001F065B" w:rsidP="009A3CD2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The following conclusions can be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made</w:t>
      </w:r>
      <w:r>
        <w:rPr>
          <w:rFonts w:ascii="Times New Roman" w:hAnsi="Times New Roman" w:cs="Times New Roman"/>
          <w:sz w:val="26"/>
          <w:szCs w:val="26"/>
          <w:lang w:val="en-US"/>
        </w:rPr>
        <w:t>: firstly, within each cluster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there are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>migration-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attractive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mig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  <w:lang w:val="en-US"/>
          </w:rPr>
          <m:t>=s&gt;0</m:t>
        </m:r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 settlements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65B">
        <w:rPr>
          <w:rFonts w:ascii="Times New Roman" w:hAnsi="Times New Roman" w:cs="Times New Roman"/>
          <w:b/>
          <w:i/>
          <w:sz w:val="26"/>
          <w:szCs w:val="26"/>
          <w:lang w:val="en-US"/>
        </w:rPr>
        <w:t>M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, or at the very least, their particular states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1F065B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Pr="001F065B">
        <w:rPr>
          <w:rFonts w:ascii="Times New Roman" w:hAnsi="Times New Roman" w:cs="Times New Roman"/>
          <w:sz w:val="26"/>
          <w:szCs w:val="26"/>
          <w:lang w:val="en-US"/>
        </w:rPr>
        <w:t>secondly,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C57D3" w:rsidRPr="005C57D3">
        <w:rPr>
          <w:rFonts w:ascii="Times New Roman" w:hAnsi="Times New Roman" w:cs="Times New Roman"/>
          <w:sz w:val="26"/>
          <w:szCs w:val="26"/>
          <w:lang w:val="en-US"/>
        </w:rPr>
        <w:t>it is possible</w:t>
      </w:r>
      <w:r w:rsidR="005C57D3">
        <w:rPr>
          <w:rFonts w:ascii="Times New Roman" w:hAnsi="Times New Roman" w:cs="Times New Roman"/>
          <w:sz w:val="26"/>
          <w:szCs w:val="26"/>
          <w:lang w:val="en-US"/>
        </w:rPr>
        <w:t xml:space="preserve"> to assess the difference between positive and negative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="005C57D3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="005C57D3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socio-economic factors within each cluster.</w:t>
      </w:r>
    </w:p>
    <w:p w:rsidR="003D2B7B" w:rsidRPr="00EE2B2E" w:rsidRDefault="003D2B7B" w:rsidP="003D2B7B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analysis of 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hese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difference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is a fundamental step in accomplishing the main goal of the research, which is to develop a method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for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identifying a vector of changes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that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has the potential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to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the migration attractiveness of specific settlements.</w:t>
      </w:r>
      <w:r w:rsidR="00E21279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the basis of such 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analysis, the following aspects 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can</w:t>
      </w:r>
      <w:r w:rsidR="001A6C0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be assessed: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importance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on positive net migration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,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both in general and within specific clusters;</w:t>
      </w:r>
    </w:p>
    <w:p w:rsidR="001A6C02" w:rsidRPr="00EE2B2E" w:rsidRDefault="001A6C02" w:rsidP="001A6C02">
      <w:pPr>
        <w:pStyle w:val="a8"/>
        <w:numPr>
          <w:ilvl w:val="0"/>
          <w:numId w:val="1"/>
        </w:numPr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presence of stable behavioral dependencies of certain elements (factors) of</w:t>
      </w:r>
      <w:r w:rsidR="000F57E8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states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6"/>
                <w:szCs w:val="2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t</m:t>
            </m:r>
          </m:sub>
        </m:sSub>
      </m:oMath>
      <w:r w:rsidRPr="00EE2B2E">
        <w:rPr>
          <w:rFonts w:ascii="Times New Roman" w:eastAsiaTheme="minorEastAsia" w:hAnsi="Times New Roman" w:cs="Times New Roman"/>
          <w:b/>
          <w:sz w:val="26"/>
          <w:szCs w:val="26"/>
          <w:lang w:val="en-US"/>
        </w:rPr>
        <w:t xml:space="preserve">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terms of the nature of their impact.</w:t>
      </w:r>
    </w:p>
    <w:p w:rsidR="004D40E0" w:rsidRPr="00EE2B2E" w:rsidRDefault="001606F5" w:rsidP="001606F5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lastRenderedPageBreak/>
        <w:t xml:space="preserve">The difference between positive and negative sub-clusters.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In order to implement the analysis that mentioned above, it is necessary to divide each cluster into two sub-clusters: “positive” and “negative”. The positive sub-cluster includes only those states m_t that are characterised by net migration s &gt; 0, while the negative sub-cluster is characterised by the opposite condition.</w:t>
      </w:r>
    </w:p>
    <w:p w:rsidR="0045106D" w:rsidRPr="00EE2B2E" w:rsidRDefault="0045106D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next step is to calculate the median of each element (factor) of the states m_t for specific sub-clusters. Based on these medians, an assessment can be made of how much each factor in the positive sub-cluster differs from the negative one.</w:t>
      </w:r>
    </w:p>
    <w:p w:rsidR="00B56823" w:rsidRPr="00EE2B2E" w:rsidRDefault="00B56823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It should be noted that neither net migration nor population size (popsize) is used as a factor in the process of clusterization. Consequently, the formation of clusters is entirely independent of these characteristics.</w:t>
      </w:r>
    </w:p>
    <w:p w:rsidR="00BD4F22" w:rsidRPr="00EE2B2E" w:rsidRDefault="00334D61" w:rsidP="0045106D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diagram below (Fig. </w:t>
      </w:r>
      <w:r w:rsidR="00EF389A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2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) demonstrates the difference between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medians of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socio-economic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factors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(elements of </w:t>
      </w:r>
      <w:r w:rsidRPr="00EE2B2E">
        <w:rPr>
          <w:rFonts w:ascii="Times New Roman" w:eastAsiaTheme="minorEastAsia" w:hAnsi="Times New Roman" w:cs="Times New Roman"/>
          <w:b/>
          <w:i/>
          <w:sz w:val="26"/>
          <w:szCs w:val="26"/>
          <w:lang w:val="en-US"/>
        </w:rPr>
        <w:t>m_t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)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from the positive and negative sub-clusters for each cluster. The value less than 0% indicates that th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is 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factor is greater in the negative sub-cluster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compared to the positive sub-cluster</w:t>
      </w:r>
      <w:r w:rsidR="00BD4F22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</w:p>
    <w:p w:rsidR="00BD4F22" w:rsidRDefault="00EF389A" w:rsidP="006669A3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Firstly,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the diagram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shows some areas of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overall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increase and decrease in the difference, illustrating the factors that have a similar nature of impact in all clusters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(Fig. 2)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. The factors that 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demonstrate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a common increase in all cases should be considered the most significant, as their higher value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s consistently result in </w:t>
      </w:r>
      <w:r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>positive net migration.</w:t>
      </w:r>
      <w:r w:rsidR="006669A3" w:rsidRPr="00EE2B2E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These include retailturnover (avg. diff. ~11%), harvest (avg. diff. ~17%) and factoriescap (avg. diff. ~18%). The factor agrprod (avg. diff. ~15%) has almost the same influence, except cluster 3 (see Fig. 2, purple line). A similar situation is observed with avgsalary, however, the average difference is quite small ~ 4%.</w:t>
      </w:r>
    </w:p>
    <w:p w:rsidR="00EC2ACD" w:rsidRDefault="00EC2ACD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>It is important to note that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although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 population size was not involved in the clustering process, its higher value 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always led to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positive net migration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too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(see Fig. 1). This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result is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</w:t>
      </w:r>
      <w:r w:rsidR="00D41AAD" w:rsidRP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a</w:t>
      </w:r>
      <w:r w:rsidR="00D41AAD">
        <w:rPr>
          <w:rFonts w:ascii="Times New Roman" w:eastAsiaTheme="minorEastAsia" w:hAnsi="Times New Roman" w:cs="Times New Roman"/>
          <w:sz w:val="26"/>
          <w:szCs w:val="26"/>
          <w:lang w:val="en-US"/>
        </w:rPr>
        <w:t>ctually</w:t>
      </w:r>
      <w:r w:rsidRPr="00EC2ACD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consistent with the gravitational theory of migration flows [???].</w:t>
      </w:r>
    </w:p>
    <w:p w:rsidR="00B83E7F" w:rsidRPr="00914A2C" w:rsidRDefault="00B83E7F" w:rsidP="00B83E7F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The difference between the positive and negative sub-clusters by the factors ‘beforeschool’ and ‘hospitals’ should be considered carefully. The diagram shows that in 5, 4 and 0 clusters these factors actually have a higher value in the negative sub-cluster. This indicates that there is a </w:t>
      </w:r>
      <w:r w:rsidR="00D053F5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positive 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net migration when these factors are lower.</w:t>
      </w:r>
    </w:p>
    <w:p w:rsidR="00B83E7F" w:rsidRPr="00914A2C" w:rsidRDefault="00B83E7F" w:rsidP="003B09A6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first glance, this result may seem contradictory. However, one of the main explanations may be the different type of migration [111] observed in the cluster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s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.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Thus, youth migration </w:t>
      </w:r>
      <w:r w:rsidR="003B09A6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lastRenderedPageBreak/>
        <w:t>(cohort 15-19), which moves for educational purposes, strongly prevails in the Russia Federation [111]. Undoubtedly, the younger generation also migrates for in the reason of career opportunities. So, for younger age groups without children, healthcare and per-school organizations are not important factors in decision to move. Also these clusters (5, 4 and 0) are characterized by high values of foodseats, retaliturnover, harvest, agrprod, livestock, which is consistent with the interests of youth and labour migration.</w:t>
      </w:r>
    </w:p>
    <w:p w:rsidR="004E3C69" w:rsidRPr="00914A2C" w:rsidRDefault="003178A0" w:rsidP="004E3C69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At the same time, there is also a clear trend of family migration with pre-school age children and so-called retirement migration [111]. The red, green and purple lines of the diagram (see Fig. 1, clusters 1-3), illustrates this trends most clearly around "hospitals" and "beforeschool" factors. In such cases, healthcare and per-school organizations are significant factors in decision-making. In addition, these three clusters are distinguished by positive migration when “sportsvenue” is higher, indicating the availability of opportunities for children to engage in sports.</w:t>
      </w:r>
    </w:p>
    <w:p w:rsidR="003A061D" w:rsidRPr="009E3C9C" w:rsidRDefault="004E3C69" w:rsidP="009E3C9C">
      <w:pPr>
        <w:pStyle w:val="a8"/>
        <w:tabs>
          <w:tab w:val="left" w:pos="284"/>
        </w:tabs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However, it is obvious that not only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the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types of migration in the country [111] could explain such a difference. For instance, the nature of the factors 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is quantitative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>, while the qualitative aspects are also significant</w:t>
      </w:r>
      <w:r w:rsidR="00EC2ACD"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(fewer</w:t>
      </w:r>
      <w:r w:rsidRPr="00914A2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hospitals, but better in terms of medical equipment etc.).</w:t>
      </w:r>
    </w:p>
    <w:p w:rsidR="003A061D" w:rsidRPr="003A061D" w:rsidRDefault="003A061D" w:rsidP="004751D1">
      <w:pPr>
        <w:spacing w:after="0" w:line="360" w:lineRule="auto"/>
        <w:ind w:left="-567" w:firstLine="567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:rsidR="00C43424" w:rsidRPr="003A061D" w:rsidRDefault="00C43424" w:rsidP="003A061D">
      <w:pPr>
        <w:tabs>
          <w:tab w:val="left" w:pos="284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sectPr w:rsidR="00C43424" w:rsidRPr="003A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CE9" w:rsidRDefault="00DE4CE9" w:rsidP="00075B6D">
      <w:pPr>
        <w:spacing w:after="0" w:line="240" w:lineRule="auto"/>
      </w:pPr>
      <w:r>
        <w:separator/>
      </w:r>
    </w:p>
  </w:endnote>
  <w:endnote w:type="continuationSeparator" w:id="0">
    <w:p w:rsidR="00DE4CE9" w:rsidRDefault="00DE4CE9" w:rsidP="00075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CE9" w:rsidRDefault="00DE4CE9" w:rsidP="00075B6D">
      <w:pPr>
        <w:spacing w:after="0" w:line="240" w:lineRule="auto"/>
      </w:pPr>
      <w:r>
        <w:separator/>
      </w:r>
    </w:p>
  </w:footnote>
  <w:footnote w:type="continuationSeparator" w:id="0">
    <w:p w:rsidR="00DE4CE9" w:rsidRDefault="00DE4CE9" w:rsidP="00075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D5D4C"/>
    <w:multiLevelType w:val="hybridMultilevel"/>
    <w:tmpl w:val="0A967D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53"/>
    <w:rsid w:val="00002365"/>
    <w:rsid w:val="00010321"/>
    <w:rsid w:val="0001228F"/>
    <w:rsid w:val="00075B6D"/>
    <w:rsid w:val="00094DF8"/>
    <w:rsid w:val="000A3BCB"/>
    <w:rsid w:val="000C3E33"/>
    <w:rsid w:val="000D2430"/>
    <w:rsid w:val="000E2F06"/>
    <w:rsid w:val="000E304A"/>
    <w:rsid w:val="000F57E8"/>
    <w:rsid w:val="00125E44"/>
    <w:rsid w:val="00140A47"/>
    <w:rsid w:val="00156D14"/>
    <w:rsid w:val="001606F5"/>
    <w:rsid w:val="00172746"/>
    <w:rsid w:val="001A00E4"/>
    <w:rsid w:val="001A6C02"/>
    <w:rsid w:val="001B12A2"/>
    <w:rsid w:val="001B494E"/>
    <w:rsid w:val="001B5E23"/>
    <w:rsid w:val="001E0BAA"/>
    <w:rsid w:val="001F065B"/>
    <w:rsid w:val="0020399C"/>
    <w:rsid w:val="002333A8"/>
    <w:rsid w:val="00254189"/>
    <w:rsid w:val="00274B12"/>
    <w:rsid w:val="002853A0"/>
    <w:rsid w:val="002963F7"/>
    <w:rsid w:val="00296652"/>
    <w:rsid w:val="002B350E"/>
    <w:rsid w:val="002E46F7"/>
    <w:rsid w:val="002E532A"/>
    <w:rsid w:val="003178A0"/>
    <w:rsid w:val="00334D61"/>
    <w:rsid w:val="00345028"/>
    <w:rsid w:val="00352DFF"/>
    <w:rsid w:val="003A061D"/>
    <w:rsid w:val="003B09A6"/>
    <w:rsid w:val="003D2B7B"/>
    <w:rsid w:val="003F522E"/>
    <w:rsid w:val="00401D62"/>
    <w:rsid w:val="0045106D"/>
    <w:rsid w:val="00451A0E"/>
    <w:rsid w:val="0046732D"/>
    <w:rsid w:val="00470832"/>
    <w:rsid w:val="004751D1"/>
    <w:rsid w:val="00481A7B"/>
    <w:rsid w:val="00486AD6"/>
    <w:rsid w:val="00496ADA"/>
    <w:rsid w:val="004A0CAD"/>
    <w:rsid w:val="004A4316"/>
    <w:rsid w:val="004D40E0"/>
    <w:rsid w:val="004E3C69"/>
    <w:rsid w:val="0052356F"/>
    <w:rsid w:val="00531C53"/>
    <w:rsid w:val="0054680D"/>
    <w:rsid w:val="0055432A"/>
    <w:rsid w:val="00560666"/>
    <w:rsid w:val="00596C91"/>
    <w:rsid w:val="005B4AF7"/>
    <w:rsid w:val="005C271F"/>
    <w:rsid w:val="005C57D3"/>
    <w:rsid w:val="005D0BA0"/>
    <w:rsid w:val="005E5F29"/>
    <w:rsid w:val="00630B3A"/>
    <w:rsid w:val="00647880"/>
    <w:rsid w:val="00650728"/>
    <w:rsid w:val="00665640"/>
    <w:rsid w:val="006669A3"/>
    <w:rsid w:val="00671654"/>
    <w:rsid w:val="00683808"/>
    <w:rsid w:val="006A1ADF"/>
    <w:rsid w:val="006A54BB"/>
    <w:rsid w:val="006A5D3B"/>
    <w:rsid w:val="006B39E8"/>
    <w:rsid w:val="006C0F4D"/>
    <w:rsid w:val="006D0019"/>
    <w:rsid w:val="007116CC"/>
    <w:rsid w:val="00716CF6"/>
    <w:rsid w:val="00773EBE"/>
    <w:rsid w:val="00781C27"/>
    <w:rsid w:val="00797D96"/>
    <w:rsid w:val="008547DF"/>
    <w:rsid w:val="00870367"/>
    <w:rsid w:val="00877D59"/>
    <w:rsid w:val="00891E1B"/>
    <w:rsid w:val="0090104F"/>
    <w:rsid w:val="009017C2"/>
    <w:rsid w:val="009143BD"/>
    <w:rsid w:val="00914A2C"/>
    <w:rsid w:val="0092122D"/>
    <w:rsid w:val="00955C1D"/>
    <w:rsid w:val="00964999"/>
    <w:rsid w:val="00970EEF"/>
    <w:rsid w:val="00974AE2"/>
    <w:rsid w:val="00986B4D"/>
    <w:rsid w:val="00987414"/>
    <w:rsid w:val="009A0F89"/>
    <w:rsid w:val="009A206D"/>
    <w:rsid w:val="009A3CD2"/>
    <w:rsid w:val="009A7B50"/>
    <w:rsid w:val="009C7A30"/>
    <w:rsid w:val="009D0DED"/>
    <w:rsid w:val="009E3C9C"/>
    <w:rsid w:val="009F007C"/>
    <w:rsid w:val="009F7444"/>
    <w:rsid w:val="00A24093"/>
    <w:rsid w:val="00A263BA"/>
    <w:rsid w:val="00A27B83"/>
    <w:rsid w:val="00A86603"/>
    <w:rsid w:val="00AA55AD"/>
    <w:rsid w:val="00AA6940"/>
    <w:rsid w:val="00AA7AF0"/>
    <w:rsid w:val="00AE10D7"/>
    <w:rsid w:val="00AE1149"/>
    <w:rsid w:val="00B0087E"/>
    <w:rsid w:val="00B1711A"/>
    <w:rsid w:val="00B27645"/>
    <w:rsid w:val="00B4004C"/>
    <w:rsid w:val="00B56823"/>
    <w:rsid w:val="00B65EC3"/>
    <w:rsid w:val="00B760CD"/>
    <w:rsid w:val="00B83E7F"/>
    <w:rsid w:val="00BA172C"/>
    <w:rsid w:val="00BD4F22"/>
    <w:rsid w:val="00BE284D"/>
    <w:rsid w:val="00C43424"/>
    <w:rsid w:val="00C46B91"/>
    <w:rsid w:val="00C7167C"/>
    <w:rsid w:val="00CD0784"/>
    <w:rsid w:val="00CD3B30"/>
    <w:rsid w:val="00CE4AEA"/>
    <w:rsid w:val="00CF6975"/>
    <w:rsid w:val="00D053F5"/>
    <w:rsid w:val="00D41AAD"/>
    <w:rsid w:val="00D5012C"/>
    <w:rsid w:val="00D521DE"/>
    <w:rsid w:val="00D91437"/>
    <w:rsid w:val="00DD0815"/>
    <w:rsid w:val="00DD6E3A"/>
    <w:rsid w:val="00DE4CE9"/>
    <w:rsid w:val="00DF2071"/>
    <w:rsid w:val="00E21279"/>
    <w:rsid w:val="00E51194"/>
    <w:rsid w:val="00E75502"/>
    <w:rsid w:val="00E81CC9"/>
    <w:rsid w:val="00E8639A"/>
    <w:rsid w:val="00E92311"/>
    <w:rsid w:val="00EB4E14"/>
    <w:rsid w:val="00EC2ACD"/>
    <w:rsid w:val="00ED24E2"/>
    <w:rsid w:val="00EE2B2E"/>
    <w:rsid w:val="00EF389A"/>
    <w:rsid w:val="00F12E3F"/>
    <w:rsid w:val="00F31359"/>
    <w:rsid w:val="00F634B9"/>
    <w:rsid w:val="00F65D41"/>
    <w:rsid w:val="00F67128"/>
    <w:rsid w:val="00F76DD9"/>
    <w:rsid w:val="00F95178"/>
    <w:rsid w:val="00FB3DFE"/>
    <w:rsid w:val="00FC13C6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D5B6A"/>
  <w15:chartTrackingRefBased/>
  <w15:docId w15:val="{8406F296-476F-496A-A4EF-D351ED6C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B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12A2"/>
    <w:rPr>
      <w:color w:val="808080"/>
    </w:rPr>
  </w:style>
  <w:style w:type="paragraph" w:styleId="a4">
    <w:name w:val="header"/>
    <w:basedOn w:val="a"/>
    <w:link w:val="a5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5B6D"/>
  </w:style>
  <w:style w:type="paragraph" w:styleId="a6">
    <w:name w:val="footer"/>
    <w:basedOn w:val="a"/>
    <w:link w:val="a7"/>
    <w:uiPriority w:val="99"/>
    <w:unhideWhenUsed/>
    <w:rsid w:val="00075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5B6D"/>
  </w:style>
  <w:style w:type="paragraph" w:styleId="a8">
    <w:name w:val="List Paragraph"/>
    <w:basedOn w:val="a"/>
    <w:uiPriority w:val="34"/>
    <w:qFormat/>
    <w:rsid w:val="001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9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91</cp:revision>
  <dcterms:created xsi:type="dcterms:W3CDTF">2025-03-31T05:44:00Z</dcterms:created>
  <dcterms:modified xsi:type="dcterms:W3CDTF">2025-04-16T14:35:00Z</dcterms:modified>
</cp:coreProperties>
</file>