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B12" w:rsidRPr="00AE1149" w:rsidRDefault="009A7B50" w:rsidP="009A7B50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>Исходный набор данных</w:t>
      </w:r>
      <w:r w:rsidR="009D0DED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D0DED" w:rsidRPr="00AE1149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D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75502" w:rsidRPr="00AE1149">
        <w:rPr>
          <w:rFonts w:ascii="Times New Roman" w:eastAsiaTheme="minorEastAsia" w:hAnsi="Times New Roman" w:cs="Times New Roman"/>
          <w:sz w:val="26"/>
          <w:szCs w:val="26"/>
        </w:rPr>
        <w:t>состоит из некоторого числа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муниципальных образований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="001B12A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, каждая из которых </w:t>
      </w:r>
      <w:r w:rsidR="00E7550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представлена данными </w:t>
      </w:r>
      <w:r w:rsidR="001B12A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за определенный промежуток времени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t</m:t>
        </m:r>
      </m:oMath>
      <w:r w:rsidR="001B12A2" w:rsidRPr="00AE1149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E7550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Таким образом,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="00F76DD9" w:rsidRPr="00AE1149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F76DD9" w:rsidRPr="00AE1149">
        <w:rPr>
          <w:rFonts w:ascii="Times New Roman" w:eastAsiaTheme="minorEastAsia" w:hAnsi="Times New Roman" w:cs="Times New Roman"/>
          <w:sz w:val="26"/>
          <w:szCs w:val="26"/>
        </w:rPr>
        <w:t>следует выразить как кортеж следующего вида:</w:t>
      </w:r>
    </w:p>
    <w:p w:rsidR="00E92311" w:rsidRPr="00AE1149" w:rsidRDefault="00274B12" w:rsidP="00E92311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  <w:lang w:val="en-US"/>
          </w:rPr>
          <m:t>M</m:t>
        </m:r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n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d>
      </m:oMath>
      <w:r w:rsidR="00E92311" w:rsidRPr="00AE1149">
        <w:rPr>
          <w:rFonts w:ascii="Times New Roman" w:eastAsiaTheme="minorEastAsia" w:hAnsi="Times New Roman" w:cs="Times New Roman"/>
          <w:sz w:val="26"/>
          <w:szCs w:val="26"/>
        </w:rPr>
        <w:t>,</w:t>
      </w:r>
    </w:p>
    <w:p w:rsidR="006D0019" w:rsidRPr="00AE1149" w:rsidRDefault="00486AD6" w:rsidP="0046732D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</m:sSub>
          </m:sub>
        </m:sSub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– является социально-экономическим состоянием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в момент времени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</m:sub>
        </m:sSub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 w:rsidR="0092122D" w:rsidRPr="00AE1149">
        <w:rPr>
          <w:rFonts w:ascii="Times New Roman" w:eastAsiaTheme="minorEastAsia" w:hAnsi="Times New Roman" w:cs="Times New Roman"/>
          <w:sz w:val="26"/>
          <w:szCs w:val="26"/>
        </w:rPr>
        <w:t>Все</w:t>
      </w:r>
      <w:r w:rsidR="009D0DED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547DF" w:rsidRPr="00AE1149">
        <w:rPr>
          <w:rFonts w:ascii="Times New Roman" w:eastAsiaTheme="minorEastAsia" w:hAnsi="Times New Roman" w:cs="Times New Roman"/>
          <w:sz w:val="26"/>
          <w:szCs w:val="26"/>
        </w:rPr>
        <w:t>состояни</w:t>
      </w:r>
      <w:r w:rsidR="0092122D" w:rsidRPr="00AE1149">
        <w:rPr>
          <w:rFonts w:ascii="Times New Roman" w:eastAsiaTheme="minorEastAsia" w:hAnsi="Times New Roman" w:cs="Times New Roman"/>
          <w:sz w:val="26"/>
          <w:szCs w:val="26"/>
        </w:rPr>
        <w:t>я</w:t>
      </w:r>
      <w:r w:rsidR="008547DF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="008547DF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2122D" w:rsidRPr="00AE1149">
        <w:rPr>
          <w:rFonts w:ascii="Times New Roman" w:eastAsiaTheme="minorEastAsia" w:hAnsi="Times New Roman" w:cs="Times New Roman"/>
          <w:sz w:val="26"/>
          <w:szCs w:val="26"/>
        </w:rPr>
        <w:t>являются</w:t>
      </w:r>
      <w:r w:rsidR="008547DF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неотъемлемой частью набора данных</w:t>
      </w:r>
      <w:r w:rsidR="009D0DED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∈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D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.</m:t>
        </m:r>
      </m:oMath>
      <w:r w:rsidR="009D0DED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6D0019" w:rsidRPr="00AE1149" w:rsidRDefault="00B1711A" w:rsidP="00B1711A">
      <w:pPr>
        <w:spacing w:line="360" w:lineRule="auto"/>
        <w:ind w:left="-567" w:firstLine="567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В свою очередь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B760CD" w:rsidRPr="00AE1149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92122D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есть 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>упорядоченны</w:t>
      </w:r>
      <w:r w:rsidR="0092122D" w:rsidRPr="00AE1149">
        <w:rPr>
          <w:rFonts w:ascii="Times New Roman" w:eastAsiaTheme="minorEastAsia" w:hAnsi="Times New Roman" w:cs="Times New Roman"/>
          <w:sz w:val="26"/>
          <w:szCs w:val="26"/>
        </w:rPr>
        <w:t>й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набор социально-экономических </w:t>
      </w:r>
      <w:r w:rsidR="00470832" w:rsidRPr="00AE1149">
        <w:rPr>
          <w:rFonts w:ascii="Times New Roman" w:eastAsiaTheme="minorEastAsia" w:hAnsi="Times New Roman" w:cs="Times New Roman"/>
          <w:sz w:val="26"/>
          <w:szCs w:val="26"/>
        </w:rPr>
        <w:t>индикаторов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>, также представляющим собой кортеж вида:</w:t>
      </w:r>
    </w:p>
    <w:p w:rsidR="00274B12" w:rsidRPr="00AE1149" w:rsidRDefault="004A4316" w:rsidP="00B1711A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d>
      </m:oMath>
      <w:r w:rsidR="00B1711A" w:rsidRPr="00AE1149">
        <w:rPr>
          <w:rFonts w:ascii="Times New Roman" w:eastAsiaTheme="minorEastAsia" w:hAnsi="Times New Roman" w:cs="Times New Roman"/>
          <w:sz w:val="26"/>
          <w:szCs w:val="26"/>
        </w:rPr>
        <w:t>,</w:t>
      </w:r>
    </w:p>
    <w:p w:rsidR="00F12E3F" w:rsidRPr="00AE1149" w:rsidRDefault="00B1711A" w:rsidP="00877D59">
      <w:pPr>
        <w:spacing w:after="0" w:line="360" w:lineRule="auto"/>
        <w:ind w:left="-567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</m:sub>
        </m:sSub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– это определенн</w:t>
      </w:r>
      <w:r w:rsidR="00560666" w:rsidRPr="00AE1149">
        <w:rPr>
          <w:rFonts w:ascii="Times New Roman" w:eastAsiaTheme="minorEastAsia" w:hAnsi="Times New Roman" w:cs="Times New Roman"/>
          <w:sz w:val="26"/>
          <w:szCs w:val="26"/>
        </w:rPr>
        <w:t>ый</w:t>
      </w:r>
      <w:r w:rsidR="008547DF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социально-экономическ</w:t>
      </w:r>
      <w:r w:rsidR="00470832" w:rsidRPr="00AE1149">
        <w:rPr>
          <w:rFonts w:ascii="Times New Roman" w:eastAsiaTheme="minorEastAsia" w:hAnsi="Times New Roman" w:cs="Times New Roman"/>
          <w:sz w:val="26"/>
          <w:szCs w:val="26"/>
        </w:rPr>
        <w:t>ий индикатор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90104F" w:rsidRPr="00AE1149" w:rsidRDefault="00773EBE" w:rsidP="00877D59">
      <w:pPr>
        <w:spacing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Каждое состояние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92122D" w:rsidRPr="00AE1149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470832" w:rsidRPr="00AE1149">
        <w:rPr>
          <w:rFonts w:ascii="Times New Roman" w:eastAsiaTheme="minorEastAsia" w:hAnsi="Times New Roman" w:cs="Times New Roman"/>
          <w:sz w:val="26"/>
          <w:szCs w:val="26"/>
        </w:rPr>
        <w:t>сопровождается</w:t>
      </w:r>
      <w:r w:rsidR="00974AE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некоторым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миграционн</w:t>
      </w:r>
      <w:r w:rsidR="00974AE2" w:rsidRPr="00AE1149">
        <w:rPr>
          <w:rFonts w:ascii="Times New Roman" w:eastAsiaTheme="minorEastAsia" w:hAnsi="Times New Roman" w:cs="Times New Roman"/>
          <w:sz w:val="26"/>
          <w:szCs w:val="26"/>
        </w:rPr>
        <w:t>ым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сальдо </w:t>
      </w:r>
      <w:r w:rsidR="00877D59" w:rsidRPr="00AE1149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s</w:t>
      </w:r>
      <w:r w:rsidR="00877D59" w:rsidRPr="00AE1149">
        <w:rPr>
          <w:rFonts w:ascii="Times New Roman" w:eastAsiaTheme="minorEastAsia" w:hAnsi="Times New Roman" w:cs="Times New Roman"/>
          <w:sz w:val="26"/>
          <w:szCs w:val="26"/>
        </w:rPr>
        <w:t>, которое вычисляется как</w:t>
      </w:r>
      <w:r w:rsidR="00DD0815" w:rsidRPr="00AE1149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877D59" w:rsidRPr="00AE1149" w:rsidRDefault="00DD0815" w:rsidP="00877D59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  <w:lang w:val="en-US"/>
          </w:rPr>
          <m:t>s</m:t>
        </m:r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inflow</m:t>
        </m:r>
        <m:r>
          <w:rPr>
            <w:rFonts w:ascii="Cambria Math" w:hAnsi="Cambria Math" w:cs="Times New Roman"/>
            <w:sz w:val="26"/>
            <w:szCs w:val="26"/>
          </w:rPr>
          <m:t>-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outflow</m:t>
        </m:r>
      </m:oMath>
      <w:r w:rsidR="00877D59" w:rsidRPr="00AE1149">
        <w:rPr>
          <w:rFonts w:ascii="Times New Roman" w:eastAsiaTheme="minorEastAsia" w:hAnsi="Times New Roman" w:cs="Times New Roman"/>
          <w:sz w:val="26"/>
          <w:szCs w:val="26"/>
        </w:rPr>
        <w:t>,</w:t>
      </w:r>
    </w:p>
    <w:p w:rsidR="00296652" w:rsidRPr="00AE1149" w:rsidRDefault="00DD0815" w:rsidP="00DD0815">
      <w:pPr>
        <w:ind w:left="-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w:r w:rsidRPr="00AE1149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inflow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количество прибывших людей, а </w:t>
      </w:r>
      <w:r w:rsidRPr="00AE1149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outflow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– количество выбывших.</w:t>
      </w:r>
      <w:r w:rsidR="0029665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296652" w:rsidRPr="00AE1149" w:rsidRDefault="00296652" w:rsidP="00296652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При этом делается </w:t>
      </w:r>
      <w:r w:rsidR="00891E1B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обоснованное 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допущение, что значения </w:t>
      </w:r>
      <w:r w:rsidRPr="00AE1149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inflow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и </w:t>
      </w:r>
      <w:r w:rsidRPr="00AE1149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outflow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имеют зависимость от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A24093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, что можно представить некоторой функцией миграционной привлекательности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  <w:lang w:val="en-US"/>
          </w:rPr>
          <m:t>a</m:t>
        </m:r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296652" w:rsidRPr="00AE1149" w:rsidRDefault="00A24093" w:rsidP="00296652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s</m:t>
        </m:r>
      </m:oMath>
      <w:r w:rsidR="00647880" w:rsidRPr="00AE1149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877D59" w:rsidRPr="00AE1149" w:rsidRDefault="00DD0815" w:rsidP="00DD0815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>Соответственно, задача исследования заключается в</w:t>
      </w:r>
      <w:r w:rsidR="00A27B83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разработке </w:t>
      </w:r>
      <w:r w:rsidR="005D0BA0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метода </w:t>
      </w:r>
      <w:r w:rsidR="00A27B83" w:rsidRPr="00AE1149">
        <w:rPr>
          <w:rFonts w:ascii="Times New Roman" w:eastAsiaTheme="minorEastAsia" w:hAnsi="Times New Roman" w:cs="Times New Roman"/>
          <w:sz w:val="26"/>
          <w:szCs w:val="26"/>
        </w:rPr>
        <w:t>определения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необходимого вектора изменений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sub>
            </m:sSub>
          </m:e>
        </m:acc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для потенциального обеспечения миграционной привлекательности, то есть:</w:t>
      </w:r>
    </w:p>
    <w:p w:rsidR="008547DF" w:rsidRPr="00AE1149" w:rsidRDefault="00A24093" w:rsidP="008547DF">
      <w:pPr>
        <w:ind w:left="-567" w:firstLine="567"/>
        <w:jc w:val="both"/>
        <w:rPr>
          <w:rFonts w:eastAsiaTheme="minorEastAsia"/>
          <w:i/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t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&gt;</m:t>
          </m:r>
          <m:r>
            <w:rPr>
              <w:rFonts w:ascii="Cambria Math" w:hAnsi="Cambria Math"/>
              <w:sz w:val="26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или </m:t>
          </m:r>
          <m:r>
            <w:rPr>
              <w:rFonts w:ascii="Cambria Math" w:hAnsi="Cambria Math"/>
              <w:sz w:val="26"/>
              <w:szCs w:val="26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t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6"/>
              <w:szCs w:val="26"/>
            </w:rPr>
            <m:t>→</m:t>
          </m:r>
          <m:r>
            <w:rPr>
              <w:rFonts w:ascii="Cambria Math" w:hAnsi="Cambria Math"/>
              <w:sz w:val="26"/>
              <w:szCs w:val="26"/>
              <w:lang w:val="en-US"/>
            </w:rPr>
            <m:t>max</m:t>
          </m:r>
        </m:oMath>
      </m:oMathPara>
    </w:p>
    <w:p w:rsidR="00AE1149" w:rsidRPr="00AE1149" w:rsidRDefault="00AE1149" w:rsidP="00AE1149">
      <w:pPr>
        <w:jc w:val="both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……..</w:t>
      </w:r>
    </w:p>
    <w:p w:rsidR="00AE1149" w:rsidRDefault="00AE1149" w:rsidP="00AE1149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Кластеризация.</w:t>
      </w:r>
    </w:p>
    <w:p w:rsidR="00AE1149" w:rsidRDefault="00AE1149" w:rsidP="00AE1149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…</w:t>
      </w:r>
    </w:p>
    <w:p w:rsidR="00AE1149" w:rsidRPr="00E81CC9" w:rsidRDefault="00AE1149" w:rsidP="00AE114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После кластеризации набора данных 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D</w:t>
      </w:r>
      <w:r w:rsidRPr="00AE114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на 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n</w:t>
      </w:r>
      <w:r w:rsidRPr="00AE114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кластеров, </w:t>
      </w:r>
      <w:r w:rsidR="005C271F">
        <w:rPr>
          <w:rFonts w:ascii="Times New Roman" w:hAnsi="Times New Roman" w:cs="Times New Roman"/>
          <w:sz w:val="26"/>
          <w:szCs w:val="26"/>
        </w:rPr>
        <w:t>возникает</w:t>
      </w:r>
      <w:r>
        <w:rPr>
          <w:rFonts w:ascii="Times New Roman" w:hAnsi="Times New Roman" w:cs="Times New Roman"/>
          <w:sz w:val="26"/>
          <w:szCs w:val="26"/>
        </w:rPr>
        <w:t xml:space="preserve"> возможность оценить как медианное значение миграционного сальдо 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s</w:t>
      </w:r>
      <w:r w:rsidRPr="00AE1149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так и долю примеров с отрицательным и положительным </w:t>
      </w:r>
      <w:r w:rsidR="005C271F">
        <w:rPr>
          <w:rFonts w:ascii="Times New Roman" w:hAnsi="Times New Roman" w:cs="Times New Roman"/>
          <w:sz w:val="26"/>
          <w:szCs w:val="26"/>
        </w:rPr>
        <w:t>сальдо</w:t>
      </w:r>
      <w:r w:rsidRPr="00AE114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 каждом кластере.</w:t>
      </w:r>
    </w:p>
    <w:p w:rsidR="00AE1149" w:rsidRDefault="00AE1149" w:rsidP="00AE1149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рисунк</w:t>
      </w:r>
      <w:r w:rsidR="00BE284D">
        <w:rPr>
          <w:rFonts w:ascii="Times New Roman" w:hAnsi="Times New Roman" w:cs="Times New Roman"/>
          <w:sz w:val="26"/>
          <w:szCs w:val="26"/>
        </w:rPr>
        <w:t>е 1</w:t>
      </w:r>
      <w:r w:rsidR="002963F7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BE284D">
        <w:rPr>
          <w:rFonts w:ascii="Times New Roman" w:hAnsi="Times New Roman" w:cs="Times New Roman"/>
          <w:sz w:val="26"/>
          <w:szCs w:val="26"/>
        </w:rPr>
        <w:t xml:space="preserve"> на боксплот графике </w:t>
      </w:r>
      <w:r>
        <w:rPr>
          <w:rFonts w:ascii="Times New Roman" w:hAnsi="Times New Roman" w:cs="Times New Roman"/>
          <w:sz w:val="26"/>
          <w:szCs w:val="26"/>
        </w:rPr>
        <w:t>видно, что нет ни одного кластера, имеющего положительную медиану</w:t>
      </w:r>
      <w:r w:rsidR="001A00E4">
        <w:rPr>
          <w:rFonts w:ascii="Times New Roman" w:hAnsi="Times New Roman" w:cs="Times New Roman"/>
          <w:sz w:val="26"/>
          <w:szCs w:val="26"/>
        </w:rPr>
        <w:t xml:space="preserve"> (разделительная линия на блоке)</w:t>
      </w:r>
      <w:r>
        <w:rPr>
          <w:rFonts w:ascii="Times New Roman" w:hAnsi="Times New Roman" w:cs="Times New Roman"/>
          <w:sz w:val="26"/>
          <w:szCs w:val="26"/>
        </w:rPr>
        <w:t xml:space="preserve"> для миграционного сальдо, </w:t>
      </w:r>
      <w:r>
        <w:rPr>
          <w:rFonts w:ascii="Times New Roman" w:hAnsi="Times New Roman" w:cs="Times New Roman"/>
          <w:sz w:val="26"/>
          <w:szCs w:val="26"/>
        </w:rPr>
        <w:lastRenderedPageBreak/>
        <w:t>что, несомненно, говорит о превалировании тенденции оттока</w:t>
      </w:r>
      <w:r w:rsidR="00F67128">
        <w:rPr>
          <w:rFonts w:ascii="Times New Roman" w:hAnsi="Times New Roman" w:cs="Times New Roman"/>
          <w:sz w:val="26"/>
          <w:szCs w:val="26"/>
        </w:rPr>
        <w:t xml:space="preserve"> населения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E284D">
        <w:rPr>
          <w:rFonts w:ascii="Times New Roman" w:hAnsi="Times New Roman" w:cs="Times New Roman"/>
          <w:sz w:val="26"/>
          <w:szCs w:val="26"/>
        </w:rPr>
        <w:t>при</w:t>
      </w:r>
      <w:r>
        <w:rPr>
          <w:rFonts w:ascii="Times New Roman" w:hAnsi="Times New Roman" w:cs="Times New Roman"/>
          <w:sz w:val="26"/>
          <w:szCs w:val="26"/>
        </w:rPr>
        <w:t xml:space="preserve"> большинств</w:t>
      </w:r>
      <w:r w:rsidR="00BE284D">
        <w:rPr>
          <w:rFonts w:ascii="Times New Roman" w:hAnsi="Times New Roman" w:cs="Times New Roman"/>
          <w:sz w:val="26"/>
          <w:szCs w:val="26"/>
        </w:rPr>
        <w:t>е</w:t>
      </w:r>
      <w:r w:rsidR="00F67128">
        <w:rPr>
          <w:rFonts w:ascii="Times New Roman" w:hAnsi="Times New Roman" w:cs="Times New Roman"/>
          <w:sz w:val="26"/>
          <w:szCs w:val="26"/>
        </w:rPr>
        <w:t xml:space="preserve"> состояний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 xml:space="preserve"> муниципальных образований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="002963F7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2963F7" w:rsidRPr="002963F7">
        <w:rPr>
          <w:rFonts w:ascii="Times New Roman" w:eastAsiaTheme="minorEastAsia" w:hAnsi="Times New Roman" w:cs="Times New Roman"/>
          <w:sz w:val="26"/>
          <w:szCs w:val="26"/>
        </w:rPr>
        <w:t>[???]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F67128">
        <w:rPr>
          <w:rFonts w:ascii="Times New Roman" w:eastAsiaTheme="minorEastAsia" w:hAnsi="Times New Roman" w:cs="Times New Roman"/>
          <w:sz w:val="26"/>
          <w:szCs w:val="26"/>
        </w:rPr>
        <w:t xml:space="preserve"> Это также ярко демонстрируется 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 xml:space="preserve">на столбчатом графике, котором показаны доли </w:t>
      </w:r>
      <w:r w:rsidR="00F67128">
        <w:rPr>
          <w:rFonts w:ascii="Times New Roman" w:eastAsiaTheme="minorEastAsia" w:hAnsi="Times New Roman" w:cs="Times New Roman"/>
          <w:sz w:val="26"/>
          <w:szCs w:val="26"/>
        </w:rPr>
        <w:t>примеров с отрицательным миграционным сальдо в кластере.</w:t>
      </w:r>
    </w:p>
    <w:p w:rsidR="002963F7" w:rsidRPr="002963F7" w:rsidRDefault="00B83E7F" w:rsidP="002963F7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.25pt;height:199pt">
            <v:imagedata r:id="rId7" o:title="Снимок3"/>
          </v:shape>
        </w:pict>
      </w:r>
    </w:p>
    <w:p w:rsidR="00E81CC9" w:rsidRPr="00C46B91" w:rsidRDefault="00E81CC9" w:rsidP="00E81CC9">
      <w:pPr>
        <w:spacing w:after="0" w:line="360" w:lineRule="auto"/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Рис</w:t>
      </w:r>
      <w:r w:rsidRPr="00C46B9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1. </w:t>
      </w:r>
      <w:r w:rsidR="00C46B91">
        <w:rPr>
          <w:rFonts w:ascii="Times New Roman" w:eastAsiaTheme="minorEastAsia" w:hAnsi="Times New Roman" w:cs="Times New Roman"/>
          <w:sz w:val="26"/>
          <w:szCs w:val="26"/>
          <w:lang w:val="en-US"/>
        </w:rPr>
        <w:t>Net migration analysis in each cluster</w:t>
      </w:r>
    </w:p>
    <w:p w:rsidR="00F67128" w:rsidRDefault="00F67128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Однако, рассмотренный столбчатый график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 xml:space="preserve"> (рис. 1</w:t>
      </w:r>
      <w:r w:rsidR="002963F7">
        <w:rPr>
          <w:rFonts w:ascii="Times New Roman" w:eastAsiaTheme="minorEastAsia" w:hAnsi="Times New Roman" w:cs="Times New Roman"/>
          <w:sz w:val="26"/>
          <w:szCs w:val="26"/>
        </w:rPr>
        <w:t>б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>) в том числе</w:t>
      </w:r>
      <w:r w:rsidR="00075B6D">
        <w:rPr>
          <w:rFonts w:ascii="Times New Roman" w:eastAsiaTheme="minorEastAsia" w:hAnsi="Times New Roman" w:cs="Times New Roman"/>
          <w:sz w:val="26"/>
          <w:szCs w:val="26"/>
        </w:rPr>
        <w:t xml:space="preserve"> демонстрирует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наличие положительных </w:t>
      </w:r>
      <w:r>
        <w:rPr>
          <w:rFonts w:ascii="Times New Roman" w:hAnsi="Times New Roman" w:cs="Times New Roman"/>
          <w:sz w:val="26"/>
          <w:szCs w:val="26"/>
        </w:rPr>
        <w:t xml:space="preserve">состояний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с точки зрения миграционного сальдо </w:t>
      </w:r>
      <w:r w:rsidRPr="00AE1149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s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 xml:space="preserve">. Так, в лучшем случае доля примеров с положительным сальдо составила </w:t>
      </w:r>
      <w:r w:rsidR="001A00E4" w:rsidRPr="001A00E4">
        <w:rPr>
          <w:rFonts w:ascii="Times New Roman" w:eastAsiaTheme="minorEastAsia" w:hAnsi="Times New Roman" w:cs="Times New Roman"/>
          <w:sz w:val="26"/>
          <w:szCs w:val="26"/>
        </w:rPr>
        <w:t>~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 xml:space="preserve">35% в кластере 4, а в худшем </w:t>
      </w:r>
      <w:r w:rsidR="001A00E4" w:rsidRPr="001A00E4">
        <w:rPr>
          <w:rFonts w:ascii="Times New Roman" w:eastAsiaTheme="minorEastAsia" w:hAnsi="Times New Roman" w:cs="Times New Roman"/>
          <w:sz w:val="26"/>
          <w:szCs w:val="26"/>
        </w:rPr>
        <w:t>~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>15% в кластере 5</w:t>
      </w:r>
      <w:r w:rsidR="002963F7">
        <w:rPr>
          <w:rFonts w:ascii="Times New Roman" w:eastAsiaTheme="minorEastAsia" w:hAnsi="Times New Roman" w:cs="Times New Roman"/>
          <w:sz w:val="26"/>
          <w:szCs w:val="26"/>
        </w:rPr>
        <w:t xml:space="preserve"> (см. рис. 1б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>).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Таким образом, можно сделать вывод, что, во-первых, </w:t>
      </w:r>
      <w:r w:rsidR="005E5F29">
        <w:rPr>
          <w:rFonts w:ascii="Times New Roman" w:eastAsiaTheme="minorEastAsia" w:hAnsi="Times New Roman" w:cs="Times New Roman"/>
          <w:sz w:val="26"/>
          <w:szCs w:val="26"/>
        </w:rPr>
        <w:t xml:space="preserve">миграционно </w:t>
      </w:r>
      <w:r>
        <w:rPr>
          <w:rFonts w:ascii="Times New Roman" w:eastAsiaTheme="minorEastAsia" w:hAnsi="Times New Roman" w:cs="Times New Roman"/>
          <w:sz w:val="26"/>
          <w:szCs w:val="26"/>
        </w:rPr>
        <w:t>привлекательные</w:t>
      </w:r>
      <w:r w:rsidR="0017274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hAnsi="Cambria Math"/>
            <w:sz w:val="26"/>
            <w:szCs w:val="26"/>
            <w:lang w:val="en-US"/>
          </w:rPr>
          <m:t>s</m:t>
        </m:r>
        <m:r>
          <w:rPr>
            <w:rFonts w:ascii="Cambria Math" w:hAnsi="Cambria Math"/>
            <w:sz w:val="26"/>
            <w:szCs w:val="26"/>
          </w:rPr>
          <m:t>&gt;0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муниципальные образовани</w:t>
      </w:r>
      <w:r w:rsidR="00094DF8">
        <w:rPr>
          <w:rFonts w:ascii="Times New Roman" w:eastAsiaTheme="minorEastAsia" w:hAnsi="Times New Roman" w:cs="Times New Roman"/>
          <w:sz w:val="26"/>
          <w:szCs w:val="26"/>
        </w:rPr>
        <w:t>я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="00094DF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или</w:t>
      </w:r>
      <w:r w:rsidR="00094DF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01228F">
        <w:rPr>
          <w:rFonts w:ascii="Times New Roman" w:eastAsiaTheme="minorEastAsia" w:hAnsi="Times New Roman" w:cs="Times New Roman"/>
          <w:sz w:val="26"/>
          <w:szCs w:val="26"/>
        </w:rPr>
        <w:t>как минимум</w:t>
      </w:r>
      <w:r w:rsidR="00094DF8">
        <w:rPr>
          <w:rFonts w:ascii="Times New Roman" w:eastAsiaTheme="minorEastAsia" w:hAnsi="Times New Roman" w:cs="Times New Roman"/>
          <w:sz w:val="26"/>
          <w:szCs w:val="26"/>
        </w:rPr>
        <w:t xml:space="preserve"> только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определенны</w:t>
      </w:r>
      <w:r w:rsidR="00094DF8">
        <w:rPr>
          <w:rFonts w:ascii="Times New Roman" w:eastAsiaTheme="minorEastAsia" w:hAnsi="Times New Roman" w:cs="Times New Roman"/>
          <w:sz w:val="26"/>
          <w:szCs w:val="26"/>
        </w:rPr>
        <w:t>е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их состояния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существуют в каждом кластере, а, во-вторых, это даёт возможность рассмотреть их с </w:t>
      </w:r>
      <w:r w:rsidR="00094DF8">
        <w:rPr>
          <w:rFonts w:ascii="Times New Roman" w:eastAsiaTheme="minorEastAsia" w:hAnsi="Times New Roman" w:cs="Times New Roman"/>
          <w:sz w:val="26"/>
          <w:szCs w:val="26"/>
        </w:rPr>
        <w:t xml:space="preserve">позиции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разницы </w:t>
      </w:r>
      <w:r w:rsidR="005E5F29">
        <w:rPr>
          <w:rFonts w:ascii="Times New Roman" w:eastAsiaTheme="minorEastAsia" w:hAnsi="Times New Roman" w:cs="Times New Roman"/>
          <w:sz w:val="26"/>
          <w:szCs w:val="26"/>
        </w:rPr>
        <w:t xml:space="preserve">социально-экономических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характеристик их состояний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352DFF" w:rsidRPr="00010321" w:rsidRDefault="00352DFF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В свою очередь анализ этого различия является одним из фундаментальных составляющих </w:t>
      </w:r>
      <w:r w:rsidR="00987414" w:rsidRPr="00010321">
        <w:rPr>
          <w:rFonts w:ascii="Times New Roman" w:eastAsiaTheme="minorEastAsia" w:hAnsi="Times New Roman" w:cs="Times New Roman"/>
          <w:sz w:val="26"/>
          <w:szCs w:val="26"/>
        </w:rPr>
        <w:t>для достижения поставленной цели, а именно разработк</w:t>
      </w:r>
      <w:r w:rsidR="003D2B7B" w:rsidRPr="00010321">
        <w:rPr>
          <w:rFonts w:ascii="Times New Roman" w:eastAsiaTheme="minorEastAsia" w:hAnsi="Times New Roman" w:cs="Times New Roman"/>
          <w:sz w:val="26"/>
          <w:szCs w:val="26"/>
        </w:rPr>
        <w:t>и</w:t>
      </w:r>
      <w:r w:rsidR="00987414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метода определения вектора развития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987414" w:rsidRPr="0001032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987414" w:rsidRPr="00010321">
        <w:rPr>
          <w:rFonts w:ascii="Times New Roman" w:eastAsiaTheme="minorEastAsia" w:hAnsi="Times New Roman" w:cs="Times New Roman"/>
          <w:sz w:val="26"/>
          <w:szCs w:val="26"/>
        </w:rPr>
        <w:t>для обеспечения миграционной привлекательности. Так, этот анализ позволит:</w:t>
      </w:r>
    </w:p>
    <w:p w:rsidR="00987414" w:rsidRPr="00010321" w:rsidRDefault="00AA7AF0" w:rsidP="00AA7AF0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- оценить значимость отдельных элементов (факторов) состояний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01032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Pr="00010321">
        <w:rPr>
          <w:rFonts w:ascii="Times New Roman" w:eastAsiaTheme="minorEastAsia" w:hAnsi="Times New Roman" w:cs="Times New Roman"/>
          <w:sz w:val="26"/>
          <w:szCs w:val="26"/>
        </w:rPr>
        <w:t>на положительное миграционное сальдо как в целом, так и внутри конкретных кластеров;</w:t>
      </w:r>
    </w:p>
    <w:p w:rsidR="00AA7AF0" w:rsidRPr="00010321" w:rsidRDefault="00AA7AF0" w:rsidP="00AA7AF0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- оценить </w:t>
      </w:r>
      <w:r w:rsidR="00EB4E14" w:rsidRPr="00010321">
        <w:rPr>
          <w:rFonts w:ascii="Times New Roman" w:eastAsiaTheme="minorEastAsia" w:hAnsi="Times New Roman" w:cs="Times New Roman"/>
          <w:sz w:val="26"/>
          <w:szCs w:val="26"/>
        </w:rPr>
        <w:t>наличи</w:t>
      </w:r>
      <w:r w:rsidR="003D2B7B" w:rsidRPr="00010321">
        <w:rPr>
          <w:rFonts w:ascii="Times New Roman" w:eastAsiaTheme="minorEastAsia" w:hAnsi="Times New Roman" w:cs="Times New Roman"/>
          <w:sz w:val="26"/>
          <w:szCs w:val="26"/>
        </w:rPr>
        <w:t>е</w:t>
      </w:r>
      <w:r w:rsidR="00EB4E14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устойчивых </w:t>
      </w:r>
      <w:r w:rsidR="003D2B7B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поведенческих </w:t>
      </w:r>
      <w:r w:rsidR="00EB4E14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зависимостей </w:t>
      </w:r>
      <w:r w:rsidR="003D2B7B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элементов (факторов) состояний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="00EB4E14" w:rsidRPr="00010321">
        <w:rPr>
          <w:rFonts w:ascii="Times New Roman" w:eastAsiaTheme="minorEastAsia" w:hAnsi="Times New Roman" w:cs="Times New Roman"/>
          <w:sz w:val="26"/>
          <w:szCs w:val="26"/>
        </w:rPr>
        <w:t>с т</w:t>
      </w:r>
      <w:r w:rsidR="003D2B7B" w:rsidRPr="00010321">
        <w:rPr>
          <w:rFonts w:ascii="Times New Roman" w:eastAsiaTheme="minorEastAsia" w:hAnsi="Times New Roman" w:cs="Times New Roman"/>
          <w:sz w:val="26"/>
          <w:szCs w:val="26"/>
        </w:rPr>
        <w:t>очки зрения природы их воздействия.</w:t>
      </w:r>
    </w:p>
    <w:p w:rsidR="00352DFF" w:rsidRPr="00010321" w:rsidRDefault="00F95178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b/>
          <w:i/>
          <w:sz w:val="26"/>
          <w:szCs w:val="26"/>
        </w:rPr>
        <w:t>Анализ разницы между положительными и отрицательными субкластерами.</w:t>
      </w: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Для реализации вышеупомянутого анализа необходимо разделить каждый кластер на два </w:t>
      </w:r>
      <w:r w:rsidRPr="00010321">
        <w:rPr>
          <w:rFonts w:ascii="Times New Roman" w:eastAsiaTheme="minorEastAsia" w:hAnsi="Times New Roman" w:cs="Times New Roman"/>
          <w:sz w:val="26"/>
          <w:szCs w:val="26"/>
        </w:rPr>
        <w:lastRenderedPageBreak/>
        <w:t>субкластера, а именно «положительный» и «отрицательный». В положительный субкластер входят только те состояния, при которых было зафиксировано миграционное сальдо больше 0, а в отрицательный наоборот.</w:t>
      </w:r>
    </w:p>
    <w:p w:rsidR="00F95178" w:rsidRPr="00010321" w:rsidRDefault="00F95178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>Это даёт нам возможность вычислить медианы каждого фактора для этих субкластеров. После этого можно рассчитать насколько фактор в положительном кластере отличается от фактора в отрицательном.</w:t>
      </w:r>
    </w:p>
    <w:p w:rsidR="00F95178" w:rsidRPr="00010321" w:rsidRDefault="00F95178" w:rsidP="00F9517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>Важно отметить, что миграционное сальдо и численность населения не использовались в качестве факторов при кластеризации, то есть кластеры были сформированы алгоритмом к-средних независимо от этих характеристик.</w:t>
      </w:r>
    </w:p>
    <w:p w:rsidR="00A263BA" w:rsidRPr="00010321" w:rsidRDefault="00E8639A" w:rsidP="00F9517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Итак, на диаграмме ниже показаны различия </w:t>
      </w:r>
      <w:r w:rsidR="00AA55AD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медиан </w:t>
      </w: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положительного субкластера от отрицательного по всем кластерам для каждого элемента (фактора) состояния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</w:rPr>
        <w:t>Если значение меньше 0%, то это говорит о том, что этот фактор в отрицательном субкластере больше, нежели в положительном.</w:t>
      </w:r>
    </w:p>
    <w:p w:rsidR="00E8639A" w:rsidRPr="00010321" w:rsidRDefault="00E8639A" w:rsidP="00A263BA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На графике отчётливо наблюдаются </w:t>
      </w:r>
      <w:r w:rsidR="002333A8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некоторые зоны синхронного повышения значений и их уменьшения. Эти зоны демонстрируют наиболее значимые 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</w:rPr>
        <w:t>факторы</w:t>
      </w:r>
      <w:r w:rsidR="002333A8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</w:rPr>
        <w:t>поскольку во всех кластерах их большее значение ведет к положительному сальдо. К таким признак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>ам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относятся 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>retailturnover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(сред. разн. 11%)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2333A8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</w:rPr>
        <w:t>harvest</w:t>
      </w:r>
      <w:r w:rsidR="002333A8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(сред. разн. 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17%) 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>и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factoriescap (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>сред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>разн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18%). </w:t>
      </w:r>
      <w:r w:rsidR="00B0087E" w:rsidRPr="00010321">
        <w:rPr>
          <w:rFonts w:ascii="Times New Roman" w:eastAsiaTheme="minorEastAsia" w:hAnsi="Times New Roman" w:cs="Times New Roman"/>
          <w:sz w:val="26"/>
          <w:szCs w:val="26"/>
        </w:rPr>
        <w:t>Почти такое же влияния име</w:t>
      </w:r>
      <w:r w:rsidR="00AA55AD" w:rsidRPr="00010321">
        <w:rPr>
          <w:rFonts w:ascii="Times New Roman" w:eastAsiaTheme="minorEastAsia" w:hAnsi="Times New Roman" w:cs="Times New Roman"/>
          <w:sz w:val="26"/>
          <w:szCs w:val="26"/>
        </w:rPr>
        <w:t>ет фактор</w:t>
      </w:r>
      <w:r w:rsidR="00B0087E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0087E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>agrprod</w:t>
      </w:r>
      <w:r w:rsidR="00AA55AD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(сред. разн. 15%), который только в кластере №3 имеет больше значение в отрицательном субкластере (см. рис. 2, фиолетовая линия). Похожая ситуация наблюдается и с </w:t>
      </w:r>
      <w:r w:rsidR="00AA55AD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>avgsalary</w:t>
      </w:r>
      <w:r w:rsidR="00AA55AD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(сред. заработная плата), однако, разница небольшая и составляет приблизительно 4%.</w:t>
      </w:r>
    </w:p>
    <w:p w:rsidR="00F95178" w:rsidRPr="00010321" w:rsidRDefault="00B83E7F" w:rsidP="00F9517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pict>
          <v:shape id="_x0000_i1026" type="#_x0000_t75" style="width:467.3pt;height:254.7pt">
            <v:imagedata r:id="rId8" o:title="11"/>
          </v:shape>
        </w:pict>
      </w:r>
    </w:p>
    <w:p w:rsidR="0052356F" w:rsidRPr="00D91437" w:rsidRDefault="00EE2B2E" w:rsidP="0052356F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</w:rPr>
      </w:pPr>
      <w:r w:rsidRPr="00D91437">
        <w:rPr>
          <w:rFonts w:ascii="Times New Roman" w:eastAsiaTheme="minorEastAsia" w:hAnsi="Times New Roman" w:cs="Times New Roman"/>
          <w:color w:val="FF0000"/>
          <w:sz w:val="26"/>
          <w:szCs w:val="26"/>
        </w:rPr>
        <w:lastRenderedPageBreak/>
        <w:t xml:space="preserve">Также серьезный интерес вызывает разница между положительным и отрицательным субкластером по факторам </w:t>
      </w:r>
      <w:r w:rsidR="00683808">
        <w:rPr>
          <w:rFonts w:ascii="Times New Roman" w:eastAsiaTheme="minorEastAsia" w:hAnsi="Times New Roman" w:cs="Times New Roman"/>
          <w:color w:val="FF0000"/>
          <w:sz w:val="26"/>
          <w:szCs w:val="26"/>
        </w:rPr>
        <w:t>«</w:t>
      </w:r>
      <w:r w:rsidRPr="00D91437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beforeschool</w:t>
      </w:r>
      <w:r w:rsidR="00683808">
        <w:rPr>
          <w:rFonts w:ascii="Times New Roman" w:eastAsiaTheme="minorEastAsia" w:hAnsi="Times New Roman" w:cs="Times New Roman"/>
          <w:color w:val="FF0000"/>
          <w:sz w:val="26"/>
          <w:szCs w:val="26"/>
        </w:rPr>
        <w:t>»</w:t>
      </w:r>
      <w:r w:rsidRPr="00D91437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и </w:t>
      </w:r>
      <w:r w:rsidR="00683808">
        <w:rPr>
          <w:rFonts w:ascii="Times New Roman" w:eastAsiaTheme="minorEastAsia" w:hAnsi="Times New Roman" w:cs="Times New Roman"/>
          <w:color w:val="FF0000"/>
          <w:sz w:val="26"/>
          <w:szCs w:val="26"/>
        </w:rPr>
        <w:t>«</w:t>
      </w:r>
      <w:r w:rsidRPr="00D91437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hospitals</w:t>
      </w:r>
      <w:r w:rsidR="00683808">
        <w:rPr>
          <w:rFonts w:ascii="Times New Roman" w:eastAsiaTheme="minorEastAsia" w:hAnsi="Times New Roman" w:cs="Times New Roman"/>
          <w:color w:val="FF0000"/>
          <w:sz w:val="26"/>
          <w:szCs w:val="26"/>
        </w:rPr>
        <w:t>»</w:t>
      </w:r>
      <w:r w:rsidRPr="00D91437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. На графике видно, что в 5, 4 и 0 кластере данные факторы в среднем имеют большее значение в отрицательном субкластере, то есть наблюдается большая миграция при </w:t>
      </w:r>
      <w:r w:rsidR="0052356F" w:rsidRPr="00D91437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низких значениях этих факторов. </w:t>
      </w:r>
    </w:p>
    <w:p w:rsidR="00010321" w:rsidRPr="00D91437" w:rsidRDefault="00EE2B2E" w:rsidP="0052356F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</w:rPr>
      </w:pPr>
      <w:r w:rsidRPr="00D91437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На первый взгляд этот результат может показаться противоречивым. Однако, одним из главных объяснений может являться разный тип миграции [111], который наблюдается в кластерах. </w:t>
      </w:r>
      <w:r w:rsidR="0052356F" w:rsidRPr="00D91437">
        <w:rPr>
          <w:rFonts w:ascii="Times New Roman" w:eastAsiaTheme="minorEastAsia" w:hAnsi="Times New Roman" w:cs="Times New Roman"/>
          <w:color w:val="FF0000"/>
          <w:sz w:val="26"/>
          <w:szCs w:val="26"/>
        </w:rPr>
        <w:t>Так, в РФ сильно превалирует молодежная миграция (когорта 15-19), которая переезжает в целях учёбы [111]. Несомненно, молодое поколение также мигрирует и в расчете карьерных перспектив. Таким образом, для молодых возрастных групп, не имеющих детей, здравоохранение и дошкольные организации не являются важными факторами при принятии решения о переезде.</w:t>
      </w:r>
      <w:r w:rsidR="00D91437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Однако, в эти кластеры (5, 4 и 0) характеризуются высоким</w:t>
      </w:r>
      <w:r w:rsidR="00CD3B30">
        <w:rPr>
          <w:rFonts w:ascii="Times New Roman" w:eastAsiaTheme="minorEastAsia" w:hAnsi="Times New Roman" w:cs="Times New Roman"/>
          <w:color w:val="FF0000"/>
          <w:sz w:val="26"/>
          <w:szCs w:val="26"/>
        </w:rPr>
        <w:t>и</w:t>
      </w:r>
      <w:r w:rsidR="00D91437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значени</w:t>
      </w:r>
      <w:r w:rsidR="00CD3B30">
        <w:rPr>
          <w:rFonts w:ascii="Times New Roman" w:eastAsiaTheme="minorEastAsia" w:hAnsi="Times New Roman" w:cs="Times New Roman"/>
          <w:color w:val="FF0000"/>
          <w:sz w:val="26"/>
          <w:szCs w:val="26"/>
        </w:rPr>
        <w:t>ями</w:t>
      </w:r>
      <w:r w:rsidR="00D91437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</w:t>
      </w:r>
      <w:r w:rsidR="00D91437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foodseats</w:t>
      </w:r>
      <w:r w:rsidR="00D91437" w:rsidRPr="00D91437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, </w:t>
      </w:r>
      <w:r w:rsidR="00D91437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retaliturnover</w:t>
      </w:r>
      <w:r w:rsidR="00D91437" w:rsidRPr="00D91437">
        <w:rPr>
          <w:rFonts w:ascii="Times New Roman" w:eastAsiaTheme="minorEastAsia" w:hAnsi="Times New Roman" w:cs="Times New Roman"/>
          <w:color w:val="FF0000"/>
          <w:sz w:val="26"/>
          <w:szCs w:val="26"/>
        </w:rPr>
        <w:t>,</w:t>
      </w:r>
      <w:r w:rsidR="00CD3B30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</w:t>
      </w:r>
      <w:r w:rsidR="00CD3B30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harvest</w:t>
      </w:r>
      <w:r w:rsidR="00CD3B30" w:rsidRPr="00CD3B30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, </w:t>
      </w:r>
      <w:r w:rsidR="00CD3B30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agrprod</w:t>
      </w:r>
      <w:r w:rsidR="00CD3B30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, </w:t>
      </w:r>
      <w:r w:rsidR="00CD3B30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livestock</w:t>
      </w:r>
      <w:r w:rsidR="00D91437" w:rsidRPr="00D91437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</w:t>
      </w:r>
      <w:r w:rsidR="00CD3B30">
        <w:rPr>
          <w:rFonts w:ascii="Times New Roman" w:eastAsiaTheme="minorEastAsia" w:hAnsi="Times New Roman" w:cs="Times New Roman"/>
          <w:color w:val="FF0000"/>
          <w:sz w:val="26"/>
          <w:szCs w:val="26"/>
        </w:rPr>
        <w:t>что также согласуется с интересами молодежной и рабочей миграции.</w:t>
      </w:r>
      <w:r w:rsidR="00D91437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</w:t>
      </w:r>
    </w:p>
    <w:p w:rsidR="0052356F" w:rsidRDefault="0052356F" w:rsidP="0052356F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</w:rPr>
      </w:pPr>
      <w:r w:rsidRPr="00D91437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При этом в РФ </w:t>
      </w:r>
      <w:r w:rsidR="00D91437" w:rsidRPr="00D91437">
        <w:rPr>
          <w:rFonts w:ascii="Times New Roman" w:eastAsiaTheme="minorEastAsia" w:hAnsi="Times New Roman" w:cs="Times New Roman"/>
          <w:color w:val="FF0000"/>
          <w:sz w:val="26"/>
          <w:szCs w:val="26"/>
        </w:rPr>
        <w:t>ярко наблюдается</w:t>
      </w:r>
      <w:r w:rsidRPr="00D91437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тенденция миграции людей с </w:t>
      </w:r>
      <w:r w:rsidR="00CD3B30">
        <w:rPr>
          <w:rFonts w:ascii="Times New Roman" w:eastAsiaTheme="minorEastAsia" w:hAnsi="Times New Roman" w:cs="Times New Roman"/>
          <w:color w:val="FF0000"/>
          <w:sz w:val="26"/>
          <w:szCs w:val="26"/>
        </w:rPr>
        <w:t>детьми дошкольного возраста, а также</w:t>
      </w:r>
      <w:r w:rsidR="00D91437" w:rsidRPr="00D91437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так называемая пенсионная миграция [111]. </w:t>
      </w:r>
      <w:r w:rsidR="00D91437">
        <w:rPr>
          <w:rFonts w:ascii="Times New Roman" w:eastAsiaTheme="minorEastAsia" w:hAnsi="Times New Roman" w:cs="Times New Roman"/>
          <w:color w:val="FF0000"/>
          <w:sz w:val="26"/>
          <w:szCs w:val="26"/>
        </w:rPr>
        <w:t>Обратите внимание на красную, зеленую и фиолетовую линию</w:t>
      </w:r>
      <w:r w:rsidR="00CD3B30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графика</w:t>
      </w:r>
      <w:r w:rsidR="00D91437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(см. рис. 2, кластеры 1, 2 и 3), которые вероятн</w:t>
      </w:r>
      <w:r w:rsidR="00CD3B30">
        <w:rPr>
          <w:rFonts w:ascii="Times New Roman" w:eastAsiaTheme="minorEastAsia" w:hAnsi="Times New Roman" w:cs="Times New Roman"/>
          <w:color w:val="FF0000"/>
          <w:sz w:val="26"/>
          <w:szCs w:val="26"/>
        </w:rPr>
        <w:t>ее всего отражают эту тенденцию, то есть в этих случаях количество мест в дошкольных организациях и количество лечебных организаций играет существенную роль при миграции. Также эти 3 кластера характеризуются положительной миграцией в факторе спортивных сооружений (sportsvenue), что даёт возможность устроить детей на какие-либо спортивные секции.</w:t>
      </w:r>
    </w:p>
    <w:p w:rsidR="00CD3B30" w:rsidRPr="00CD3B30" w:rsidRDefault="00CD3B30" w:rsidP="0052356F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</w:rPr>
      </w:pPr>
      <w:r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Таким образом, полученная разница по отдельным факторам вполне может объясняться различным типом миграции, которая наблюдается в стране </w:t>
      </w:r>
      <w:r w:rsidRPr="00CD3B30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[111]. </w:t>
      </w:r>
      <w:r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Однако, нельзя также исключать, например, причину с точки зрения качества, а не количества. </w:t>
      </w:r>
    </w:p>
    <w:p w:rsidR="00E8639A" w:rsidRPr="00D91437" w:rsidRDefault="00CD3B30" w:rsidP="00F9517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</w:rPr>
      </w:pPr>
      <w:r>
        <w:rPr>
          <w:rFonts w:ascii="Times New Roman" w:eastAsiaTheme="minorEastAsia" w:hAnsi="Times New Roman" w:cs="Times New Roman"/>
          <w:color w:val="FF0000"/>
          <w:sz w:val="26"/>
          <w:szCs w:val="26"/>
        </w:rPr>
        <w:t>Следует еще</w:t>
      </w:r>
      <w:r w:rsidR="00AA55AD" w:rsidRPr="00D91437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отметить, что хоть численность населения и не учувствовала в процессе кластеризации, при её рассмотрении она тоже является сильным признаком, то есть медианное значение в положительном субкластере во всех случаях больше, чем в отрицательном (см. рис. 2). Этот результат согласуется с гравитационной территорией миграционных потоков [???].</w:t>
      </w:r>
    </w:p>
    <w:p w:rsidR="00EE2B2E" w:rsidRPr="00EE2B2E" w:rsidRDefault="00EE2B2E" w:rsidP="00EE2B2E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lastRenderedPageBreak/>
        <w:t xml:space="preserve">[111] </w:t>
      </w:r>
      <w:r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Karachurina, L.B., Mkrtchyan, N.V. To the City or to the Suburbs: What Russians Choose at Different Stages of Life Course. 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Reg. Res. Russ. 14 (Suppl 1), S55–S66 (2024). https://doi.org/10.1134/S2079970524600689</w:t>
      </w:r>
    </w:p>
    <w:p w:rsidR="00F95178" w:rsidRPr="00EE2B2E" w:rsidRDefault="00F95178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</w:p>
    <w:p w:rsidR="00F95178" w:rsidRPr="00EE2B2E" w:rsidRDefault="00F95178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</w:p>
    <w:p w:rsidR="00FB3DFE" w:rsidRPr="00EE2B2E" w:rsidRDefault="00FB3DFE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</w:p>
    <w:p w:rsidR="00352DFF" w:rsidRPr="00EE2B2E" w:rsidRDefault="00352DFF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075B6D" w:rsidRPr="001606F5" w:rsidRDefault="00075B6D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Внутрикластерный</w:t>
      </w:r>
      <w:r w:rsidRPr="001606F5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вектор</w:t>
      </w:r>
      <w:r w:rsidRPr="001606F5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развития</w:t>
      </w:r>
      <w:r w:rsidRPr="001606F5">
        <w:rPr>
          <w:rFonts w:ascii="Times New Roman" w:eastAsiaTheme="minorEastAsia" w:hAnsi="Times New Roman" w:cs="Times New Roman"/>
          <w:b/>
          <w:i/>
          <w:sz w:val="26"/>
          <w:szCs w:val="26"/>
        </w:rPr>
        <w:t>.</w:t>
      </w:r>
    </w:p>
    <w:p w:rsidR="00F67128" w:rsidRPr="00B0087E" w:rsidRDefault="00F67128" w:rsidP="00AE1149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B0087E">
        <w:rPr>
          <w:rFonts w:ascii="Times New Roman" w:eastAsiaTheme="minorEastAsia" w:hAnsi="Times New Roman" w:cs="Times New Roman"/>
          <w:sz w:val="26"/>
          <w:szCs w:val="26"/>
          <w:lang w:val="en-US"/>
        </w:rPr>
        <w:t>…</w:t>
      </w:r>
    </w:p>
    <w:p w:rsidR="002963F7" w:rsidRDefault="003F522E" w:rsidP="003F522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F522E">
        <w:rPr>
          <w:rFonts w:ascii="Times New Roman" w:hAnsi="Times New Roman" w:cs="Times New Roman"/>
          <w:sz w:val="26"/>
          <w:szCs w:val="26"/>
          <w:lang w:val="en-US"/>
        </w:rPr>
        <w:t>Following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the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clustering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process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of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the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dataset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b/>
          <w:i/>
          <w:sz w:val="26"/>
          <w:szCs w:val="26"/>
          <w:lang w:val="en-US"/>
        </w:rPr>
        <w:t>D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into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b/>
          <w:i/>
          <w:sz w:val="26"/>
          <w:szCs w:val="26"/>
          <w:lang w:val="en-US"/>
        </w:rPr>
        <w:t>n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clusters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it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is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possible to analyse both the medians of net migration</w:t>
      </w:r>
      <w:r w:rsidR="000D243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D2430">
        <w:rPr>
          <w:rFonts w:ascii="Times New Roman" w:hAnsi="Times New Roman" w:cs="Times New Roman"/>
          <w:b/>
          <w:i/>
          <w:sz w:val="26"/>
          <w:szCs w:val="26"/>
          <w:lang w:val="en-US"/>
        </w:rPr>
        <w:t>s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 xml:space="preserve"> and the</w:t>
      </w:r>
      <w:r w:rsidR="00665640">
        <w:rPr>
          <w:rFonts w:ascii="Times New Roman" w:hAnsi="Times New Roman" w:cs="Times New Roman"/>
          <w:sz w:val="26"/>
          <w:szCs w:val="26"/>
          <w:lang w:val="en-US"/>
        </w:rPr>
        <w:t xml:space="preserve"> proportion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 xml:space="preserve"> of negative examples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Pr="003F522E">
        <w:rPr>
          <w:rFonts w:ascii="Times New Roman" w:hAnsi="Times New Roman" w:cs="Times New Roman"/>
          <w:b/>
          <w:i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&lt; 0)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 xml:space="preserve"> within each cluster.</w:t>
      </w:r>
    </w:p>
    <w:p w:rsidR="00254189" w:rsidRDefault="009A206D" w:rsidP="00C46B9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A206D">
        <w:rPr>
          <w:rFonts w:ascii="Times New Roman" w:hAnsi="Times New Roman" w:cs="Times New Roman"/>
          <w:sz w:val="26"/>
          <w:szCs w:val="26"/>
          <w:lang w:val="en-US"/>
        </w:rPr>
        <w:t>As illustrated by the boxplot of net migration (Fig. 1a), it is evident that the medians (the lines dividing the box</w:t>
      </w:r>
      <w:r w:rsidR="000A3BCB">
        <w:rPr>
          <w:rFonts w:ascii="Times New Roman" w:hAnsi="Times New Roman" w:cs="Times New Roman"/>
          <w:sz w:val="26"/>
          <w:szCs w:val="26"/>
          <w:lang w:val="en-US"/>
        </w:rPr>
        <w:t>es</w:t>
      </w:r>
      <w:r w:rsidRPr="009A206D">
        <w:rPr>
          <w:rFonts w:ascii="Times New Roman" w:hAnsi="Times New Roman" w:cs="Times New Roman"/>
          <w:sz w:val="26"/>
          <w:szCs w:val="26"/>
          <w:lang w:val="en-US"/>
        </w:rPr>
        <w:t>) of all clusters are negative.</w:t>
      </w:r>
      <w:r w:rsidR="000A3B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A206D">
        <w:rPr>
          <w:rFonts w:ascii="Times New Roman" w:hAnsi="Times New Roman" w:cs="Times New Roman"/>
          <w:sz w:val="26"/>
          <w:szCs w:val="26"/>
          <w:lang w:val="en-US"/>
        </w:rPr>
        <w:t>This indicates the prevalence of population outflow in the majority of</w:t>
      </w:r>
      <w:r w:rsidR="00FC13C6" w:rsidRPr="00FC13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C13C6">
        <w:rPr>
          <w:rFonts w:ascii="Times New Roman" w:hAnsi="Times New Roman" w:cs="Times New Roman"/>
          <w:sz w:val="26"/>
          <w:szCs w:val="26"/>
          <w:lang w:val="en-US"/>
        </w:rPr>
        <w:t>states</w:t>
      </w:r>
      <w:r w:rsidRPr="009A206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0A3BCB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for settlements </w:t>
      </w:r>
      <w:r w:rsidR="000A3BCB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M</w:t>
      </w:r>
      <w:r w:rsidR="000A3BCB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  <w:r w:rsidR="00C46B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>This</w:t>
      </w:r>
      <w:r w:rsidR="00C46B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 xml:space="preserve">is also confirmed by the bar </w:t>
      </w:r>
      <w:r w:rsidR="000D2430">
        <w:rPr>
          <w:rFonts w:ascii="Times New Roman" w:hAnsi="Times New Roman" w:cs="Times New Roman"/>
          <w:sz w:val="26"/>
          <w:szCs w:val="26"/>
          <w:lang w:val="en-US"/>
        </w:rPr>
        <w:t>chart</w:t>
      </w:r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 xml:space="preserve"> in Figure 1b, which shows the proportion of</w:t>
      </w:r>
      <w:r w:rsidR="000D2430">
        <w:rPr>
          <w:rFonts w:ascii="Times New Roman" w:hAnsi="Times New Roman" w:cs="Times New Roman"/>
          <w:sz w:val="26"/>
          <w:szCs w:val="26"/>
          <w:lang w:val="en-US"/>
        </w:rPr>
        <w:t xml:space="preserve"> negative</w:t>
      </w:r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 xml:space="preserve"> examples</w:t>
      </w:r>
      <w:r w:rsidR="000D2430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="000D2430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s &lt; </w:t>
      </w:r>
      <w:r w:rsidR="000D2430">
        <w:rPr>
          <w:rFonts w:ascii="Times New Roman" w:hAnsi="Times New Roman" w:cs="Times New Roman"/>
          <w:sz w:val="26"/>
          <w:szCs w:val="26"/>
          <w:lang w:val="en-US"/>
        </w:rPr>
        <w:t>0)</w:t>
      </w:r>
      <w:r w:rsidR="00C46B91">
        <w:rPr>
          <w:rFonts w:ascii="Times New Roman" w:hAnsi="Times New Roman" w:cs="Times New Roman"/>
          <w:sz w:val="26"/>
          <w:szCs w:val="26"/>
          <w:lang w:val="en-US"/>
        </w:rPr>
        <w:t xml:space="preserve"> for all clusters</w:t>
      </w:r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C13C6" w:rsidRDefault="009A3CD2" w:rsidP="009A3CD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A3CD2">
        <w:rPr>
          <w:rFonts w:ascii="Times New Roman" w:hAnsi="Times New Roman" w:cs="Times New Roman"/>
          <w:sz w:val="26"/>
          <w:szCs w:val="26"/>
          <w:lang w:val="en-US"/>
        </w:rPr>
        <w:t xml:space="preserve">However, the bar chart (Fig. 1) also demonstrates positive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FC13C6" w:rsidRPr="00C46B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A3CD2">
        <w:rPr>
          <w:rFonts w:ascii="Times New Roman" w:hAnsi="Times New Roman" w:cs="Times New Roman"/>
          <w:sz w:val="26"/>
          <w:szCs w:val="26"/>
          <w:lang w:val="en-US"/>
        </w:rPr>
        <w:t>examples in terms of net migration. In the best case the proportion of positive examples is approximately ~35% in cluster 4, while in the wor</w:t>
      </w:r>
      <w:r w:rsidR="00FC13C6">
        <w:rPr>
          <w:rFonts w:ascii="Times New Roman" w:hAnsi="Times New Roman" w:cs="Times New Roman"/>
          <w:sz w:val="26"/>
          <w:szCs w:val="26"/>
          <w:lang w:val="en-US"/>
        </w:rPr>
        <w:t>st case it is around ~15% in</w:t>
      </w:r>
      <w:r w:rsidRPr="009A3CD2">
        <w:rPr>
          <w:rFonts w:ascii="Times New Roman" w:hAnsi="Times New Roman" w:cs="Times New Roman"/>
          <w:sz w:val="26"/>
          <w:szCs w:val="26"/>
          <w:lang w:val="en-US"/>
        </w:rPr>
        <w:t xml:space="preserve"> cluster 5 (Fig.1 b).</w:t>
      </w:r>
    </w:p>
    <w:p w:rsidR="000D2430" w:rsidRDefault="001F065B" w:rsidP="009A3CD2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1F065B">
        <w:rPr>
          <w:rFonts w:ascii="Times New Roman" w:hAnsi="Times New Roman" w:cs="Times New Roman"/>
          <w:sz w:val="26"/>
          <w:szCs w:val="26"/>
          <w:lang w:val="en-US"/>
        </w:rPr>
        <w:t xml:space="preserve">The following conclusions can be 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>made</w:t>
      </w:r>
      <w:r>
        <w:rPr>
          <w:rFonts w:ascii="Times New Roman" w:hAnsi="Times New Roman" w:cs="Times New Roman"/>
          <w:sz w:val="26"/>
          <w:szCs w:val="26"/>
          <w:lang w:val="en-US"/>
        </w:rPr>
        <w:t>: firstly, within each cluster</w:t>
      </w:r>
      <w:r w:rsidRPr="001F065B">
        <w:rPr>
          <w:rFonts w:ascii="Times New Roman" w:hAnsi="Times New Roman" w:cs="Times New Roman"/>
          <w:sz w:val="26"/>
          <w:szCs w:val="26"/>
          <w:lang w:val="en-US"/>
        </w:rPr>
        <w:t xml:space="preserve"> there are 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>migration-</w:t>
      </w:r>
      <w:r w:rsidRPr="001F065B">
        <w:rPr>
          <w:rFonts w:ascii="Times New Roman" w:hAnsi="Times New Roman" w:cs="Times New Roman"/>
          <w:sz w:val="26"/>
          <w:szCs w:val="26"/>
          <w:lang w:val="en-US"/>
        </w:rPr>
        <w:t>attractive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en-US"/>
          </w:rPr>
          <m:t>mig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  <w:lang w:val="en-US"/>
          </w:rPr>
          <m:t>=s&gt;0</m:t>
        </m:r>
      </m:oMath>
      <w:r w:rsidRPr="001F065B">
        <w:rPr>
          <w:rFonts w:ascii="Times New Roman" w:hAnsi="Times New Roman" w:cs="Times New Roman"/>
          <w:sz w:val="26"/>
          <w:szCs w:val="26"/>
          <w:lang w:val="en-US"/>
        </w:rPr>
        <w:t xml:space="preserve"> settlements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F065B">
        <w:rPr>
          <w:rFonts w:ascii="Times New Roman" w:hAnsi="Times New Roman" w:cs="Times New Roman"/>
          <w:b/>
          <w:i/>
          <w:sz w:val="26"/>
          <w:szCs w:val="26"/>
          <w:lang w:val="en-US"/>
        </w:rPr>
        <w:t>M</w:t>
      </w:r>
      <w:r w:rsidRPr="001F065B">
        <w:rPr>
          <w:rFonts w:ascii="Times New Roman" w:hAnsi="Times New Roman" w:cs="Times New Roman"/>
          <w:sz w:val="26"/>
          <w:szCs w:val="26"/>
          <w:lang w:val="en-US"/>
        </w:rPr>
        <w:t>, or at the very least, their particular states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1F065B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 xml:space="preserve">and </w:t>
      </w:r>
      <w:r w:rsidRPr="001F065B">
        <w:rPr>
          <w:rFonts w:ascii="Times New Roman" w:hAnsi="Times New Roman" w:cs="Times New Roman"/>
          <w:sz w:val="26"/>
          <w:szCs w:val="26"/>
          <w:lang w:val="en-US"/>
        </w:rPr>
        <w:t>secondly,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C57D3" w:rsidRPr="005C57D3">
        <w:rPr>
          <w:rFonts w:ascii="Times New Roman" w:hAnsi="Times New Roman" w:cs="Times New Roman"/>
          <w:sz w:val="26"/>
          <w:szCs w:val="26"/>
          <w:lang w:val="en-US"/>
        </w:rPr>
        <w:t>it is possible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 xml:space="preserve"> to assess the difference between positive and negative states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5C57D3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 xml:space="preserve"> </w:t>
      </w:r>
      <w:r w:rsidR="005C57D3">
        <w:rPr>
          <w:rFonts w:ascii="Times New Roman" w:eastAsiaTheme="minorEastAsia" w:hAnsi="Times New Roman" w:cs="Times New Roman"/>
          <w:sz w:val="26"/>
          <w:szCs w:val="26"/>
          <w:lang w:val="en-US"/>
        </w:rPr>
        <w:t>in terms of socio-economic factors within each cluster.</w:t>
      </w:r>
    </w:p>
    <w:p w:rsidR="003D2B7B" w:rsidRPr="00EE2B2E" w:rsidRDefault="003D2B7B" w:rsidP="003D2B7B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The analysis of t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hese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difference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s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is a fundamental step in accomplishing the main goal of the research, which is to develop a method 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for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identifying a vector of changes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that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has the potential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to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increase the migration attractiveness of specific settlements.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0F57E8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On the basis of such an</w:t>
      </w:r>
      <w:r w:rsidR="001A6C0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analysis, the following aspects </w:t>
      </w:r>
      <w:r w:rsidR="000F57E8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can</w:t>
      </w:r>
      <w:r w:rsidR="001A6C0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be assessed:</w:t>
      </w:r>
    </w:p>
    <w:p w:rsidR="001A6C02" w:rsidRPr="00EE2B2E" w:rsidRDefault="001A6C02" w:rsidP="001A6C02">
      <w:pPr>
        <w:pStyle w:val="a8"/>
        <w:numPr>
          <w:ilvl w:val="0"/>
          <w:numId w:val="1"/>
        </w:num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the importance of certain elements (factors) of</w:t>
      </w:r>
      <w:r w:rsidR="000F57E8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the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states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EE2B2E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 xml:space="preserve"> 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on positive net migration</w:t>
      </w:r>
      <w:r w:rsidR="000F57E8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,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both in general and within specific clusters;</w:t>
      </w:r>
    </w:p>
    <w:p w:rsidR="001A6C02" w:rsidRPr="00EE2B2E" w:rsidRDefault="001A6C02" w:rsidP="001A6C02">
      <w:pPr>
        <w:pStyle w:val="a8"/>
        <w:numPr>
          <w:ilvl w:val="0"/>
          <w:numId w:val="1"/>
        </w:num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the presence of stable behavioral dependencies of certain elements (factors) of</w:t>
      </w:r>
      <w:r w:rsidR="000F57E8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the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states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EE2B2E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 xml:space="preserve"> 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in terms of the nature of their impact.</w:t>
      </w:r>
    </w:p>
    <w:p w:rsidR="004D40E0" w:rsidRPr="00EE2B2E" w:rsidRDefault="001606F5" w:rsidP="001606F5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lastRenderedPageBreak/>
        <w:t xml:space="preserve">The difference between positive and negative sub-clusters. 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In order to implement the analysis that mentioned above, it is necessary to divide each cluster into two sub-clusters: “positive” and “negative”. The positive sub-cluster includes only those states m_t that are characterised by net migration s &gt; 0, while the negative sub-cluster is characterised by the opposite condition.</w:t>
      </w:r>
    </w:p>
    <w:p w:rsidR="0045106D" w:rsidRPr="00EE2B2E" w:rsidRDefault="0045106D" w:rsidP="0045106D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The next step is to calculate the median of each element (factor) of the states m_t for specific sub-clusters. Based on these medians, an assessment can be made of how much each factor in the positive sub-cluster differs from the negative one.</w:t>
      </w:r>
    </w:p>
    <w:p w:rsidR="00B56823" w:rsidRPr="00EE2B2E" w:rsidRDefault="00B56823" w:rsidP="0045106D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It should be noted that neither net migration nor population size (popsize) is used as a factor in the process of clusterization. Consequently, the formation of clusters is entirely independent of these characteristics.</w:t>
      </w:r>
    </w:p>
    <w:p w:rsidR="00BD4F22" w:rsidRPr="00EE2B2E" w:rsidRDefault="00334D61" w:rsidP="0045106D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The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diagram below (Fig. </w:t>
      </w:r>
      <w:r w:rsidR="00EF389A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2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) demonstrates the difference between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the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medians of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socio-economic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factors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(elements of </w:t>
      </w:r>
      <w:r w:rsidRPr="00EE2B2E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m_t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) 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from the positive and negative sub-clusters for each cluster. The value less than 0% indicates that th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is 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factor is greater in the negative sub-cluster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compared to the positive sub-cluster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</w:p>
    <w:p w:rsidR="00BD4F22" w:rsidRDefault="00EF389A" w:rsidP="006669A3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Firstly, </w:t>
      </w:r>
      <w:r w:rsidR="006669A3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the diagram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shows some areas of </w:t>
      </w:r>
      <w:r w:rsidR="006669A3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overall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increase and decrease in the difference, illustrating the factors that have a similar nature of impact in all clusters</w:t>
      </w:r>
      <w:r w:rsidR="006669A3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(Fig. 2)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The factors that </w:t>
      </w:r>
      <w:r w:rsidR="006669A3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demonstrate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a common increase in all cases should be considered the most significant, as their higher value</w:t>
      </w:r>
      <w:r w:rsidR="006669A3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s consistently result in 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positive net migration.</w:t>
      </w:r>
      <w:r w:rsidR="006669A3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These include retailturnover (avg. diff. ~11%), harvest (avg. diff. ~17%) and factoriescap (avg. diff. ~18%). The factor agrprod (avg. diff. ~15%) has almost the same influence, except cluster 3 (see Fig. 2, purple line). A similar situation is observed with avgsalary, however, the average difference is quite small ~ 4%.</w:t>
      </w:r>
    </w:p>
    <w:p w:rsidR="00EC2ACD" w:rsidRDefault="00EC2ACD" w:rsidP="00B83E7F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C2ACD">
        <w:rPr>
          <w:rFonts w:ascii="Times New Roman" w:eastAsiaTheme="minorEastAsia" w:hAnsi="Times New Roman" w:cs="Times New Roman"/>
          <w:sz w:val="26"/>
          <w:szCs w:val="26"/>
          <w:lang w:val="en-US"/>
        </w:rPr>
        <w:t>It is important to note that</w:t>
      </w:r>
      <w:r w:rsid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D41AAD" w:rsidRP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>although</w:t>
      </w:r>
      <w:r w:rsidRPr="00EC2AC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the population size was not involved in the clustering process, its higher value </w:t>
      </w:r>
      <w:r w:rsid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>always led to</w:t>
      </w:r>
      <w:r w:rsidRPr="00EC2AC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positive net migration</w:t>
      </w:r>
      <w:r w:rsid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too</w:t>
      </w:r>
      <w:r w:rsidRPr="00EC2AC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(see Fig. 1). This </w:t>
      </w:r>
      <w:r w:rsidR="00D41AAD" w:rsidRP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>result is</w:t>
      </w:r>
      <w:r w:rsid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D41AAD" w:rsidRP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>a</w:t>
      </w:r>
      <w:r w:rsid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>ctually</w:t>
      </w:r>
      <w:r w:rsidRPr="00EC2AC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consistent with the gravitational theory of migration flows [???].</w:t>
      </w:r>
    </w:p>
    <w:p w:rsidR="00B83E7F" w:rsidRDefault="00B83E7F" w:rsidP="00B83E7F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  <w:r w:rsidRPr="00B83E7F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The difference between the positive and negative sub-clusters by the fact</w:t>
      </w:r>
      <w:bookmarkStart w:id="0" w:name="_GoBack"/>
      <w:bookmarkEnd w:id="0"/>
      <w:r w:rsidRPr="00B83E7F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ors ‘beforeschool’ and ‘hospitals’ should be considered </w:t>
      </w:r>
      <w:r w:rsidRPr="00B83E7F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carefully.</w:t>
      </w:r>
      <w:r w:rsidRPr="00B83E7F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The diagram shows that in 5, 4 and 0 clusters these factors actually have a higher value in the negative sub-cluster. This indicates that there is a </w:t>
      </w:r>
      <w:r w:rsidR="00D053F5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positive </w:t>
      </w:r>
      <w:r w:rsidRPr="00B83E7F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net migration when these factors are lower.</w:t>
      </w:r>
    </w:p>
    <w:p w:rsidR="00B83E7F" w:rsidRDefault="00B83E7F" w:rsidP="003B09A6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At first glance, this result may seem contradictory. However, one of the main explanations may be the different type of migration [111] observed in the cluster</w:t>
      </w:r>
      <w:r w:rsidR="003B09A6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s</w:t>
      </w:r>
      <w:r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.</w:t>
      </w:r>
      <w:r w:rsidR="003B09A6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Thus, youth migration </w:t>
      </w:r>
      <w:r w:rsidR="003B09A6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lastRenderedPageBreak/>
        <w:t xml:space="preserve">(cohort 15-19), which moves for educational purposes, strongly prevails in the Russia Federation [111]. </w:t>
      </w:r>
      <w:r w:rsidR="003B09A6" w:rsidRPr="003B09A6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Undoubtedly, the younger generation also migrates for</w:t>
      </w:r>
      <w:r w:rsidR="003B09A6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in the reason of</w:t>
      </w:r>
      <w:r w:rsidR="003B09A6" w:rsidRPr="003B09A6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career </w:t>
      </w:r>
      <w:r w:rsidR="003B09A6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opportunities</w:t>
      </w:r>
      <w:r w:rsidR="003B09A6" w:rsidRPr="003B09A6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.</w:t>
      </w:r>
      <w:r w:rsidR="003B09A6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So, for younger age groups without children, healthcare and per-school organizations are not important factors in decision to move. Also</w:t>
      </w:r>
      <w:r w:rsidR="003B09A6" w:rsidRPr="003B09A6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these clusters (5, 4 and 0) are characterized by high values of foodseats, retaliturnover, harvest, ag</w:t>
      </w:r>
      <w:r w:rsidR="003B09A6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rprod, livestock, which is </w:t>
      </w:r>
      <w:r w:rsidR="003B09A6" w:rsidRPr="003B09A6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consistent with the interests of youth and labour migration.</w:t>
      </w:r>
    </w:p>
    <w:p w:rsidR="004E3C69" w:rsidRDefault="003178A0" w:rsidP="004E3C69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  <w:r w:rsidRPr="003178A0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At the same time, there is also a clear trend of family migration with pre-school age children and so-called retirement migration [111]. The red, green and purple lines of the diagram (see Fig. 1, clusters 1-3), illustrates this trends most clearly around "hospitals" and "beforeschool" factors. In such cases, healthcare and per-school organizations are significant factors in decision-making. In addition, these three clusters are distinguished by positive migration when “sportsvenue” is higher, indicating the availability of opportunities for children to engage in sports.</w:t>
      </w:r>
    </w:p>
    <w:p w:rsidR="004E3C69" w:rsidRPr="004E3C69" w:rsidRDefault="004E3C69" w:rsidP="004E3C69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However, it is obvious that not only</w:t>
      </w:r>
      <w:r w:rsidR="00EC2AC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the</w:t>
      </w:r>
      <w:r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types of migration in the country [111] could explain such a difference. For </w:t>
      </w:r>
      <w:r w:rsidRPr="004E3C69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instance,</w:t>
      </w:r>
      <w:r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the nature of the factors </w:t>
      </w:r>
      <w:r w:rsidR="00EC2ACD" w:rsidRPr="00EC2AC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is quantitative</w:t>
      </w:r>
      <w:r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, while </w:t>
      </w:r>
      <w:r w:rsidRPr="004E3C69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the qualitative aspects</w:t>
      </w:r>
      <w:r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are also significant</w:t>
      </w:r>
      <w:r w:rsidR="00EC2AC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(fewer</w:t>
      </w:r>
      <w:r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hospitals, but better in terms of </w:t>
      </w:r>
      <w:r w:rsidRPr="004E3C69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medical equipment </w:t>
      </w:r>
      <w:r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etc.</w:t>
      </w:r>
      <w:r w:rsidRPr="004E3C69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)</w:t>
      </w:r>
      <w:r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.</w:t>
      </w:r>
    </w:p>
    <w:sectPr w:rsidR="004E3C69" w:rsidRPr="004E3C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316" w:rsidRDefault="004A4316" w:rsidP="00075B6D">
      <w:pPr>
        <w:spacing w:after="0" w:line="240" w:lineRule="auto"/>
      </w:pPr>
      <w:r>
        <w:separator/>
      </w:r>
    </w:p>
  </w:endnote>
  <w:endnote w:type="continuationSeparator" w:id="0">
    <w:p w:rsidR="004A4316" w:rsidRDefault="004A4316" w:rsidP="00075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316" w:rsidRDefault="004A4316" w:rsidP="00075B6D">
      <w:pPr>
        <w:spacing w:after="0" w:line="240" w:lineRule="auto"/>
      </w:pPr>
      <w:r>
        <w:separator/>
      </w:r>
    </w:p>
  </w:footnote>
  <w:footnote w:type="continuationSeparator" w:id="0">
    <w:p w:rsidR="004A4316" w:rsidRDefault="004A4316" w:rsidP="00075B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5D4C"/>
    <w:multiLevelType w:val="hybridMultilevel"/>
    <w:tmpl w:val="0A967DA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C53"/>
    <w:rsid w:val="00002365"/>
    <w:rsid w:val="00010321"/>
    <w:rsid w:val="0001228F"/>
    <w:rsid w:val="00075B6D"/>
    <w:rsid w:val="00094DF8"/>
    <w:rsid w:val="000A3BCB"/>
    <w:rsid w:val="000D2430"/>
    <w:rsid w:val="000E304A"/>
    <w:rsid w:val="000F57E8"/>
    <w:rsid w:val="00125E44"/>
    <w:rsid w:val="00140A47"/>
    <w:rsid w:val="00156D14"/>
    <w:rsid w:val="001606F5"/>
    <w:rsid w:val="00172746"/>
    <w:rsid w:val="001A00E4"/>
    <w:rsid w:val="001A6C02"/>
    <w:rsid w:val="001B12A2"/>
    <w:rsid w:val="001B494E"/>
    <w:rsid w:val="001B5E23"/>
    <w:rsid w:val="001E0BAA"/>
    <w:rsid w:val="001F065B"/>
    <w:rsid w:val="002333A8"/>
    <w:rsid w:val="00254189"/>
    <w:rsid w:val="00274B12"/>
    <w:rsid w:val="002963F7"/>
    <w:rsid w:val="00296652"/>
    <w:rsid w:val="002B350E"/>
    <w:rsid w:val="002E46F7"/>
    <w:rsid w:val="002E532A"/>
    <w:rsid w:val="003178A0"/>
    <w:rsid w:val="00334D61"/>
    <w:rsid w:val="00352DFF"/>
    <w:rsid w:val="003B09A6"/>
    <w:rsid w:val="003D2B7B"/>
    <w:rsid w:val="003F522E"/>
    <w:rsid w:val="00401D62"/>
    <w:rsid w:val="0045106D"/>
    <w:rsid w:val="0046732D"/>
    <w:rsid w:val="00470832"/>
    <w:rsid w:val="00486AD6"/>
    <w:rsid w:val="004A4316"/>
    <w:rsid w:val="004D40E0"/>
    <w:rsid w:val="004E3C69"/>
    <w:rsid w:val="0052356F"/>
    <w:rsid w:val="00531C53"/>
    <w:rsid w:val="0054680D"/>
    <w:rsid w:val="00560666"/>
    <w:rsid w:val="00596C91"/>
    <w:rsid w:val="005B4AF7"/>
    <w:rsid w:val="005C271F"/>
    <w:rsid w:val="005C57D3"/>
    <w:rsid w:val="005D0BA0"/>
    <w:rsid w:val="005E5F29"/>
    <w:rsid w:val="00647880"/>
    <w:rsid w:val="00665640"/>
    <w:rsid w:val="006669A3"/>
    <w:rsid w:val="00683808"/>
    <w:rsid w:val="006A1ADF"/>
    <w:rsid w:val="006A54BB"/>
    <w:rsid w:val="006A5D3B"/>
    <w:rsid w:val="006C0F4D"/>
    <w:rsid w:val="006D0019"/>
    <w:rsid w:val="007116CC"/>
    <w:rsid w:val="00716CF6"/>
    <w:rsid w:val="00773EBE"/>
    <w:rsid w:val="00781C27"/>
    <w:rsid w:val="00797D96"/>
    <w:rsid w:val="008547DF"/>
    <w:rsid w:val="00877D59"/>
    <w:rsid w:val="00891E1B"/>
    <w:rsid w:val="0090104F"/>
    <w:rsid w:val="009017C2"/>
    <w:rsid w:val="0092122D"/>
    <w:rsid w:val="00970EEF"/>
    <w:rsid w:val="00974AE2"/>
    <w:rsid w:val="00986B4D"/>
    <w:rsid w:val="00987414"/>
    <w:rsid w:val="009A0F89"/>
    <w:rsid w:val="009A206D"/>
    <w:rsid w:val="009A3CD2"/>
    <w:rsid w:val="009A7B50"/>
    <w:rsid w:val="009D0DED"/>
    <w:rsid w:val="009F007C"/>
    <w:rsid w:val="00A24093"/>
    <w:rsid w:val="00A263BA"/>
    <w:rsid w:val="00A27B83"/>
    <w:rsid w:val="00A86603"/>
    <w:rsid w:val="00AA55AD"/>
    <w:rsid w:val="00AA6940"/>
    <w:rsid w:val="00AA7AF0"/>
    <w:rsid w:val="00AE10D7"/>
    <w:rsid w:val="00AE1149"/>
    <w:rsid w:val="00B0087E"/>
    <w:rsid w:val="00B1711A"/>
    <w:rsid w:val="00B4004C"/>
    <w:rsid w:val="00B56823"/>
    <w:rsid w:val="00B760CD"/>
    <w:rsid w:val="00B83E7F"/>
    <w:rsid w:val="00BA172C"/>
    <w:rsid w:val="00BD4F22"/>
    <w:rsid w:val="00BE284D"/>
    <w:rsid w:val="00C46B91"/>
    <w:rsid w:val="00CD0784"/>
    <w:rsid w:val="00CD3B30"/>
    <w:rsid w:val="00CE4AEA"/>
    <w:rsid w:val="00D053F5"/>
    <w:rsid w:val="00D41AAD"/>
    <w:rsid w:val="00D5012C"/>
    <w:rsid w:val="00D521DE"/>
    <w:rsid w:val="00D91437"/>
    <w:rsid w:val="00DD0815"/>
    <w:rsid w:val="00DD6E3A"/>
    <w:rsid w:val="00E21279"/>
    <w:rsid w:val="00E75502"/>
    <w:rsid w:val="00E81CC9"/>
    <w:rsid w:val="00E8639A"/>
    <w:rsid w:val="00E92311"/>
    <w:rsid w:val="00EB4E14"/>
    <w:rsid w:val="00EC2ACD"/>
    <w:rsid w:val="00EE2B2E"/>
    <w:rsid w:val="00EF389A"/>
    <w:rsid w:val="00F12E3F"/>
    <w:rsid w:val="00F67128"/>
    <w:rsid w:val="00F76DD9"/>
    <w:rsid w:val="00F95178"/>
    <w:rsid w:val="00FB3DFE"/>
    <w:rsid w:val="00FC13C6"/>
    <w:rsid w:val="00FE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3629E"/>
  <w15:chartTrackingRefBased/>
  <w15:docId w15:val="{8406F296-476F-496A-A4EF-D351ED6C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4B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12A2"/>
    <w:rPr>
      <w:color w:val="808080"/>
    </w:rPr>
  </w:style>
  <w:style w:type="paragraph" w:styleId="a4">
    <w:name w:val="header"/>
    <w:basedOn w:val="a"/>
    <w:link w:val="a5"/>
    <w:uiPriority w:val="99"/>
    <w:unhideWhenUsed/>
    <w:rsid w:val="00075B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75B6D"/>
  </w:style>
  <w:style w:type="paragraph" w:styleId="a6">
    <w:name w:val="footer"/>
    <w:basedOn w:val="a"/>
    <w:link w:val="a7"/>
    <w:uiPriority w:val="99"/>
    <w:unhideWhenUsed/>
    <w:rsid w:val="00075B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75B6D"/>
  </w:style>
  <w:style w:type="paragraph" w:styleId="a8">
    <w:name w:val="List Paragraph"/>
    <w:basedOn w:val="a"/>
    <w:uiPriority w:val="34"/>
    <w:qFormat/>
    <w:rsid w:val="001A6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2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</Pages>
  <Words>1971</Words>
  <Characters>11240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71</cp:revision>
  <dcterms:created xsi:type="dcterms:W3CDTF">2025-03-31T05:44:00Z</dcterms:created>
  <dcterms:modified xsi:type="dcterms:W3CDTF">2025-04-07T09:55:00Z</dcterms:modified>
</cp:coreProperties>
</file>