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0B016C"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0B016C"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0B016C"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0B016C"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0B016C"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FA7C0A"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FA7C0A"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F02520" w:rsidRDefault="00693E21" w:rsidP="00F67128">
      <w:pPr>
        <w:spacing w:after="0" w:line="360" w:lineRule="auto"/>
        <w:ind w:left="-567" w:firstLine="567"/>
        <w:jc w:val="both"/>
        <w:rPr>
          <w:rFonts w:ascii="Times New Roman" w:eastAsiaTheme="minorEastAsia" w:hAnsi="Times New Roman" w:cs="Times New Roman"/>
          <w:b/>
          <w:sz w:val="26"/>
          <w:szCs w:val="26"/>
          <w:lang w:val="en-US"/>
        </w:rPr>
      </w:pPr>
      <w:r w:rsidRPr="00F02520">
        <w:rPr>
          <w:rFonts w:ascii="Times New Roman" w:eastAsiaTheme="minorEastAsia" w:hAnsi="Times New Roman" w:cs="Times New Roman"/>
          <w:b/>
          <w:sz w:val="26"/>
          <w:szCs w:val="26"/>
          <w:lang w:val="en-US"/>
        </w:rPr>
        <w:lastRenderedPageBreak/>
        <w:t>Related works</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In our research we try to find some practical way to improve the people's satisfaction by the life conditions regulation. On the theoretical level the research by J.C. Ott  [ Ott. 2011] deals with similar issues, investigating the relation between governance quality and people's happiness.</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As stated in the introduction, net migration is used as an objective measure of people’s satisfaction. And the socio-economic environment of a municipality is one of the key factors influencing migration attractiveness [наша статья]. Therefore, to improve people's satisfaction, the relationship between socio-economic conditions and net migration should be analysed. Cluster analysis is a reasonable choice for this purpose, as it is a widely used method and has already been applied to similar problems [2-6].</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In the study [4] (Petrov A., Churilova E., and Nikiforova E.), clustering analysis was used to evaluate correlations between various socio-economic indicators, with particular attention given to GRP. Additionally, Russian regions were classified according to their demographic situation based on fundamental components: birth rate, mortality, and migration [4].</w:t>
      </w:r>
    </w:p>
    <w:p w:rsidR="00693E21" w:rsidRP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The socio-economic environment of Russian regions was also analysed in the research [5] (Aybulat G. Karimov, Salavat Kh. Kadyrov, and Elena V. Kabanova), where clustering analysis was applied from the standpoint of evaluating poverty [5]. The study by Fattakhov R.V., Nizamutdinov M.M., and Oreshnikov V.V. focused on regional differentiation and was also based on clustering specific socio-economic indicators [6].</w:t>
      </w:r>
    </w:p>
    <w:p w:rsidR="00693E21" w:rsidRDefault="00693E21" w:rsidP="00693E21">
      <w:pPr>
        <w:spacing w:after="0" w:line="360" w:lineRule="auto"/>
        <w:ind w:left="-567" w:firstLine="567"/>
        <w:jc w:val="both"/>
        <w:rPr>
          <w:rFonts w:ascii="Times New Roman" w:eastAsiaTheme="minorEastAsia" w:hAnsi="Times New Roman" w:cs="Times New Roman"/>
          <w:sz w:val="26"/>
          <w:szCs w:val="26"/>
          <w:lang w:val="en-US"/>
        </w:rPr>
      </w:pPr>
      <w:r w:rsidRPr="00693E21">
        <w:rPr>
          <w:rFonts w:ascii="Times New Roman" w:eastAsiaTheme="minorEastAsia" w:hAnsi="Times New Roman" w:cs="Times New Roman"/>
          <w:sz w:val="26"/>
          <w:szCs w:val="26"/>
          <w:lang w:val="en-US"/>
        </w:rPr>
        <w:t>It is clear that all these studies share a common goal: to define crucial data that can support the planning process at improving the socio-economic environment of municipalities. The main distinction in the goal of the current research is not only in analysing the socio-economic state in the context of migration attractiveness, but also in developing approaches for identifying, implementing, and assessing the necessary changes to improve net migration.</w:t>
      </w:r>
    </w:p>
    <w:p w:rsidR="00693E21" w:rsidRPr="00FA7C0A" w:rsidRDefault="00FA7C0A" w:rsidP="00FA7C0A">
      <w:pPr>
        <w:spacing w:after="0" w:line="360" w:lineRule="auto"/>
        <w:ind w:left="-567" w:firstLine="567"/>
        <w:jc w:val="both"/>
        <w:rPr>
          <w:rFonts w:ascii="Times New Roman" w:eastAsiaTheme="minorEastAsia" w:hAnsi="Times New Roman" w:cs="Times New Roman"/>
          <w:sz w:val="26"/>
          <w:szCs w:val="26"/>
          <w:lang w:val="en-US"/>
        </w:rPr>
      </w:pPr>
      <w:r w:rsidRPr="00FA7C0A">
        <w:rPr>
          <w:rFonts w:ascii="Times New Roman" w:eastAsiaTheme="minorEastAsia" w:hAnsi="Times New Roman" w:cs="Times New Roman"/>
          <w:sz w:val="26"/>
          <w:szCs w:val="26"/>
          <w:lang w:val="en-US"/>
        </w:rPr>
        <w:t>In addition, it is worth noting that analysing migration flows and their drivers are also in high relevance [7, 8, 9]. The research by E.R. Barker and J. Bijak discusses the importance of macroeconomic indicators as fundamental drivers of migration [9]. Although the influence of such indicators is widely acknowledged, there is ongoing debate about specific sets of indicators and the extent of their significance [9]. However, the primary focus of these studies is on developing models to forecast migration [7, 8, 9].  If such a model uses data from the socio-</w:t>
      </w:r>
      <w:r w:rsidRPr="00FA7C0A">
        <w:rPr>
          <w:rFonts w:ascii="Times New Roman" w:eastAsiaTheme="minorEastAsia" w:hAnsi="Times New Roman" w:cs="Times New Roman"/>
          <w:sz w:val="26"/>
          <w:szCs w:val="26"/>
          <w:lang w:val="en-US"/>
        </w:rPr>
        <w:lastRenderedPageBreak/>
        <w:t>economic system, it could serve as a valuable tool for assessing how particular changes in the environment may affect net migration.</w:t>
      </w: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F02520" w:rsidRDefault="009C3F1D" w:rsidP="00F02520">
      <w:pPr>
        <w:spacing w:after="0" w:line="360" w:lineRule="auto"/>
        <w:ind w:left="-567" w:firstLine="567"/>
        <w:jc w:val="both"/>
        <w:rPr>
          <w:rFonts w:ascii="Times New Roman" w:eastAsiaTheme="minorEastAsia" w:hAnsi="Times New Roman" w:cs="Times New Roman"/>
          <w:b/>
          <w:sz w:val="26"/>
          <w:szCs w:val="26"/>
          <w:lang w:val="en-US"/>
        </w:rPr>
      </w:pPr>
      <w:bookmarkStart w:id="0" w:name="_GoBack"/>
      <w:r w:rsidRPr="00F02520">
        <w:rPr>
          <w:rFonts w:ascii="Times New Roman" w:eastAsiaTheme="minorEastAsia" w:hAnsi="Times New Roman" w:cs="Times New Roman"/>
          <w:b/>
          <w:sz w:val="26"/>
          <w:szCs w:val="26"/>
          <w:lang w:val="en-US"/>
        </w:rPr>
        <w:t>Real-world data.</w:t>
      </w:r>
    </w:p>
    <w:bookmarkEnd w:id="0"/>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0B016C"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0B016C"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0B016C"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0B016C"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0B016C"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0B016C"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It should be noted that neither net migration s nor population size (popsize) is used as a factor in the process of clusterization. Consequently, the formation of clusters is entirely independent of these characteristics. All factors were normalized per capita to ensure a fairer partition. However, after the clustering process, it is reasonable to analyse the results in their absolute values as well.</w:t>
      </w:r>
    </w:p>
    <w:p w:rsidR="00381879" w:rsidRPr="00381879" w:rsidRDefault="00381879" w:rsidP="0038187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381879">
        <w:rPr>
          <w:rFonts w:ascii="Times New Roman" w:eastAsiaTheme="minorEastAsia" w:hAnsi="Times New Roman" w:cs="Times New Roman"/>
          <w:sz w:val="26"/>
          <w:szCs w:val="26"/>
          <w:lang w:val="en-US"/>
        </w:rPr>
        <w:t>The diagram below (Fig. 3a) illustrates the difference in the median values of socio-economic factors (elements of m_t) between the positive and negative sub-clusters within each cluster, expressed in per capita terms. A value less than 0% indicates that this factor is greater in the negative sub-cluster compared to the positive sub-cluster.</w:t>
      </w:r>
    </w:p>
    <w:p w:rsidR="004E3530" w:rsidRPr="004E3530" w:rsidRDefault="004E3530" w:rsidP="004E3530">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4E3530">
        <w:rPr>
          <w:rFonts w:ascii="Times New Roman" w:eastAsiaTheme="minorEastAsia" w:hAnsi="Times New Roman" w:cs="Times New Roman"/>
          <w:sz w:val="26"/>
          <w:szCs w:val="26"/>
          <w:lang w:val="en-US"/>
        </w:rPr>
        <w:t xml:space="preserve">Firstly, the diagram highlights areas of overall increase and decrease in the difference between sub-clusters, illustrating factors that have a similar nature of impact in all clusters (Fig. 3a). Factors that demonstrate a common increase in all cases should be considered the most significant, as their higher values consistently result in positive net migration. These include “retailturnover” (average difference ~15%), “factoriescap” (~15%), and “harvest” (~13%). </w:t>
      </w:r>
    </w:p>
    <w:p w:rsidR="00381879" w:rsidRDefault="004E3530" w:rsidP="004E3530">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4E3530">
        <w:rPr>
          <w:rFonts w:ascii="Times New Roman" w:eastAsiaTheme="minorEastAsia" w:hAnsi="Times New Roman" w:cs="Times New Roman"/>
          <w:sz w:val="26"/>
          <w:szCs w:val="26"/>
          <w:lang w:val="en-US"/>
        </w:rPr>
        <w:t>The nature of these factors does not change, when the results are analyzed in absolute terms (Fig. 3b), although the magnitude of differences approximately doubles - “retailturnover” and “factoriescap” increase to ~32%, and “harvest” to ~30%. However, the influence of several other factors changes considerably. In per capita terms, there are seven factors that showed a negative average difference, while in absolute value terms, only one does - “hospitals” (see Fig. 3). For example, “servicesnum” shifts from -3% in per capita terms to 12% in absolute terms, and “sportsvenue” from -9% to 4% etc. The reason could be the quantitative nature of these features: less populated municipalities  can appear more favorable in per capita terms, whereas the qualitative aspect remains uncertain. In such cases, higher absolute values may be a sign of successful municipalities.</w:t>
      </w:r>
      <w:r w:rsidR="00381879" w:rsidRPr="00381879">
        <w:rPr>
          <w:rFonts w:ascii="Times New Roman" w:eastAsiaTheme="minorEastAsia" w:hAnsi="Times New Roman" w:cs="Times New Roman"/>
          <w:sz w:val="26"/>
          <w:szCs w:val="26"/>
          <w:lang w:val="en-US"/>
        </w:rPr>
        <w:t xml:space="preserve">negative average difference, while in absolute value terms it is only 1 </w:t>
      </w:r>
      <w:r w:rsidR="00381879" w:rsidRPr="00381879">
        <w:rPr>
          <w:rFonts w:ascii="Times New Roman" w:eastAsiaTheme="minorEastAsia" w:hAnsi="Times New Roman" w:cs="Times New Roman"/>
          <w:sz w:val="26"/>
          <w:szCs w:val="26"/>
          <w:lang w:val="en-US"/>
        </w:rPr>
        <w:lastRenderedPageBreak/>
        <w:t>- hospitals (see Fig. 3a, 3b).</w:t>
      </w:r>
      <w:r w:rsidR="00FA7C0A">
        <w:rPr>
          <w:rFonts w:ascii="Times New Roman" w:eastAsiaTheme="minorEastAsia" w:hAnsi="Times New Roman" w:cs="Times New Roman"/>
          <w:sz w:val="26"/>
          <w:szCs w:val="26"/>
          <w:lang w:val="en-US"/>
        </w:rPr>
        <w:pict>
          <v:shape id="_x0000_i1027" type="#_x0000_t75" style="width:467.25pt;height:403.5pt">
            <v:imagedata r:id="rId10" o:title="1"/>
          </v:shape>
        </w:pic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FA7C0A"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8" type="#_x0000_t75" style="width:411.75pt;height:320.25pt">
            <v:imagedata r:id="rId11"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p>
    <w:p w:rsidR="00972286" w:rsidRDefault="00FA7C0A"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9" type="#_x0000_t75" style="width:424.5pt;height:306.75pt">
            <v:imagedata r:id="rId12"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FA7C0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30" type="#_x0000_t75" style="width:467.25pt;height:247.5pt">
            <v:imagedata r:id="rId13"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FA7C0A"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1" type="#_x0000_t75" style="width:467.25pt;height:191.25pt">
            <v:imagedata r:id="rId14"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Extra-cluster approach. Firstly, as stated in Section 3.2.1, in order to implement this approach, it is necessary to determine the clusters that are most attractive in terms of migration. This can be evaluated by analyzing the average net migration and the population size of each cluster (see Table 2).</w:t>
      </w:r>
    </w:p>
    <w:p w:rsidR="00A81CFC" w:rsidRPr="00A81CFC"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Cluster 4 has the worst average net migration (-132.8; see Table 2). However, its population size is ~47 thousand (column 3, Table 2). Cluster 2 shows a better average net migration of -113.7, but its population is significantly smaller, at around 14 thousand. Therefore, it is important to consider the ratio of net migration to population size when assessing overall migration attractiveness (see column 4, Table 2).</w:t>
      </w:r>
    </w:p>
    <w:p w:rsidR="00AB5CC8" w:rsidRDefault="00A81CFC" w:rsidP="00A81CF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81CFC">
        <w:rPr>
          <w:rFonts w:ascii="Times New Roman" w:eastAsiaTheme="minorEastAsia" w:hAnsi="Times New Roman" w:cs="Times New Roman"/>
          <w:color w:val="000000" w:themeColor="text1"/>
          <w:sz w:val="26"/>
          <w:szCs w:val="26"/>
          <w:lang w:val="en-US"/>
        </w:rPr>
        <w:t>Since the average net migration in all clusters is negative, the best clusters are those with the lowest outflow. The ratio shows that in Cluster 2 ~0.77% of the population leaves their municipality each year, while in Cluster 4 it is only ~0.28% - approximately three times lower.</w:t>
      </w: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Default="003A21AF" w:rsidP="003A21AF">
      <w:pPr>
        <w:spacing w:after="0" w:line="240" w:lineRule="auto"/>
        <w:ind w:firstLine="567"/>
        <w:jc w:val="right"/>
        <w:rPr>
          <w:rFonts w:ascii="Times New Roman" w:eastAsia="Times New Roman" w:hAnsi="Times New Roman" w:cs="Times New Roman"/>
          <w:color w:val="FF0000"/>
          <w:sz w:val="26"/>
          <w:szCs w:val="26"/>
          <w:lang w:val="en-US" w:eastAsia="ru-RU"/>
        </w:rPr>
      </w:pP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val="en-US" w:eastAsia="ru-RU"/>
        </w:rPr>
      </w:pPr>
      <w:r w:rsidRPr="003A21AF">
        <w:rPr>
          <w:rFonts w:ascii="Times New Roman" w:eastAsia="Times New Roman" w:hAnsi="Times New Roman" w:cs="Times New Roman"/>
          <w:sz w:val="26"/>
          <w:szCs w:val="26"/>
          <w:lang w:val="en-US" w:eastAsia="ru-RU"/>
        </w:rPr>
        <w:lastRenderedPageBreak/>
        <w:t>Table 2. Average values of net migration, population size </w:t>
      </w:r>
    </w:p>
    <w:p w:rsidR="003A21AF" w:rsidRPr="003A21AF" w:rsidRDefault="003A21AF" w:rsidP="003A21AF">
      <w:pPr>
        <w:spacing w:after="0" w:line="360" w:lineRule="auto"/>
        <w:ind w:firstLine="567"/>
        <w:jc w:val="right"/>
        <w:rPr>
          <w:rFonts w:ascii="Times New Roman" w:eastAsia="Times New Roman" w:hAnsi="Times New Roman" w:cs="Times New Roman"/>
          <w:sz w:val="24"/>
          <w:szCs w:val="24"/>
          <w:lang w:eastAsia="ru-RU"/>
        </w:rPr>
      </w:pPr>
      <w:r w:rsidRPr="003A21AF">
        <w:rPr>
          <w:rFonts w:ascii="Times New Roman" w:eastAsia="Times New Roman" w:hAnsi="Times New Roman" w:cs="Times New Roman"/>
          <w:sz w:val="26"/>
          <w:szCs w:val="26"/>
          <w:lang w:eastAsia="ru-RU"/>
        </w:rPr>
        <w:t>and the corresponding ratio  </w:t>
      </w:r>
    </w:p>
    <w:tbl>
      <w:tblPr>
        <w:tblW w:w="0" w:type="auto"/>
        <w:jc w:val="right"/>
        <w:tblCellMar>
          <w:top w:w="15" w:type="dxa"/>
          <w:left w:w="15" w:type="dxa"/>
          <w:bottom w:w="15" w:type="dxa"/>
          <w:right w:w="15" w:type="dxa"/>
        </w:tblCellMar>
        <w:tblLook w:val="04A0" w:firstRow="1" w:lastRow="0" w:firstColumn="1" w:lastColumn="0" w:noHBand="0" w:noVBand="1"/>
      </w:tblPr>
      <w:tblGrid>
        <w:gridCol w:w="836"/>
        <w:gridCol w:w="2168"/>
        <w:gridCol w:w="2339"/>
        <w:gridCol w:w="1364"/>
      </w:tblGrid>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net migration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Avg. population size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|(a / b) * 100|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33946,3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0,20%</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49304,2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0,19%</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14779,8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0,77%</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29055,7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0,32%</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47699,4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0,28%</w:t>
            </w:r>
          </w:p>
        </w:tc>
      </w:tr>
      <w:tr w:rsidR="003A21AF" w:rsidRPr="003A21AF" w:rsidTr="003A21AF">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-130,8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30787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21AF" w:rsidRPr="003A21AF" w:rsidRDefault="003A21AF" w:rsidP="003A21AF">
            <w:pPr>
              <w:spacing w:after="0" w:line="240" w:lineRule="auto"/>
              <w:jc w:val="center"/>
              <w:rPr>
                <w:rFonts w:ascii="Times New Roman" w:eastAsia="Times New Roman" w:hAnsi="Times New Roman" w:cs="Times New Roman"/>
                <w:sz w:val="24"/>
                <w:szCs w:val="24"/>
                <w:lang w:eastAsia="ru-RU"/>
              </w:rPr>
            </w:pPr>
            <w:r w:rsidRPr="003A21AF">
              <w:rPr>
                <w:rFonts w:ascii="Times New Roman" w:eastAsia="Times New Roman" w:hAnsi="Times New Roman" w:cs="Times New Roman"/>
                <w:color w:val="000000"/>
                <w:lang w:eastAsia="ru-RU"/>
              </w:rPr>
              <w:t>0,42%</w:t>
            </w:r>
          </w:p>
        </w:tc>
      </w:tr>
    </w:tbl>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3A21AF" w:rsidRDefault="003A21AF" w:rsidP="003A21AF">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3A21AF">
        <w:rPr>
          <w:rFonts w:ascii="Times New Roman" w:eastAsiaTheme="minorEastAsia" w:hAnsi="Times New Roman" w:cs="Times New Roman"/>
          <w:color w:val="000000" w:themeColor="text1"/>
          <w:sz w:val="26"/>
          <w:szCs w:val="26"/>
          <w:lang w:val="en-US"/>
        </w:rPr>
        <w:t>Based on the ratio, clusters 1, 0 and 4 can be considered as the most attractive. Now it is reasonable to use the extra-cluster approach to create a development vector for examples from the less favourable clusters.</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And the second additional step of the approach arises at this point (see section 3.2.1). It involves identifying the specific cluster that will serve as a development vector for a given input example. One of the simplest methods for selecting suitable clusters is to use the mean squared error (MSE):</w:t>
      </w:r>
    </w:p>
    <w:p w:rsidR="00D16323" w:rsidRPr="00D16323" w:rsidRDefault="00D16323" w:rsidP="00E07E55">
      <w:pPr>
        <w:tabs>
          <w:tab w:val="left" w:pos="284"/>
        </w:tabs>
        <w:spacing w:after="0" w:line="360" w:lineRule="auto"/>
        <w:ind w:left="-567" w:firstLine="567"/>
        <w:jc w:val="center"/>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MSE(pos_g^med, m_t^e),</w:t>
      </w:r>
    </w:p>
    <w:p w:rsidR="00D16323" w:rsidRPr="00D16323" w:rsidRDefault="00D16323" w:rsidP="00D16323">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D16323">
        <w:rPr>
          <w:rFonts w:ascii="Times New Roman" w:eastAsiaTheme="minorEastAsia" w:hAnsi="Times New Roman" w:cs="Times New Roman"/>
          <w:color w:val="000000" w:themeColor="text1"/>
          <w:sz w:val="26"/>
          <w:szCs w:val="26"/>
          <w:lang w:val="en-US"/>
        </w:rPr>
        <w:t>where e - is an index of input example. So the cluster with lowest MSE for input example will be defined as the most similar, which require less radical vector of development.</w:t>
      </w:r>
    </w:p>
    <w:p w:rsidR="0072565C" w:rsidRPr="0072565C"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The same experiment was conducted to evaluate the extra-cluster approach. However, examples from Clusters 1, 0 and 4 were excluded (30 examples in total). This is due to the fact that examples from these clusters would not move to another cluster, resulting in the same outcome as the intra-cluster approach.</w:t>
      </w:r>
    </w:p>
    <w:p w:rsidR="00375245" w:rsidRDefault="0072565C"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72565C">
        <w:rPr>
          <w:rFonts w:ascii="Times New Roman" w:eastAsiaTheme="minorEastAsia" w:hAnsi="Times New Roman" w:cs="Times New Roman"/>
          <w:color w:val="000000" w:themeColor="text1"/>
          <w:sz w:val="26"/>
          <w:szCs w:val="26"/>
          <w:lang w:val="en-US"/>
        </w:rPr>
        <w:t>In the diagram below (see Fig. ???), the red line represents predictions for the extra-cluster approach, while the green line corresponds to the intra-cluster approach. Although the difference is not substantial, in 80% of cases (24 out of 30) the extra-cluster method provides better results. The average predicted outflow for the intra-cluster scenario is approximately -116 (within 30 examples), while for the extra-cluster approach it is -102 – around 12% lower.</w:t>
      </w:r>
    </w:p>
    <w:p w:rsidR="0072565C" w:rsidRDefault="00FA7C0A"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32" type="#_x0000_t75" style="width:467.25pt;height:204pt">
            <v:imagedata r:id="rId15" o:title="Снимок 4"/>
          </v:shape>
        </w:pict>
      </w:r>
    </w:p>
    <w:p w:rsidR="0072565C" w:rsidRPr="0072565C" w:rsidRDefault="0072565C" w:rsidP="0072565C">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w:t>
      </w:r>
      <w:r w:rsidRPr="00505983">
        <w:rPr>
          <w:rFonts w:ascii="Times New Roman" w:eastAsiaTheme="minorEastAsia" w:hAnsi="Times New Roman" w:cs="Times New Roman"/>
          <w:sz w:val="26"/>
          <w:szCs w:val="26"/>
          <w:lang w:val="en-US"/>
        </w:rPr>
        <w:t xml:space="preserve">. </w:t>
      </w:r>
      <w:r w:rsidRPr="0072565C">
        <w:rPr>
          <w:rFonts w:ascii="Times New Roman" w:eastAsiaTheme="minorEastAsia" w:hAnsi="Times New Roman" w:cs="Times New Roman"/>
          <w:sz w:val="26"/>
          <w:szCs w:val="26"/>
          <w:lang w:val="en-US"/>
        </w:rPr>
        <w:t>The extra-cluster approach compared to the intra-cluster</w:t>
      </w:r>
    </w:p>
    <w:p w:rsidR="0072565C" w:rsidRPr="00A81CFC" w:rsidRDefault="00684900" w:rsidP="0072565C">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684900">
        <w:rPr>
          <w:rFonts w:ascii="Times New Roman" w:eastAsiaTheme="minorEastAsia" w:hAnsi="Times New Roman" w:cs="Times New Roman"/>
          <w:color w:val="000000" w:themeColor="text1"/>
          <w:sz w:val="26"/>
          <w:szCs w:val="26"/>
          <w:lang w:val="en-US"/>
        </w:rPr>
        <w:t>The experiment demonstrated that the scenario of transition from one cluster to another has the potential to further improve migration attractiveness.</w:t>
      </w:r>
    </w:p>
    <w:sectPr w:rsidR="0072565C" w:rsidRPr="00A81C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16C" w:rsidRDefault="000B016C" w:rsidP="00075B6D">
      <w:pPr>
        <w:spacing w:after="0" w:line="240" w:lineRule="auto"/>
      </w:pPr>
      <w:r>
        <w:separator/>
      </w:r>
    </w:p>
  </w:endnote>
  <w:endnote w:type="continuationSeparator" w:id="0">
    <w:p w:rsidR="000B016C" w:rsidRDefault="000B016C"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16C" w:rsidRDefault="000B016C" w:rsidP="00075B6D">
      <w:pPr>
        <w:spacing w:after="0" w:line="240" w:lineRule="auto"/>
      </w:pPr>
      <w:r>
        <w:separator/>
      </w:r>
    </w:p>
  </w:footnote>
  <w:footnote w:type="continuationSeparator" w:id="0">
    <w:p w:rsidR="000B016C" w:rsidRDefault="000B016C"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B016C"/>
    <w:rsid w:val="000C3E33"/>
    <w:rsid w:val="000D2430"/>
    <w:rsid w:val="000E1F75"/>
    <w:rsid w:val="000E2F06"/>
    <w:rsid w:val="000E304A"/>
    <w:rsid w:val="000F4C9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0B51"/>
    <w:rsid w:val="00345028"/>
    <w:rsid w:val="00352DFF"/>
    <w:rsid w:val="00375245"/>
    <w:rsid w:val="00381087"/>
    <w:rsid w:val="00381879"/>
    <w:rsid w:val="003A061D"/>
    <w:rsid w:val="003A21AF"/>
    <w:rsid w:val="003B09A6"/>
    <w:rsid w:val="003C3517"/>
    <w:rsid w:val="003D2B7B"/>
    <w:rsid w:val="003E2912"/>
    <w:rsid w:val="003E71F5"/>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530"/>
    <w:rsid w:val="004E3C69"/>
    <w:rsid w:val="00505983"/>
    <w:rsid w:val="00512C68"/>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4900"/>
    <w:rsid w:val="00685B15"/>
    <w:rsid w:val="00693E21"/>
    <w:rsid w:val="006A1ADF"/>
    <w:rsid w:val="006A54BB"/>
    <w:rsid w:val="006A5D3B"/>
    <w:rsid w:val="006B39E8"/>
    <w:rsid w:val="006C0F4D"/>
    <w:rsid w:val="006D0019"/>
    <w:rsid w:val="006D4EC2"/>
    <w:rsid w:val="00711205"/>
    <w:rsid w:val="007116CC"/>
    <w:rsid w:val="00716CF6"/>
    <w:rsid w:val="00721ACC"/>
    <w:rsid w:val="0072565C"/>
    <w:rsid w:val="007443FB"/>
    <w:rsid w:val="00747AB9"/>
    <w:rsid w:val="00750E2B"/>
    <w:rsid w:val="00754EBE"/>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3F1D"/>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1CFC"/>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16323"/>
    <w:rsid w:val="00D2474F"/>
    <w:rsid w:val="00D41AAD"/>
    <w:rsid w:val="00D41D49"/>
    <w:rsid w:val="00D500B5"/>
    <w:rsid w:val="00D5012C"/>
    <w:rsid w:val="00D521DE"/>
    <w:rsid w:val="00D5572D"/>
    <w:rsid w:val="00D600C2"/>
    <w:rsid w:val="00D634E5"/>
    <w:rsid w:val="00D91437"/>
    <w:rsid w:val="00DB0736"/>
    <w:rsid w:val="00DD0815"/>
    <w:rsid w:val="00DD2F98"/>
    <w:rsid w:val="00DD4572"/>
    <w:rsid w:val="00DD6E3A"/>
    <w:rsid w:val="00DE079E"/>
    <w:rsid w:val="00DE4CE9"/>
    <w:rsid w:val="00DF2071"/>
    <w:rsid w:val="00DF2907"/>
    <w:rsid w:val="00E07E55"/>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02520"/>
    <w:rsid w:val="00F12E3F"/>
    <w:rsid w:val="00F2215A"/>
    <w:rsid w:val="00F24AC2"/>
    <w:rsid w:val="00F31359"/>
    <w:rsid w:val="00F41272"/>
    <w:rsid w:val="00F541B6"/>
    <w:rsid w:val="00F634B9"/>
    <w:rsid w:val="00F65D41"/>
    <w:rsid w:val="00F67128"/>
    <w:rsid w:val="00F76DD9"/>
    <w:rsid w:val="00F95178"/>
    <w:rsid w:val="00F97EE9"/>
    <w:rsid w:val="00FA7C0A"/>
    <w:rsid w:val="00FB3DFE"/>
    <w:rsid w:val="00FB7D56"/>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9835"/>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6149">
      <w:bodyDiv w:val="1"/>
      <w:marLeft w:val="0"/>
      <w:marRight w:val="0"/>
      <w:marTop w:val="0"/>
      <w:marBottom w:val="0"/>
      <w:divBdr>
        <w:top w:val="none" w:sz="0" w:space="0" w:color="auto"/>
        <w:left w:val="none" w:sz="0" w:space="0" w:color="auto"/>
        <w:bottom w:val="none" w:sz="0" w:space="0" w:color="auto"/>
        <w:right w:val="none" w:sz="0" w:space="0" w:color="auto"/>
      </w:divBdr>
    </w:div>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37054496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78159830">
      <w:bodyDiv w:val="1"/>
      <w:marLeft w:val="0"/>
      <w:marRight w:val="0"/>
      <w:marTop w:val="0"/>
      <w:marBottom w:val="0"/>
      <w:divBdr>
        <w:top w:val="none" w:sz="0" w:space="0" w:color="auto"/>
        <w:left w:val="none" w:sz="0" w:space="0" w:color="auto"/>
        <w:bottom w:val="none" w:sz="0" w:space="0" w:color="auto"/>
        <w:right w:val="none" w:sz="0" w:space="0" w:color="auto"/>
      </w:divBdr>
      <w:divsChild>
        <w:div w:id="740978855">
          <w:marLeft w:val="2175"/>
          <w:marRight w:val="0"/>
          <w:marTop w:val="0"/>
          <w:marBottom w:val="0"/>
          <w:divBdr>
            <w:top w:val="none" w:sz="0" w:space="0" w:color="auto"/>
            <w:left w:val="none" w:sz="0" w:space="0" w:color="auto"/>
            <w:bottom w:val="none" w:sz="0" w:space="0" w:color="auto"/>
            <w:right w:val="none" w:sz="0" w:space="0" w:color="auto"/>
          </w:divBdr>
        </w:div>
      </w:divsChild>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766657030">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 w:id="2103451128">
      <w:bodyDiv w:val="1"/>
      <w:marLeft w:val="0"/>
      <w:marRight w:val="0"/>
      <w:marTop w:val="0"/>
      <w:marBottom w:val="0"/>
      <w:divBdr>
        <w:top w:val="none" w:sz="0" w:space="0" w:color="auto"/>
        <w:left w:val="none" w:sz="0" w:space="0" w:color="auto"/>
        <w:bottom w:val="none" w:sz="0" w:space="0" w:color="auto"/>
        <w:right w:val="none" w:sz="0" w:space="0" w:color="auto"/>
      </w:divBdr>
      <w:divsChild>
        <w:div w:id="290865487">
          <w:marLeft w:val="21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3388</TotalTime>
  <Pages>1</Pages>
  <Words>5778</Words>
  <Characters>32935</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186</cp:revision>
  <dcterms:created xsi:type="dcterms:W3CDTF">2025-03-31T05:44:00Z</dcterms:created>
  <dcterms:modified xsi:type="dcterms:W3CDTF">2025-06-02T08:14:00Z</dcterms:modified>
</cp:coreProperties>
</file>