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D5572D"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D5572D"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D5572D"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D5572D"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D5572D"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4E3530"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4E3530"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D5572D"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D5572D"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D5572D"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D5572D"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D5572D"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D5572D"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It should be noted that neither net migration s nor population size (popsize) is used as a factor in the process of clusterization. Consequently, the formation of clusters is entirely independent of these characteristics. All factors were normalized per capita to ensure a fairer partition. However, after the clustering process, it is reasonable to analyse the results in their absolute values as well.</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The diagram below (Fig. 3a) illustrates the difference in the median values of socio-economic factors (elements of m_t) between the positive and negative sub-clusters within each cluster, expressed in per capita terms. A value less than 0% indicates that this factor is greater in the negative sub-cluster compared to the positive sub-cluster.</w:t>
      </w:r>
    </w:p>
    <w:p w:rsidR="004E3530" w:rsidRPr="004E3530" w:rsidRDefault="004E3530" w:rsidP="004E3530">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4E3530">
        <w:rPr>
          <w:rFonts w:ascii="Times New Roman" w:eastAsiaTheme="minorEastAsia" w:hAnsi="Times New Roman" w:cs="Times New Roman"/>
          <w:sz w:val="26"/>
          <w:szCs w:val="26"/>
          <w:lang w:val="en-US"/>
        </w:rPr>
        <w:t xml:space="preserve">Firstly, the diagram highlights areas of overall increase and decrease in the difference between sub-clusters, illustrating factors that have a similar nature of impact in all clusters (Fig. 3a). Factors that demonstrate a common increase in all cases should be considered the most significant, as their higher values consistently result in positive net migration. These include “retailturnover” (average difference ~15%), “factoriescap” (~15%), and “harvest” (~13%). </w:t>
      </w:r>
    </w:p>
    <w:p w:rsidR="00381879" w:rsidRDefault="004E3530" w:rsidP="004E3530">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4E3530">
        <w:rPr>
          <w:rFonts w:ascii="Times New Roman" w:eastAsiaTheme="minorEastAsia" w:hAnsi="Times New Roman" w:cs="Times New Roman"/>
          <w:sz w:val="26"/>
          <w:szCs w:val="26"/>
          <w:lang w:val="en-US"/>
        </w:rPr>
        <w:t>The nature of these factors does not change, when the results are analyzed in absolute terms (Fig. 3b), although the magnitude of differences approximately doubles - “retailturnover” and “factoriescap” increase to ~32%, and “harvest” to ~30%. However, the influence of several other factors changes considerably. In per capita terms, there are seven factors that showed a negative average difference, while in absolute value terms, only one does - “hospitals” (see Fig. 3). For example, “servicesnum” shifts from -3% in per capita terms to 12% in absolute terms, and “sportsvenue” from -9% to 4% etc. The reason could be the quantitative nature of these features: less populated municipalities  can appear more favora</w:t>
      </w:r>
      <w:bookmarkStart w:id="0" w:name="_GoBack"/>
      <w:bookmarkEnd w:id="0"/>
      <w:r w:rsidRPr="004E3530">
        <w:rPr>
          <w:rFonts w:ascii="Times New Roman" w:eastAsiaTheme="minorEastAsia" w:hAnsi="Times New Roman" w:cs="Times New Roman"/>
          <w:sz w:val="26"/>
          <w:szCs w:val="26"/>
          <w:lang w:val="en-US"/>
        </w:rPr>
        <w:t>ble in per capita terms, whereas the qualitative aspect remains uncertain. In such cases, higher absolute values may be a sign of successful municipalities.</w:t>
      </w:r>
      <w:r w:rsidR="00381879" w:rsidRPr="00381879">
        <w:rPr>
          <w:rFonts w:ascii="Times New Roman" w:eastAsiaTheme="minorEastAsia" w:hAnsi="Times New Roman" w:cs="Times New Roman"/>
          <w:sz w:val="26"/>
          <w:szCs w:val="26"/>
          <w:lang w:val="en-US"/>
        </w:rPr>
        <w:t xml:space="preserve">negative average difference, while in absolute value terms it is only 1 </w:t>
      </w:r>
      <w:r w:rsidR="00381879" w:rsidRPr="00381879">
        <w:rPr>
          <w:rFonts w:ascii="Times New Roman" w:eastAsiaTheme="minorEastAsia" w:hAnsi="Times New Roman" w:cs="Times New Roman"/>
          <w:sz w:val="26"/>
          <w:szCs w:val="26"/>
          <w:lang w:val="en-US"/>
        </w:rPr>
        <w:lastRenderedPageBreak/>
        <w:t>- hospitals (see Fig. 3a, 3b).</w:t>
      </w:r>
      <w:r>
        <w:rPr>
          <w:rFonts w:ascii="Times New Roman" w:eastAsiaTheme="minorEastAsia" w:hAnsi="Times New Roman" w:cs="Times New Roman"/>
          <w:sz w:val="26"/>
          <w:szCs w:val="26"/>
          <w:lang w:val="en-US"/>
        </w:rPr>
        <w:pict>
          <v:shape id="_x0000_i1027" type="#_x0000_t75" style="width:467.25pt;height:403.5pt">
            <v:imagedata r:id="rId10" o:title="1"/>
          </v:shape>
        </w:pic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4E3530"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8" type="#_x0000_t75" style="width:411.75pt;height:320.25pt">
            <v:imagedata r:id="rId11"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4E3530"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9" type="#_x0000_t75" style="width:424.5pt;height:306.75pt">
            <v:imagedata r:id="rId12"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4E3530"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30" type="#_x0000_t75" style="width:467.25pt;height:247.5pt">
            <v:imagedata r:id="rId13"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4E3530"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1" type="#_x0000_t75" style="width:467.25pt;height:191.25pt">
            <v:imagedata r:id="rId14"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72565C" w:rsidRP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The same experiment was conducted to evaluate the extra-cluster approach. However, examples from Clusters 1, 0 and 4 were excluded (30 examples in total). This is due to the fact that examples from these clusters would not move to another cluster, resulting in the same outcome as the intra-cluster approach.</w:t>
      </w:r>
    </w:p>
    <w:p w:rsidR="00375245"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In the diagram below (see Fig. ???), the red line represents predictions for the extra-cluster approach, while the green line corresponds to the intra-cluster approach. Although the difference is not substantial, in 80% of cases (24 out of 30) the extra-cluster method provides better results. The average predicted outflow for the intra-cluster scenario is approximately -116 (within 30 examples), while for the extra-cluster approach it is -102 – around 12% lower.</w:t>
      </w:r>
    </w:p>
    <w:p w:rsidR="0072565C" w:rsidRDefault="004E3530"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32" type="#_x0000_t75" style="width:467.25pt;height:204pt">
            <v:imagedata r:id="rId15" o:title="Снимок 4"/>
          </v:shape>
        </w:pict>
      </w:r>
    </w:p>
    <w:p w:rsidR="0072565C" w:rsidRPr="0072565C" w:rsidRDefault="0072565C" w:rsidP="0072565C">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w:t>
      </w:r>
      <w:r w:rsidRPr="00505983">
        <w:rPr>
          <w:rFonts w:ascii="Times New Roman" w:eastAsiaTheme="minorEastAsia" w:hAnsi="Times New Roman" w:cs="Times New Roman"/>
          <w:sz w:val="26"/>
          <w:szCs w:val="26"/>
          <w:lang w:val="en-US"/>
        </w:rPr>
        <w:t xml:space="preserve">. </w:t>
      </w:r>
      <w:r w:rsidRPr="0072565C">
        <w:rPr>
          <w:rFonts w:ascii="Times New Roman" w:eastAsiaTheme="minorEastAsia" w:hAnsi="Times New Roman" w:cs="Times New Roman"/>
          <w:sz w:val="26"/>
          <w:szCs w:val="26"/>
          <w:lang w:val="en-US"/>
        </w:rPr>
        <w:t>The extra-cluster approach compared to the intra-cluster</w:t>
      </w:r>
    </w:p>
    <w:p w:rsidR="0072565C" w:rsidRPr="00A81CFC" w:rsidRDefault="00684900"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684900">
        <w:rPr>
          <w:rFonts w:ascii="Times New Roman" w:eastAsiaTheme="minorEastAsia" w:hAnsi="Times New Roman" w:cs="Times New Roman"/>
          <w:color w:val="000000" w:themeColor="text1"/>
          <w:sz w:val="26"/>
          <w:szCs w:val="26"/>
          <w:lang w:val="en-US"/>
        </w:rPr>
        <w:t>The experiment demonstrated that the scenario of transition from one cluster to another has the potential to further improve migration attractiveness.</w:t>
      </w:r>
    </w:p>
    <w:sectPr w:rsidR="0072565C"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72D" w:rsidRDefault="00D5572D" w:rsidP="00075B6D">
      <w:pPr>
        <w:spacing w:after="0" w:line="240" w:lineRule="auto"/>
      </w:pPr>
      <w:r>
        <w:separator/>
      </w:r>
    </w:p>
  </w:endnote>
  <w:endnote w:type="continuationSeparator" w:id="0">
    <w:p w:rsidR="00D5572D" w:rsidRDefault="00D5572D"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72D" w:rsidRDefault="00D5572D" w:rsidP="00075B6D">
      <w:pPr>
        <w:spacing w:after="0" w:line="240" w:lineRule="auto"/>
      </w:pPr>
      <w:r>
        <w:separator/>
      </w:r>
    </w:p>
  </w:footnote>
  <w:footnote w:type="continuationSeparator" w:id="0">
    <w:p w:rsidR="00D5572D" w:rsidRDefault="00D5572D"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4C9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0B51"/>
    <w:rsid w:val="00345028"/>
    <w:rsid w:val="00352DFF"/>
    <w:rsid w:val="00375245"/>
    <w:rsid w:val="00381087"/>
    <w:rsid w:val="00381879"/>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53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4900"/>
    <w:rsid w:val="00685B15"/>
    <w:rsid w:val="006A1ADF"/>
    <w:rsid w:val="006A54BB"/>
    <w:rsid w:val="006A5D3B"/>
    <w:rsid w:val="006B39E8"/>
    <w:rsid w:val="006C0F4D"/>
    <w:rsid w:val="006D0019"/>
    <w:rsid w:val="006D4EC2"/>
    <w:rsid w:val="00711205"/>
    <w:rsid w:val="007116CC"/>
    <w:rsid w:val="00716CF6"/>
    <w:rsid w:val="00721ACC"/>
    <w:rsid w:val="0072565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41D49"/>
    <w:rsid w:val="00D500B5"/>
    <w:rsid w:val="00D5012C"/>
    <w:rsid w:val="00D521DE"/>
    <w:rsid w:val="00D5572D"/>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37054496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3386</TotalTime>
  <Pages>1</Pages>
  <Words>5365</Words>
  <Characters>30585</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180</cp:revision>
  <dcterms:created xsi:type="dcterms:W3CDTF">2025-03-31T05:44:00Z</dcterms:created>
  <dcterms:modified xsi:type="dcterms:W3CDTF">2025-05-26T14:37:00Z</dcterms:modified>
</cp:coreProperties>
</file>