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lastRenderedPageBreak/>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420969" w:rsidRPr="00CA4952" w:rsidRDefault="00420969" w:rsidP="00420969">
      <w:pPr>
        <w:spacing w:after="0" w:line="360" w:lineRule="auto"/>
        <w:ind w:left="-567" w:firstLine="567"/>
        <w:jc w:val="both"/>
        <w:rPr>
          <w:rFonts w:ascii="Times New Roman" w:hAnsi="Times New Roman" w:cs="Times New Roman"/>
          <w:sz w:val="26"/>
          <w:szCs w:val="26"/>
          <w:lang w:val="en-US"/>
        </w:rPr>
      </w:pPr>
      <w:r w:rsidRPr="00420969">
        <w:rPr>
          <w:rFonts w:ascii="Times New Roman" w:hAnsi="Times New Roman" w:cs="Times New Roman"/>
          <w:sz w:val="26"/>
          <w:szCs w:val="26"/>
          <w:lang w:val="en-US"/>
        </w:rPr>
        <w:t xml:space="preserve">Despite the evolution of protests in terms of motives (shifting away from purely materialistic reasons), the significance of socio-economic factors remains under </w:t>
      </w:r>
      <w:r w:rsidR="00191314">
        <w:rPr>
          <w:rFonts w:ascii="Times New Roman" w:hAnsi="Times New Roman" w:cs="Times New Roman"/>
          <w:sz w:val="26"/>
          <w:szCs w:val="26"/>
          <w:lang w:val="en-US"/>
        </w:rPr>
        <w:t>debate -</w:t>
      </w:r>
      <w:r w:rsidRPr="00420969">
        <w:rPr>
          <w:rFonts w:ascii="Times New Roman" w:hAnsi="Times New Roman" w:cs="Times New Roman"/>
          <w:sz w:val="26"/>
          <w:szCs w:val="26"/>
          <w:lang w:val="en-US"/>
        </w:rPr>
        <w:t xml:space="preserve"> “misery matters” [12, 13]. </w:t>
      </w:r>
      <w:r w:rsidR="00191314" w:rsidRPr="00191314">
        <w:rPr>
          <w:rFonts w:ascii="Times New Roman" w:hAnsi="Times New Roman" w:cs="Times New Roman"/>
          <w:sz w:val="26"/>
          <w:szCs w:val="26"/>
          <w:lang w:val="en-US"/>
        </w:rPr>
        <w:t xml:space="preserve">Study [12] examines the correlation between GDP and protest intensity, while [13] </w:t>
      </w:r>
      <w:r w:rsidR="00191314">
        <w:rPr>
          <w:rFonts w:ascii="Times New Roman" w:hAnsi="Times New Roman" w:cs="Times New Roman"/>
          <w:sz w:val="26"/>
          <w:szCs w:val="26"/>
          <w:lang w:val="en-US"/>
        </w:rPr>
        <w:t>investigates</w:t>
      </w:r>
      <w:r w:rsidR="00191314" w:rsidRPr="00191314">
        <w:rPr>
          <w:rFonts w:ascii="Times New Roman" w:hAnsi="Times New Roman" w:cs="Times New Roman"/>
          <w:sz w:val="26"/>
          <w:szCs w:val="26"/>
          <w:lang w:val="en-US"/>
        </w:rPr>
        <w:t xml:space="preserve"> how both general and individual socio-economic factors influence the likelihood of</w:t>
      </w:r>
      <w:r w:rsidR="00191314">
        <w:rPr>
          <w:rFonts w:ascii="Times New Roman" w:hAnsi="Times New Roman" w:cs="Times New Roman"/>
          <w:sz w:val="26"/>
          <w:szCs w:val="26"/>
          <w:lang w:val="en-US"/>
        </w:rPr>
        <w:t xml:space="preserve"> respondents to participate in protests</w:t>
      </w:r>
      <w:r w:rsidR="00191314" w:rsidRPr="00191314">
        <w:rPr>
          <w:rFonts w:ascii="Times New Roman" w:hAnsi="Times New Roman" w:cs="Times New Roman"/>
          <w:sz w:val="26"/>
          <w:szCs w:val="26"/>
          <w:lang w:val="en-US"/>
        </w:rPr>
        <w:t xml:space="preserve">. </w:t>
      </w:r>
      <w:r w:rsidRPr="00420969">
        <w:rPr>
          <w:rFonts w:ascii="Times New Roman" w:hAnsi="Times New Roman" w:cs="Times New Roman"/>
          <w:sz w:val="26"/>
          <w:szCs w:val="26"/>
          <w:lang w:val="en-US"/>
        </w:rPr>
        <w:t>Moreover, the findings of [13] provide evidence</w:t>
      </w:r>
      <w:r>
        <w:rPr>
          <w:rFonts w:ascii="Times New Roman" w:hAnsi="Times New Roman" w:cs="Times New Roman"/>
          <w:sz w:val="26"/>
          <w:szCs w:val="26"/>
          <w:lang w:val="en-US"/>
        </w:rPr>
        <w:t xml:space="preserve"> for the hypothesis that shared-</w:t>
      </w:r>
      <w:r w:rsidRPr="00420969">
        <w:rPr>
          <w:rFonts w:ascii="Times New Roman" w:hAnsi="Times New Roman" w:cs="Times New Roman"/>
          <w:sz w:val="26"/>
          <w:szCs w:val="26"/>
          <w:lang w:val="en-US"/>
        </w:rPr>
        <w:t>grievances ar</w:t>
      </w:r>
      <w:bookmarkStart w:id="0" w:name="_GoBack"/>
      <w:bookmarkEnd w:id="0"/>
      <w:r w:rsidRPr="00420969">
        <w:rPr>
          <w:rFonts w:ascii="Times New Roman" w:hAnsi="Times New Roman" w:cs="Times New Roman"/>
          <w:sz w:val="26"/>
          <w:szCs w:val="26"/>
          <w:lang w:val="en-US"/>
        </w:rPr>
        <w:t>e</w:t>
      </w:r>
      <w:r>
        <w:rPr>
          <w:rFonts w:ascii="Times New Roman" w:hAnsi="Times New Roman" w:cs="Times New Roman"/>
          <w:sz w:val="26"/>
          <w:szCs w:val="26"/>
          <w:lang w:val="en-US"/>
        </w:rPr>
        <w:t xml:space="preserve"> more important than individual-</w:t>
      </w:r>
      <w:r w:rsidRPr="00420969">
        <w:rPr>
          <w:rFonts w:ascii="Times New Roman" w:hAnsi="Times New Roman" w:cs="Times New Roman"/>
          <w:sz w:val="26"/>
          <w:szCs w:val="26"/>
          <w:lang w:val="en-US"/>
        </w:rPr>
        <w:t>grievances</w:t>
      </w:r>
      <w:r>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This evidence supports the idea of the present research, because the city-to-city (or any other municipal entity) similarity assessment is more about </w:t>
      </w:r>
      <w:r w:rsidR="00191314" w:rsidRPr="00191314">
        <w:rPr>
          <w:rFonts w:ascii="Times New Roman" w:hAnsi="Times New Roman" w:cs="Times New Roman"/>
          <w:sz w:val="26"/>
          <w:szCs w:val="26"/>
          <w:lang w:val="en-US"/>
        </w:rPr>
        <w:t>“</w:t>
      </w:r>
      <w:r w:rsidR="00191314" w:rsidRPr="006E7638">
        <w:rPr>
          <w:rFonts w:ascii="Times New Roman" w:hAnsi="Times New Roman" w:cs="Times New Roman"/>
          <w:sz w:val="26"/>
          <w:szCs w:val="26"/>
          <w:lang w:val="en-US"/>
        </w:rPr>
        <w:t>environment</w:t>
      </w:r>
      <w:r w:rsidR="00191314" w:rsidRPr="00191314">
        <w:rPr>
          <w:rFonts w:ascii="Times New Roman" w:hAnsi="Times New Roman" w:cs="Times New Roman"/>
          <w:sz w:val="26"/>
          <w:szCs w:val="26"/>
          <w:lang w:val="en-US"/>
        </w:rPr>
        <w:t xml:space="preserve"> </w:t>
      </w:r>
      <w:r w:rsidR="00191314">
        <w:rPr>
          <w:rFonts w:ascii="Times New Roman" w:hAnsi="Times New Roman" w:cs="Times New Roman"/>
          <w:sz w:val="26"/>
          <w:szCs w:val="26"/>
          <w:lang w:val="en-US"/>
        </w:rPr>
        <w:t>matters</w:t>
      </w:r>
      <w:r w:rsidR="00191314" w:rsidRPr="00191314">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rather than “misery matters”. </w:t>
      </w:r>
      <w:r w:rsidR="00CA4952" w:rsidRPr="00CA4952">
        <w:rPr>
          <w:rFonts w:ascii="Times New Roman" w:hAnsi="Times New Roman" w:cs="Times New Roman"/>
          <w:sz w:val="26"/>
          <w:szCs w:val="26"/>
          <w:lang w:val="en-US"/>
        </w:rPr>
        <w:t xml:space="preserve">Therefore, this research proposes an approach detached from subjective </w:t>
      </w:r>
      <w:r w:rsidR="00CA4952" w:rsidRPr="00CA4952">
        <w:rPr>
          <w:rFonts w:ascii="Times New Roman" w:hAnsi="Times New Roman" w:cs="Times New Roman"/>
          <w:sz w:val="26"/>
          <w:szCs w:val="26"/>
          <w:lang w:val="en-US"/>
        </w:rPr>
        <w:lastRenderedPageBreak/>
        <w:t>data, assessing similarity not only through socio-economic indicators but also by demographic structure (human capital).</w:t>
      </w:r>
    </w:p>
    <w:p w:rsidR="00AE5D74" w:rsidRPr="00420969" w:rsidRDefault="00AF14FC" w:rsidP="00420969">
      <w:pPr>
        <w:spacing w:after="0" w:line="360" w:lineRule="auto"/>
        <w:ind w:left="-567" w:firstLine="567"/>
        <w:jc w:val="both"/>
        <w:rPr>
          <w:rFonts w:ascii="Times New Roman" w:hAnsi="Times New Roman" w:cs="Times New Roman"/>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w:t>
      </w:r>
      <w:r w:rsidRPr="00811E07">
        <w:rPr>
          <w:rFonts w:ascii="Times New Roman" w:hAnsi="Times New Roman" w:cs="Times New Roman"/>
          <w:sz w:val="26"/>
          <w:szCs w:val="26"/>
          <w:lang w:val="en-US"/>
        </w:rPr>
        <w:lastRenderedPageBreak/>
        <w:t xml:space="preserve">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B64852"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Some trends and dependencies </w:t>
      </w:r>
      <w:proofErr w:type="gramStart"/>
      <w:r w:rsidRPr="00F513EA">
        <w:rPr>
          <w:rFonts w:ascii="Times New Roman" w:hAnsi="Times New Roman" w:cs="Times New Roman"/>
          <w:sz w:val="26"/>
          <w:szCs w:val="26"/>
          <w:lang w:val="en-US"/>
        </w:rPr>
        <w:t>were also identified</w:t>
      </w:r>
      <w:proofErr w:type="gramEnd"/>
      <w:r w:rsidRPr="00F513EA">
        <w:rPr>
          <w:rFonts w:ascii="Times New Roman" w:hAnsi="Times New Roman" w:cs="Times New Roman"/>
          <w:sz w:val="26"/>
          <w:szCs w:val="26"/>
          <w:lang w:val="en-US"/>
        </w:rPr>
        <w:t xml:space="preserve"> in the analysis of the demographic structure of these municipalities. Figure 2 illustrates certain differences between categories of conflicts. For example, municipalities that experienced ethnic conflicts have the highest proportion of young people in the population (cohorts “20–24,” “25–29,” and “30–34”; see Fig. 2). In the “25–29” cohort, the proportion of both males and females is nearly double that in </w:t>
      </w:r>
      <w:proofErr w:type="gramStart"/>
      <w:r w:rsidRPr="00F513EA">
        <w:rPr>
          <w:rFonts w:ascii="Times New Roman" w:hAnsi="Times New Roman" w:cs="Times New Roman"/>
          <w:sz w:val="26"/>
          <w:szCs w:val="26"/>
          <w:lang w:val="en-US"/>
        </w:rPr>
        <w:t>municipalities</w:t>
      </w:r>
      <w:proofErr w:type="gramEnd"/>
      <w:r w:rsidRPr="00F513EA">
        <w:rPr>
          <w:rFonts w:ascii="Times New Roman" w:hAnsi="Times New Roman" w:cs="Times New Roman"/>
          <w:sz w:val="26"/>
          <w:szCs w:val="26"/>
          <w:lang w:val="en-US"/>
        </w:rPr>
        <w:t xml:space="preserve"> with ecological conflicts.</w:t>
      </w:r>
    </w:p>
    <w:p w:rsidR="00E90795" w:rsidRDefault="00B64852"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lastRenderedPageBreak/>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 xml:space="preserve">Thus, notable differences between municipalities with certain types of conflicts </w:t>
      </w:r>
      <w:proofErr w:type="gramStart"/>
      <w:r w:rsidRPr="009B2979">
        <w:rPr>
          <w:rFonts w:ascii="Times New Roman" w:hAnsi="Times New Roman" w:cs="Times New Roman"/>
          <w:sz w:val="26"/>
          <w:szCs w:val="26"/>
          <w:lang w:val="en-US"/>
        </w:rPr>
        <w:t>can be observed</w:t>
      </w:r>
      <w:proofErr w:type="gramEnd"/>
      <w:r w:rsidRPr="009B2979">
        <w:rPr>
          <w:rFonts w:ascii="Times New Roman" w:hAnsi="Times New Roman" w:cs="Times New Roman"/>
          <w:sz w:val="26"/>
          <w:szCs w:val="26"/>
          <w:lang w:val="en-US"/>
        </w:rPr>
        <w:t xml:space="preserve">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 xml:space="preserve">Each municipal entity (municipal district, city, village etc.) in the data defined by the socio-economic and demographic components. The socio-economy condition </w:t>
      </w:r>
      <w:proofErr w:type="gramStart"/>
      <w:r w:rsidR="00887346">
        <w:rPr>
          <w:rFonts w:ascii="Times New Roman" w:hAnsi="Times New Roman" w:cs="Times New Roman"/>
          <w:sz w:val="26"/>
          <w:szCs w:val="26"/>
          <w:lang w:val="en-US"/>
        </w:rPr>
        <w:t>could be represented</w:t>
      </w:r>
      <w:proofErr w:type="gramEnd"/>
      <w:r w:rsidR="00887346">
        <w:rPr>
          <w:rFonts w:ascii="Times New Roman" w:hAnsi="Times New Roman" w:cs="Times New Roman"/>
          <w:sz w:val="26"/>
          <w:szCs w:val="26"/>
          <w:lang w:val="en-US"/>
        </w:rPr>
        <w:t xml:space="preserve">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t xml:space="preserve">The demographic structure </w:t>
      </w:r>
      <w:proofErr w:type="gramStart"/>
      <w:r w:rsidRPr="00012FD9">
        <w:rPr>
          <w:rFonts w:ascii="Times New Roman" w:hAnsi="Times New Roman" w:cs="Times New Roman"/>
          <w:sz w:val="26"/>
          <w:szCs w:val="26"/>
          <w:lang w:val="en-US"/>
        </w:rPr>
        <w:t>can be represented</w:t>
      </w:r>
      <w:proofErr w:type="gramEnd"/>
      <w:r w:rsidRPr="00012FD9">
        <w:rPr>
          <w:rFonts w:ascii="Times New Roman" w:hAnsi="Times New Roman" w:cs="Times New Roman"/>
          <w:sz w:val="26"/>
          <w:szCs w:val="26"/>
          <w:lang w:val="en-US"/>
        </w:rPr>
        <w:t xml:space="preserve">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here</w:t>
      </w:r>
      <w:proofErr w:type="gramEnd"/>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 xml:space="preserve">enables calculation of the proportion of each cohort within the population, allowing assessment of the demographic structure. The same approach </w:t>
      </w:r>
      <w:proofErr w:type="gramStart"/>
      <w:r w:rsidRPr="00012FD9">
        <w:rPr>
          <w:rFonts w:ascii="Times New Roman" w:eastAsiaTheme="minorEastAsia" w:hAnsi="Times New Roman" w:cs="Times New Roman"/>
          <w:sz w:val="26"/>
          <w:szCs w:val="26"/>
          <w:lang w:val="en-US"/>
        </w:rPr>
        <w:t>is used</w:t>
      </w:r>
      <w:proofErr w:type="gramEnd"/>
      <w:r w:rsidRPr="00012FD9">
        <w:rPr>
          <w:rFonts w:ascii="Times New Roman" w:eastAsiaTheme="minorEastAsia" w:hAnsi="Times New Roman" w:cs="Times New Roman"/>
          <w:sz w:val="26"/>
          <w:szCs w:val="26"/>
          <w:lang w:val="en-US"/>
        </w:rPr>
        <w:t xml:space="preserve">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xml:space="preserve">, it </w:t>
      </w:r>
      <w:proofErr w:type="gramStart"/>
      <w:r w:rsidRPr="00A53A9D">
        <w:rPr>
          <w:rFonts w:ascii="Times New Roman" w:hAnsi="Times New Roman" w:cs="Times New Roman"/>
          <w:sz w:val="26"/>
          <w:szCs w:val="26"/>
          <w:lang w:val="en-US"/>
        </w:rPr>
        <w:t>is proposed</w:t>
      </w:r>
      <w:proofErr w:type="gramEnd"/>
      <w:r w:rsidRPr="00A53A9D">
        <w:rPr>
          <w:rFonts w:ascii="Times New Roman" w:hAnsi="Times New Roman" w:cs="Times New Roman"/>
          <w:sz w:val="26"/>
          <w:szCs w:val="26"/>
          <w:lang w:val="en-US"/>
        </w:rPr>
        <w:t xml:space="preserve">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proofErr w:type="gramStart"/>
      <w:r w:rsidRPr="003D49C8">
        <w:rPr>
          <w:rFonts w:ascii="Times New Roman" w:eastAsiaTheme="minorEastAsia" w:hAnsi="Times New Roman" w:cs="Times New Roman"/>
          <w:sz w:val="26"/>
          <w:szCs w:val="26"/>
          <w:lang w:val="en-US"/>
        </w:rPr>
        <w:lastRenderedPageBreak/>
        <w:t>where</w:t>
      </w:r>
      <w:proofErr w:type="gramEnd"/>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 xml:space="preserve">Table illustrates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in 2022. As expected, in the majority of cases, the proposed metric (4) identifies the same municipality observed in different </w:t>
      </w:r>
      <w:proofErr w:type="gramStart"/>
      <w:r w:rsidRPr="00A56C58">
        <w:rPr>
          <w:rFonts w:ascii="Times New Roman" w:eastAsiaTheme="minorEastAsia" w:hAnsi="Times New Roman" w:cs="Times New Roman"/>
          <w:sz w:val="26"/>
          <w:szCs w:val="26"/>
          <w:lang w:val="en-US"/>
        </w:rPr>
        <w:t>time periods</w:t>
      </w:r>
      <w:proofErr w:type="gramEnd"/>
      <w:r w:rsidRPr="00A56C58">
        <w:rPr>
          <w:rFonts w:ascii="Times New Roman" w:eastAsiaTheme="minorEastAsia" w:hAnsi="Times New Roman" w:cs="Times New Roman"/>
          <w:sz w:val="26"/>
          <w:szCs w:val="26"/>
          <w:lang w:val="en-US"/>
        </w:rPr>
        <w:t xml:space="preserve">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the set of top similar municipalities includes not only its geographical neighbor </w:t>
      </w:r>
      <w:proofErr w:type="spellStart"/>
      <w:r w:rsidRPr="00A56C58">
        <w:rPr>
          <w:rFonts w:ascii="Times New Roman" w:eastAsiaTheme="minorEastAsia" w:hAnsi="Times New Roman" w:cs="Times New Roman"/>
          <w:sz w:val="26"/>
          <w:szCs w:val="26"/>
          <w:lang w:val="en-US"/>
        </w:rPr>
        <w:t>Morshansk</w:t>
      </w:r>
      <w:proofErr w:type="spellEnd"/>
      <w:r w:rsidRPr="00A56C58">
        <w:rPr>
          <w:rFonts w:ascii="Times New Roman" w:eastAsiaTheme="minorEastAsia" w:hAnsi="Times New Roman" w:cs="Times New Roman"/>
          <w:sz w:val="26"/>
          <w:szCs w:val="26"/>
          <w:lang w:val="en-US"/>
        </w:rPr>
        <w:t xml:space="preserve"> City (both located in Tambov Oblast), but also the geographically distant </w:t>
      </w:r>
      <w:proofErr w:type="spellStart"/>
      <w:r w:rsidRPr="00A56C58">
        <w:rPr>
          <w:rFonts w:ascii="Times New Roman" w:eastAsiaTheme="minorEastAsia" w:hAnsi="Times New Roman" w:cs="Times New Roman"/>
          <w:sz w:val="26"/>
          <w:szCs w:val="26"/>
          <w:lang w:val="en-US"/>
        </w:rPr>
        <w:t>Vyshnevolotsky</w:t>
      </w:r>
      <w:proofErr w:type="spellEnd"/>
      <w:r w:rsidRPr="00A56C58">
        <w:rPr>
          <w:rFonts w:ascii="Times New Roman" w:eastAsiaTheme="minorEastAsia" w:hAnsi="Times New Roman" w:cs="Times New Roman"/>
          <w:sz w:val="26"/>
          <w:szCs w:val="26"/>
          <w:lang w:val="en-US"/>
        </w:rPr>
        <w:t xml:space="preserve"> Dist. (</w:t>
      </w:r>
      <w:proofErr w:type="spellStart"/>
      <w:r w:rsidRPr="00A56C58">
        <w:rPr>
          <w:rFonts w:ascii="Times New Roman" w:eastAsiaTheme="minorEastAsia" w:hAnsi="Times New Roman" w:cs="Times New Roman"/>
          <w:sz w:val="26"/>
          <w:szCs w:val="26"/>
          <w:lang w:val="en-US"/>
        </w:rPr>
        <w:t>Tver</w:t>
      </w:r>
      <w:proofErr w:type="spellEnd"/>
      <w:r w:rsidRPr="00A56C58">
        <w:rPr>
          <w:rFonts w:ascii="Times New Roman" w:eastAsiaTheme="minorEastAsia" w:hAnsi="Times New Roman" w:cs="Times New Roman"/>
          <w:sz w:val="26"/>
          <w:szCs w:val="26"/>
          <w:lang w:val="en-US"/>
        </w:rPr>
        <w:t xml:space="preserve">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 xml:space="preserve">As an example, the similarity metric (4) is applied to identify the most similar municipal entities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where </w:t>
      </w:r>
      <w:proofErr w:type="spellStart"/>
      <w:r w:rsidRPr="001756F6">
        <w:rPr>
          <w:rFonts w:ascii="Times New Roman" w:eastAsiaTheme="minorEastAsia" w:hAnsi="Times New Roman" w:cs="Times New Roman"/>
          <w:sz w:val="26"/>
          <w:szCs w:val="26"/>
          <w:lang w:val="en-US"/>
        </w:rPr>
        <w:t>Poltavskaya</w:t>
      </w:r>
      <w:proofErr w:type="spellEnd"/>
      <w:r w:rsidRPr="001756F6">
        <w:rPr>
          <w:rFonts w:ascii="Times New Roman" w:eastAsiaTheme="minorEastAsia" w:hAnsi="Times New Roman" w:cs="Times New Roman"/>
          <w:sz w:val="26"/>
          <w:szCs w:val="26"/>
          <w:lang w:val="en-US"/>
        </w:rPr>
        <w:t xml:space="preserve"> Village experienced large-scale protests against a landfill in 2022 [link to media sources???]. The results are partly presented in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where all municipal entities are sorted by their similarity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metric values are normalized to the range from </w:t>
      </w:r>
      <w:proofErr w:type="gramStart"/>
      <w:r w:rsidRPr="001756F6">
        <w:rPr>
          <w:rFonts w:ascii="Times New Roman" w:eastAsiaTheme="minorEastAsia" w:hAnsi="Times New Roman" w:cs="Times New Roman"/>
          <w:sz w:val="26"/>
          <w:szCs w:val="26"/>
          <w:lang w:val="en-US"/>
        </w:rPr>
        <w:t>0</w:t>
      </w:r>
      <w:proofErr w:type="gramEnd"/>
      <w:r w:rsidRPr="001756F6">
        <w:rPr>
          <w:rFonts w:ascii="Times New Roman" w:eastAsiaTheme="minorEastAsia" w:hAnsi="Times New Roman" w:cs="Times New Roman"/>
          <w:sz w:val="26"/>
          <w:szCs w:val="26"/>
          <w:lang w:val="en-US"/>
        </w:rPr>
        <w:t xml:space="preserve">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sim-3} presents a graph that illustrates all values of metric (4) from the assessment of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graph demonstrates that a similarity value from 0 to 0.1 is reached by approximately the 300th example, while the range from 0.1 to 0.2 is only crossed around the 5245th example (</w:t>
      </w:r>
      <w:proofErr w:type="spellStart"/>
      <w:r w:rsidRPr="001756F6">
        <w:rPr>
          <w:rFonts w:ascii="Times New Roman" w:eastAsiaTheme="minorEastAsia" w:hAnsi="Times New Roman" w:cs="Times New Roman"/>
          <w:sz w:val="26"/>
          <w:szCs w:val="26"/>
          <w:lang w:val="en-US"/>
        </w:rPr>
        <w:t>Troitsky</w:t>
      </w:r>
      <w:proofErr w:type="spellEnd"/>
      <w:r w:rsidRPr="001756F6">
        <w:rPr>
          <w:rFonts w:ascii="Times New Roman" w:eastAsiaTheme="minorEastAsia" w:hAnsi="Times New Roman" w:cs="Times New Roman"/>
          <w:sz w:val="26"/>
          <w:szCs w:val="26"/>
          <w:lang w:val="en-US"/>
        </w:rPr>
        <w:t xml:space="preserve"> District, see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and Figure~\ref{sim-3}). This result shows a certain degree of homogeneity across Russia, at least in terms of per capita characteristics. In other words, a large number of municipal entities do not differ substantially from one another, which </w:t>
      </w:r>
      <w:proofErr w:type="gramStart"/>
      <w:r w:rsidRPr="001756F6">
        <w:rPr>
          <w:rFonts w:ascii="Times New Roman" w:eastAsiaTheme="minorEastAsia" w:hAnsi="Times New Roman" w:cs="Times New Roman"/>
          <w:sz w:val="26"/>
          <w:szCs w:val="26"/>
          <w:lang w:val="en-US"/>
        </w:rPr>
        <w:t>is generally expected</w:t>
      </w:r>
      <w:proofErr w:type="gramEnd"/>
      <w:r w:rsidRPr="001756F6">
        <w:rPr>
          <w:rFonts w:ascii="Times New Roman" w:eastAsiaTheme="minorEastAsia" w:hAnsi="Times New Roman" w:cs="Times New Roman"/>
          <w:sz w:val="26"/>
          <w:szCs w:val="26"/>
          <w:lang w:val="en-US"/>
        </w:rPr>
        <w:t xml:space="preserve">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w:t>
      </w:r>
      <w:proofErr w:type="spellStart"/>
      <w:r w:rsidRPr="001218F1">
        <w:rPr>
          <w:rFonts w:ascii="Times New Roman" w:eastAsiaTheme="minorEastAsia" w:hAnsi="Times New Roman" w:cs="Times New Roman"/>
          <w:sz w:val="26"/>
          <w:szCs w:val="26"/>
          <w:lang w:val="en-US"/>
        </w:rPr>
        <w:t>Krasnoarmeysky</w:t>
      </w:r>
      <w:proofErr w:type="spellEnd"/>
      <w:r w:rsidRPr="001218F1">
        <w:rPr>
          <w:rFonts w:ascii="Times New Roman" w:eastAsiaTheme="minorEastAsia" w:hAnsi="Times New Roman" w:cs="Times New Roman"/>
          <w:sz w:val="26"/>
          <w:szCs w:val="26"/>
          <w:lang w:val="en-US"/>
        </w:rPr>
        <w:t xml:space="preserve"> Dist. </w:t>
      </w:r>
      <w:proofErr w:type="gramStart"/>
      <w:r w:rsidRPr="001218F1">
        <w:rPr>
          <w:rFonts w:ascii="Times New Roman" w:eastAsiaTheme="minorEastAsia" w:hAnsi="Times New Roman" w:cs="Times New Roman"/>
          <w:sz w:val="26"/>
          <w:szCs w:val="26"/>
          <w:lang w:val="en-US"/>
        </w:rPr>
        <w:t>can be further considered</w:t>
      </w:r>
      <w:proofErr w:type="gramEnd"/>
      <w:r w:rsidRPr="001218F1">
        <w:rPr>
          <w:rFonts w:ascii="Times New Roman" w:eastAsiaTheme="minorEastAsia" w:hAnsi="Times New Roman" w:cs="Times New Roman"/>
          <w:sz w:val="26"/>
          <w:szCs w:val="26"/>
          <w:lang w:val="en-US"/>
        </w:rPr>
        <w:t xml:space="preserve"> in the context of identifying potential social conflicts. In the case of </w:t>
      </w:r>
      <w:proofErr w:type="spellStart"/>
      <w:r w:rsidRPr="001218F1">
        <w:rPr>
          <w:rFonts w:ascii="Times New Roman" w:eastAsiaTheme="minorEastAsia" w:hAnsi="Times New Roman" w:cs="Times New Roman"/>
          <w:sz w:val="26"/>
          <w:szCs w:val="26"/>
          <w:lang w:val="en-US"/>
        </w:rPr>
        <w:lastRenderedPageBreak/>
        <w:t>Kurganinsky</w:t>
      </w:r>
      <w:proofErr w:type="spellEnd"/>
      <w:r w:rsidRPr="001218F1">
        <w:rPr>
          <w:rFonts w:ascii="Times New Roman" w:eastAsiaTheme="minorEastAsia" w:hAnsi="Times New Roman" w:cs="Times New Roman"/>
          <w:sz w:val="26"/>
          <w:szCs w:val="26"/>
          <w:lang w:val="en-US"/>
        </w:rPr>
        <w:t xml:space="preserve"> Dist. (first place in similarity, see Table~\</w:t>
      </w:r>
      <w:proofErr w:type="gramStart"/>
      <w:r w:rsidRPr="001218F1">
        <w:rPr>
          <w:rFonts w:ascii="Times New Roman" w:eastAsiaTheme="minorEastAsia" w:hAnsi="Times New Roman" w:cs="Times New Roman"/>
          <w:sz w:val="26"/>
          <w:szCs w:val="26"/>
          <w:lang w:val="en-US"/>
        </w:rPr>
        <w:t>ref{</w:t>
      </w:r>
      <w:proofErr w:type="gramEnd"/>
      <w:r w:rsidRPr="001218F1">
        <w:rPr>
          <w:rFonts w:ascii="Times New Roman" w:eastAsiaTheme="minorEastAsia" w:hAnsi="Times New Roman" w:cs="Times New Roman"/>
          <w:sz w:val="26"/>
          <w:szCs w:val="26"/>
          <w:lang w:val="en-US"/>
        </w:rPr>
        <w:t xml:space="preserve">sim-2}), media analysis revealed no evidence of significant conflicts. It </w:t>
      </w:r>
      <w:proofErr w:type="gramStart"/>
      <w:r w:rsidRPr="001218F1">
        <w:rPr>
          <w:rFonts w:ascii="Times New Roman" w:eastAsiaTheme="minorEastAsia" w:hAnsi="Times New Roman" w:cs="Times New Roman"/>
          <w:sz w:val="26"/>
          <w:szCs w:val="26"/>
          <w:lang w:val="en-US"/>
        </w:rPr>
        <w:t>should be noted</w:t>
      </w:r>
      <w:proofErr w:type="gramEnd"/>
      <w:r w:rsidRPr="001218F1">
        <w:rPr>
          <w:rFonts w:ascii="Times New Roman" w:eastAsiaTheme="minorEastAsia" w:hAnsi="Times New Roman" w:cs="Times New Roman"/>
          <w:sz w:val="26"/>
          <w:szCs w:val="26"/>
          <w:lang w:val="en-US"/>
        </w:rPr>
        <w:t xml:space="preserve">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w:t>
      </w:r>
      <w:proofErr w:type="spellStart"/>
      <w:r>
        <w:rPr>
          <w:rFonts w:ascii="Times New Roman" w:eastAsiaTheme="minorEastAsia" w:hAnsi="Times New Roman" w:cs="Times New Roman"/>
          <w:sz w:val="26"/>
          <w:szCs w:val="26"/>
          <w:lang w:val="en-US"/>
        </w:rPr>
        <w:t>Tikhoretsky</w:t>
      </w:r>
      <w:proofErr w:type="spellEnd"/>
      <w:r>
        <w:rPr>
          <w:rFonts w:ascii="Times New Roman" w:eastAsiaTheme="minorEastAsia" w:hAnsi="Times New Roman" w:cs="Times New Roman"/>
          <w:sz w:val="26"/>
          <w:szCs w:val="26"/>
          <w:lang w:val="en-US"/>
        </w:rPr>
        <w:t xml:space="preserve">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w:t>
      </w:r>
      <w:proofErr w:type="gramStart"/>
      <w:r w:rsidR="00D65CAA">
        <w:rPr>
          <w:rFonts w:ascii="Times New Roman" w:eastAsiaTheme="minorEastAsia" w:hAnsi="Times New Roman" w:cs="Times New Roman"/>
          <w:sz w:val="26"/>
          <w:szCs w:val="26"/>
          <w:lang w:val="en-US"/>
        </w:rPr>
        <w:t>see )</w:t>
      </w:r>
      <w:proofErr w:type="gramEnd"/>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w:t>
      </w:r>
      <w:proofErr w:type="spellStart"/>
      <w:r w:rsidR="00D65CAA" w:rsidRPr="00D65CAA">
        <w:rPr>
          <w:rFonts w:ascii="Times New Roman" w:eastAsiaTheme="minorEastAsia" w:hAnsi="Times New Roman" w:cs="Times New Roman"/>
          <w:sz w:val="26"/>
          <w:szCs w:val="26"/>
          <w:lang w:val="en-US"/>
        </w:rPr>
        <w:t>Alexeyevskaya</w:t>
      </w:r>
      <w:proofErr w:type="spellEnd"/>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w:t>
      </w:r>
      <w:proofErr w:type="spellStart"/>
      <w:r w:rsidRPr="00426AAD">
        <w:rPr>
          <w:rFonts w:ascii="Times New Roman" w:eastAsiaTheme="minorEastAsia" w:hAnsi="Times New Roman" w:cs="Times New Roman"/>
          <w:sz w:val="26"/>
          <w:szCs w:val="26"/>
          <w:lang w:val="en-US"/>
        </w:rPr>
        <w:t>Kamenny</w:t>
      </w:r>
      <w:proofErr w:type="spellEnd"/>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w:t>
      </w:r>
      <w:proofErr w:type="spellStart"/>
      <w:r w:rsidRPr="00426AAD">
        <w:rPr>
          <w:rFonts w:ascii="Times New Roman" w:eastAsiaTheme="minorEastAsia" w:hAnsi="Times New Roman" w:cs="Times New Roman"/>
          <w:sz w:val="26"/>
          <w:szCs w:val="26"/>
          <w:lang w:val="en-US"/>
        </w:rPr>
        <w:t>Tikhoretsky</w:t>
      </w:r>
      <w:proofErr w:type="spellEnd"/>
      <w:r w:rsidRPr="00426AAD">
        <w:rPr>
          <w:rFonts w:ascii="Times New Roman" w:eastAsiaTheme="minorEastAsia" w:hAnsi="Times New Roman" w:cs="Times New Roman"/>
          <w:sz w:val="26"/>
          <w:szCs w:val="26"/>
          <w:lang w:val="en-US"/>
        </w:rPr>
        <w:t xml:space="preserve">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 xml:space="preserve">When </w:t>
      </w:r>
      <w:proofErr w:type="spellStart"/>
      <w:r w:rsidRPr="000F65D7">
        <w:rPr>
          <w:rFonts w:ascii="Times New Roman" w:eastAsiaTheme="minorEastAsia" w:hAnsi="Times New Roman" w:cs="Times New Roman"/>
          <w:sz w:val="26"/>
          <w:szCs w:val="26"/>
          <w:lang w:val="en-US"/>
        </w:rPr>
        <w:t>analysing</w:t>
      </w:r>
      <w:proofErr w:type="spellEnd"/>
      <w:r w:rsidRPr="000F65D7">
        <w:rPr>
          <w:rFonts w:ascii="Times New Roman" w:eastAsiaTheme="minorEastAsia" w:hAnsi="Times New Roman" w:cs="Times New Roman"/>
          <w:sz w:val="26"/>
          <w:szCs w:val="26"/>
          <w:lang w:val="en-US"/>
        </w:rPr>
        <w:t xml:space="preserve">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for 2019 (26th place,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a social protest related to a landfill was identified, although it actually occurred in 2021 (see Figure~\ref{</w:t>
      </w:r>
      <w:proofErr w:type="spellStart"/>
      <w:r w:rsidRPr="000F65D7">
        <w:rPr>
          <w:rFonts w:ascii="Times New Roman" w:eastAsiaTheme="minorEastAsia" w:hAnsi="Times New Roman" w:cs="Times New Roman"/>
          <w:sz w:val="26"/>
          <w:szCs w:val="26"/>
          <w:lang w:val="en-US"/>
        </w:rPr>
        <w:t>belo</w:t>
      </w:r>
      <w:proofErr w:type="spellEnd"/>
      <w:r w:rsidRPr="000F65D7">
        <w:rPr>
          <w:rFonts w:ascii="Times New Roman" w:eastAsiaTheme="minorEastAsia" w:hAnsi="Times New Roman" w:cs="Times New Roman"/>
          <w:sz w:val="26"/>
          <w:szCs w:val="26"/>
          <w:lang w:val="en-US"/>
        </w:rPr>
        <w:t xml:space="preserve">}). The protest involved approximately 500 participants.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of 2021 is also presented in the dataset and is in the 50th place in similarity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lastRenderedPageBreak/>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 xml:space="preserve">In other words, </w:t>
      </w:r>
      <w:proofErr w:type="gramStart"/>
      <w:r w:rsidRPr="00F02234">
        <w:rPr>
          <w:rFonts w:ascii="Times New Roman" w:eastAsiaTheme="minorEastAsia" w:hAnsi="Times New Roman" w:cs="Times New Roman"/>
          <w:sz w:val="26"/>
          <w:szCs w:val="26"/>
          <w:lang w:val="en-US"/>
        </w:rPr>
        <w:t>using the similarity approach as the basis,</w:t>
      </w:r>
      <w:proofErr w:type="gramEnd"/>
      <w:r w:rsidRPr="00F02234">
        <w:rPr>
          <w:rFonts w:ascii="Times New Roman" w:eastAsiaTheme="minorEastAsia" w:hAnsi="Times New Roman" w:cs="Times New Roman"/>
          <w:sz w:val="26"/>
          <w:szCs w:val="26"/>
          <w:lang w:val="en-US"/>
        </w:rPr>
        <w:t xml:space="preserve"> </w:t>
      </w:r>
      <w:proofErr w:type="gramStart"/>
      <w:r w:rsidRPr="00F02234">
        <w:rPr>
          <w:rFonts w:ascii="Times New Roman" w:eastAsiaTheme="minorEastAsia" w:hAnsi="Times New Roman" w:cs="Times New Roman"/>
          <w:sz w:val="26"/>
          <w:szCs w:val="26"/>
          <w:lang w:val="en-US"/>
        </w:rPr>
        <w:t>it</w:t>
      </w:r>
      <w:proofErr w:type="gramEnd"/>
      <w:r w:rsidRPr="00F02234">
        <w:rPr>
          <w:rFonts w:ascii="Times New Roman" w:eastAsiaTheme="minorEastAsia" w:hAnsi="Times New Roman" w:cs="Times New Roman"/>
          <w:sz w:val="26"/>
          <w:szCs w:val="26"/>
          <w:lang w:val="en-US"/>
        </w:rPr>
        <w:t xml:space="preserve">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 xml:space="preserve">A ranking system </w:t>
      </w:r>
      <w:proofErr w:type="gramStart"/>
      <w:r w:rsidR="00E87348">
        <w:rPr>
          <w:rFonts w:ascii="Times New Roman" w:hAnsi="Times New Roman" w:cs="Times New Roman"/>
          <w:sz w:val="26"/>
          <w:szCs w:val="26"/>
          <w:lang w:val="en-US"/>
        </w:rPr>
        <w:t>is proposed</w:t>
      </w:r>
      <w:proofErr w:type="gramEnd"/>
      <w:r w:rsidR="00E87348">
        <w:rPr>
          <w:rFonts w:ascii="Times New Roman" w:hAnsi="Times New Roman" w:cs="Times New Roman"/>
          <w:sz w:val="26"/>
          <w:szCs w:val="26"/>
          <w:lang w:val="en-US"/>
        </w:rPr>
        <w:t xml:space="preserve">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 xml:space="preserve">In general, the proposed method </w:t>
      </w:r>
      <w:proofErr w:type="gramStart"/>
      <w:r w:rsidRPr="004922B2">
        <w:rPr>
          <w:rFonts w:ascii="Times New Roman" w:hAnsi="Times New Roman" w:cs="Times New Roman"/>
          <w:sz w:val="26"/>
          <w:szCs w:val="26"/>
          <w:lang w:val="en-US"/>
        </w:rPr>
        <w:t>can be described</w:t>
      </w:r>
      <w:proofErr w:type="gramEnd"/>
      <w:r w:rsidRPr="004922B2">
        <w:rPr>
          <w:rFonts w:ascii="Times New Roman" w:hAnsi="Times New Roman" w:cs="Times New Roman"/>
          <w:sz w:val="26"/>
          <w:szCs w:val="26"/>
          <w:lang w:val="en-US"/>
        </w:rPr>
        <w:t xml:space="preserve">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roofErr w:type="gramStart"/>
      <w:r w:rsidRPr="004922B2">
        <w:rPr>
          <w:rFonts w:ascii="Times New Roman" w:hAnsi="Times New Roman" w:cs="Times New Roman"/>
          <w:sz w:val="26"/>
          <w:szCs w:val="26"/>
          <w:lang w:val="en-US"/>
        </w:rPr>
        <w:t>;</w:t>
      </w:r>
      <w:proofErr w:type="gramEnd"/>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Repeating steps </w:t>
      </w:r>
      <w:proofErr w:type="gramStart"/>
      <w:r w:rsidRPr="004922B2">
        <w:rPr>
          <w:rFonts w:ascii="Times New Roman" w:hAnsi="Times New Roman" w:cs="Times New Roman"/>
          <w:sz w:val="26"/>
          <w:szCs w:val="26"/>
          <w:lang w:val="en-US"/>
        </w:rPr>
        <w:t>2</w:t>
      </w:r>
      <w:proofErr w:type="gramEnd"/>
      <w:r w:rsidRPr="004922B2">
        <w:rPr>
          <w:rFonts w:ascii="Times New Roman" w:hAnsi="Times New Roman" w:cs="Times New Roman"/>
          <w:sz w:val="26"/>
          <w:szCs w:val="26"/>
          <w:lang w:val="en-US"/>
        </w:rPr>
        <w:t xml:space="preserve">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lastRenderedPageBreak/>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 xml:space="preserve">For example, the simplest approach is to apply a progressive ranking of similarity, ranging from </w:t>
      </w:r>
      <w:proofErr w:type="gramStart"/>
      <w:r w:rsidRPr="0095048C">
        <w:rPr>
          <w:rFonts w:ascii="Times New Roman" w:hAnsi="Times New Roman" w:cs="Times New Roman"/>
          <w:sz w:val="26"/>
          <w:szCs w:val="26"/>
          <w:lang w:val="en-US"/>
        </w:rPr>
        <w:t>1</w:t>
      </w:r>
      <w:proofErr w:type="gramEnd"/>
      <w:r w:rsidRPr="0095048C">
        <w:rPr>
          <w:rFonts w:ascii="Times New Roman" w:hAnsi="Times New Roman" w:cs="Times New Roman"/>
          <w:sz w:val="26"/>
          <w:szCs w:val="26"/>
          <w:lang w:val="en-US"/>
        </w:rPr>
        <w:t xml:space="preserve"> (most similar, first place) to 0 (least similar, last place). However, due to a certain degree of homogeneity observed in the country (see Fig</w:t>
      </w:r>
      <w:proofErr w:type="gramStart"/>
      <w:r w:rsidRPr="0095048C">
        <w:rPr>
          <w:rFonts w:ascii="Times New Roman" w:hAnsi="Times New Roman" w:cs="Times New Roman"/>
          <w:sz w:val="26"/>
          <w:szCs w:val="26"/>
          <w:lang w:val="en-US"/>
        </w:rPr>
        <w:t>.~</w:t>
      </w:r>
      <w:proofErr w:type="gramEnd"/>
      <w:r w:rsidRPr="0095048C">
        <w:rPr>
          <w:rFonts w:ascii="Times New Roman" w:hAnsi="Times New Roman" w:cs="Times New Roman"/>
          <w:sz w:val="26"/>
          <w:szCs w:val="26"/>
          <w:lang w:val="en-US"/>
        </w:rPr>
        <w:t>\ref{sim-3}), such a scoring system will heavily favor municipal entities that are more or less similar to a large number of others.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 xml:space="preserve">In the logic of the hypothesis of this study, the most similar municipal entities may share the same degree of predisposition. Therefore, a top-ranking system </w:t>
      </w:r>
      <w:proofErr w:type="gramStart"/>
      <w:r w:rsidRPr="00225409">
        <w:rPr>
          <w:rFonts w:ascii="Times New Roman" w:hAnsi="Times New Roman" w:cs="Times New Roman"/>
          <w:sz w:val="26"/>
          <w:szCs w:val="26"/>
          <w:lang w:val="en-US"/>
        </w:rPr>
        <w:t>should be considered</w:t>
      </w:r>
      <w:proofErr w:type="gramEnd"/>
      <w:r w:rsidRPr="00225409">
        <w:rPr>
          <w:rFonts w:ascii="Times New Roman" w:hAnsi="Times New Roman" w:cs="Times New Roman"/>
          <w:sz w:val="26"/>
          <w:szCs w:val="26"/>
          <w:lang w:val="en-US"/>
        </w:rPr>
        <w:t xml:space="preserve"> in this case. An initial analysis of the graphs suggests that it is reasonable to assume the first 300 most similar municipal entities as comparable (see Fig</w:t>
      </w:r>
      <w:proofErr w:type="gramStart"/>
      <w:r w:rsidRPr="00225409">
        <w:rPr>
          <w:rFonts w:ascii="Times New Roman" w:hAnsi="Times New Roman" w:cs="Times New Roman"/>
          <w:sz w:val="26"/>
          <w:szCs w:val="26"/>
          <w:lang w:val="en-US"/>
        </w:rPr>
        <w:t>.~</w:t>
      </w:r>
      <w:proofErr w:type="gramEnd"/>
      <w:r w:rsidRPr="00225409">
        <w:rPr>
          <w:rFonts w:ascii="Times New Roman" w:hAnsi="Times New Roman" w:cs="Times New Roman"/>
          <w:sz w:val="26"/>
          <w:szCs w:val="26"/>
          <w:lang w:val="en-US"/>
        </w:rPr>
        <w:t xml:space="preserve">\ref{sim-3}). Consequently, the proposed ranking system assigns scores as follows: 1 point for municipal entities ranked from </w:t>
      </w:r>
      <w:proofErr w:type="gramStart"/>
      <w:r w:rsidRPr="00225409">
        <w:rPr>
          <w:rFonts w:ascii="Times New Roman" w:hAnsi="Times New Roman" w:cs="Times New Roman"/>
          <w:sz w:val="26"/>
          <w:szCs w:val="26"/>
          <w:lang w:val="en-US"/>
        </w:rPr>
        <w:t>1</w:t>
      </w:r>
      <w:proofErr w:type="gramEnd"/>
      <w:r w:rsidRPr="00225409">
        <w:rPr>
          <w:rFonts w:ascii="Times New Roman" w:hAnsi="Times New Roman" w:cs="Times New Roman"/>
          <w:sz w:val="26"/>
          <w:szCs w:val="26"/>
          <w:lang w:val="en-US"/>
        </w:rPr>
        <w:t xml:space="preserve"> to 100 by the similarity metric (4); 0.5 points for places from 101 to 200; and 0.2 points for places from 201 to 300. However, it should be noted that both the threshold (top 300) and the corresponding score values remain subject to further optimization.</w:t>
      </w:r>
    </w:p>
    <w:p w:rsidR="00225409" w:rsidRPr="00552E0D" w:rsidRDefault="00225409" w:rsidP="0095048C">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F513EA" w:rsidRPr="0045538E" w:rsidRDefault="00F513EA" w:rsidP="00AE5D74">
      <w:pPr>
        <w:spacing w:after="0" w:line="360" w:lineRule="auto"/>
        <w:ind w:left="-567" w:firstLine="567"/>
        <w:jc w:val="both"/>
        <w:rPr>
          <w:rFonts w:ascii="Times New Roman" w:hAnsi="Times New Roman" w:cs="Times New Roman"/>
          <w:b/>
          <w:i/>
          <w:sz w:val="24"/>
          <w:szCs w:val="24"/>
          <w:lang w:val="en-US"/>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proofErr w:type="spellStart"/>
      <w:r w:rsidRPr="00B255F5">
        <w:rPr>
          <w:rFonts w:ascii="Times New Roman" w:hAnsi="Times New Roman" w:cs="Times New Roman"/>
          <w:sz w:val="24"/>
          <w:szCs w:val="24"/>
          <w:lang w:val="en-US"/>
        </w:rPr>
        <w:t>Iyda</w:t>
      </w:r>
      <w:proofErr w:type="spellEnd"/>
      <w:r w:rsidRPr="00B255F5">
        <w:rPr>
          <w:rFonts w:ascii="Times New Roman" w:hAnsi="Times New Roman" w:cs="Times New Roman"/>
          <w:sz w:val="24"/>
          <w:szCs w:val="24"/>
          <w:lang w:val="en-US"/>
        </w:rPr>
        <w:t xml:space="preserve">, J.J., </w:t>
      </w:r>
      <w:proofErr w:type="spellStart"/>
      <w:r w:rsidRPr="00B255F5">
        <w:rPr>
          <w:rFonts w:ascii="Times New Roman" w:hAnsi="Times New Roman" w:cs="Times New Roman"/>
          <w:sz w:val="24"/>
          <w:szCs w:val="24"/>
          <w:lang w:val="en-US"/>
        </w:rPr>
        <w:t>Geetha</w:t>
      </w:r>
      <w:proofErr w:type="spellEnd"/>
      <w:r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Pr="00B255F5">
        <w:rPr>
          <w:rFonts w:ascii="Times New Roman" w:hAnsi="Times New Roman" w:cs="Times New Roman"/>
          <w:sz w:val="24"/>
          <w:szCs w:val="24"/>
          <w:lang w:val="en-US"/>
        </w:rPr>
        <w:t>Appl</w:t>
      </w:r>
      <w:proofErr w:type="spellEnd"/>
      <w:r w:rsidRPr="00B255F5">
        <w:rPr>
          <w:rFonts w:ascii="Times New Roman" w:hAnsi="Times New Roman" w:cs="Times New Roman"/>
          <w:sz w:val="24"/>
          <w:szCs w:val="24"/>
          <w:lang w:val="en-US"/>
        </w:rPr>
        <w:t xml:space="preserve"> </w:t>
      </w:r>
      <w:proofErr w:type="spellStart"/>
      <w:r w:rsidRPr="00B255F5">
        <w:rPr>
          <w:rFonts w:ascii="Times New Roman" w:hAnsi="Times New Roman" w:cs="Times New Roman"/>
          <w:sz w:val="24"/>
          <w:szCs w:val="24"/>
          <w:lang w:val="en-US"/>
        </w:rPr>
        <w:t>Intell</w:t>
      </w:r>
      <w:proofErr w:type="spellEnd"/>
      <w:r w:rsidRPr="00B255F5">
        <w:rPr>
          <w:rFonts w:ascii="Times New Roman" w:hAnsi="Times New Roman" w:cs="Times New Roman"/>
          <w:sz w:val="24"/>
          <w:szCs w:val="24"/>
          <w:lang w:val="en-US"/>
        </w:rPr>
        <w:t xml:space="preserve"> 53, 5714–5731 (2023). https://doi.org/10.1007/s10489-022-03746-3</w:t>
      </w:r>
    </w:p>
    <w:p w:rsidR="00011BCE" w:rsidRDefault="00AE5D74" w:rsidP="00AE5D74">
      <w:pPr>
        <w:rPr>
          <w:rFonts w:ascii="Times New Roman" w:hAnsi="Times New Roman" w:cs="Times New Roman"/>
          <w:sz w:val="26"/>
          <w:szCs w:val="26"/>
          <w:lang w:val="en-US"/>
        </w:rPr>
      </w:pPr>
      <w:r>
        <w:rPr>
          <w:rFonts w:ascii="Times New Roman" w:hAnsi="Times New Roman" w:cs="Times New Roman"/>
          <w:sz w:val="26"/>
          <w:szCs w:val="26"/>
          <w:lang w:val="en-US"/>
        </w:rPr>
        <w:t xml:space="preserve">[11]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xml:space="preserve">. Anal. Min. 6, 50 (2016). </w:t>
      </w:r>
      <w:hyperlink r:id="rId16" w:history="1">
        <w:r w:rsidR="00B64852" w:rsidRPr="00E1715F">
          <w:rPr>
            <w:rStyle w:val="a3"/>
            <w:rFonts w:ascii="Times New Roman" w:hAnsi="Times New Roman" w:cs="Times New Roman"/>
            <w:sz w:val="26"/>
            <w:szCs w:val="26"/>
            <w:lang w:val="en-US"/>
          </w:rPr>
          <w:t>https://doi.org/10.1007/s13278-016-0355-8</w:t>
        </w:r>
      </w:hyperlink>
    </w:p>
    <w:p w:rsidR="00B64852" w:rsidRDefault="00B64852" w:rsidP="00B64852">
      <w:pPr>
        <w:spacing w:line="360" w:lineRule="auto"/>
        <w:ind w:left="-567" w:firstLine="567"/>
        <w:jc w:val="both"/>
        <w:rPr>
          <w:rFonts w:ascii="Times New Roman" w:hAnsi="Times New Roman" w:cs="Times New Roman"/>
          <w:sz w:val="24"/>
          <w:szCs w:val="24"/>
        </w:rPr>
      </w:pPr>
      <w:r w:rsidRPr="00B64852">
        <w:rPr>
          <w:rFonts w:ascii="Times New Roman" w:hAnsi="Times New Roman" w:cs="Times New Roman"/>
          <w:bCs/>
          <w:color w:val="000000"/>
          <w:sz w:val="24"/>
          <w:szCs w:val="24"/>
          <w:shd w:val="clear" w:color="auto" w:fill="FFFFFF"/>
          <w:lang w:val="en-US"/>
        </w:rPr>
        <w:t xml:space="preserve">[12] </w:t>
      </w:r>
      <w:proofErr w:type="spellStart"/>
      <w:r w:rsidRPr="00B64852">
        <w:rPr>
          <w:rFonts w:ascii="Times New Roman" w:hAnsi="Times New Roman" w:cs="Times New Roman"/>
          <w:bCs/>
          <w:color w:val="000000"/>
          <w:sz w:val="24"/>
          <w:szCs w:val="24"/>
          <w:shd w:val="clear" w:color="auto" w:fill="FFFFFF"/>
          <w:lang w:val="en-US"/>
        </w:rPr>
        <w:t>Korotayev</w:t>
      </w:r>
      <w:proofErr w:type="spellEnd"/>
      <w:r w:rsidRPr="00B64852">
        <w:rPr>
          <w:rFonts w:ascii="Times New Roman" w:hAnsi="Times New Roman" w:cs="Times New Roman"/>
          <w:bCs/>
          <w:color w:val="000000"/>
          <w:sz w:val="24"/>
          <w:szCs w:val="24"/>
          <w:shd w:val="clear" w:color="auto" w:fill="FFFFFF"/>
          <w:lang w:val="en-US"/>
        </w:rPr>
        <w:t>, A. V., Sawyer, P. S., &amp; Romanov, D. M. (2021).</w:t>
      </w:r>
      <w:r w:rsidRPr="00B64852">
        <w:rPr>
          <w:rFonts w:ascii="Times New Roman" w:hAnsi="Times New Roman" w:cs="Times New Roman"/>
          <w:bCs/>
          <w:color w:val="000000"/>
          <w:sz w:val="24"/>
          <w:szCs w:val="24"/>
          <w:shd w:val="clear" w:color="auto" w:fill="FFFFFF"/>
          <w:lang w:val="en-US"/>
        </w:rPr>
        <w:t xml:space="preserve"> Socio-Economic Development and </w:t>
      </w:r>
      <w:r w:rsidRPr="00B64852">
        <w:rPr>
          <w:rFonts w:ascii="Times New Roman" w:hAnsi="Times New Roman" w:cs="Times New Roman"/>
          <w:bCs/>
          <w:color w:val="000000"/>
          <w:sz w:val="24"/>
          <w:szCs w:val="24"/>
          <w:shd w:val="clear" w:color="auto" w:fill="FFFFFF"/>
          <w:lang w:val="en-US"/>
        </w:rPr>
        <w:t>Protests: A Quantitative Reanalysis. </w:t>
      </w:r>
      <w:r w:rsidRPr="00B64852">
        <w:rPr>
          <w:rStyle w:val="a6"/>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6"/>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 xml:space="preserve">(2), 195 </w:t>
      </w:r>
      <w:r w:rsidRPr="00B64852">
        <w:rPr>
          <w:rFonts w:ascii="Times New Roman" w:hAnsi="Times New Roman" w:cs="Times New Roman"/>
          <w:bCs/>
          <w:color w:val="000000"/>
          <w:sz w:val="24"/>
          <w:szCs w:val="24"/>
          <w:shd w:val="clear" w:color="auto" w:fill="FFFFFF"/>
          <w:lang w:val="en-US"/>
        </w:rPr>
        <w:t>222. </w:t>
      </w:r>
      <w:hyperlink r:id="rId17"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B442FE" w:rsidRPr="00B64852" w:rsidRDefault="00B442FE" w:rsidP="00B64852">
      <w:pPr>
        <w:spacing w:line="360" w:lineRule="auto"/>
        <w:ind w:left="-567" w:firstLine="567"/>
        <w:jc w:val="both"/>
        <w:rPr>
          <w:rFonts w:ascii="Times New Roman" w:hAnsi="Times New Roman" w:cs="Times New Roman"/>
          <w:sz w:val="24"/>
          <w:szCs w:val="24"/>
          <w:lang w:val="en-US"/>
        </w:rPr>
      </w:pPr>
      <w:r>
        <w:rPr>
          <w:rFonts w:ascii="Arial" w:hAnsi="Arial" w:cs="Arial"/>
          <w:color w:val="333333"/>
          <w:shd w:val="clear" w:color="auto" w:fill="FFFFFF"/>
          <w:lang w:val="en-US"/>
        </w:rPr>
        <w:t xml:space="preserve">[13] </w:t>
      </w:r>
      <w:proofErr w:type="spellStart"/>
      <w:r w:rsidRPr="00B442FE">
        <w:rPr>
          <w:rFonts w:ascii="Arial" w:hAnsi="Arial" w:cs="Arial"/>
          <w:color w:val="333333"/>
          <w:shd w:val="clear" w:color="auto" w:fill="FFFFFF"/>
          <w:lang w:val="en-US"/>
        </w:rPr>
        <w:t>Azedi</w:t>
      </w:r>
      <w:proofErr w:type="spellEnd"/>
      <w:r w:rsidRPr="00B442FE">
        <w:rPr>
          <w:rFonts w:ascii="Arial" w:hAnsi="Arial" w:cs="Arial"/>
          <w:color w:val="333333"/>
          <w:shd w:val="clear" w:color="auto" w:fill="FFFFFF"/>
          <w:lang w:val="en-US"/>
        </w:rPr>
        <w:t>, A. (2024). From shared grievances to collective action: A multilevel study of economic adversity and protest. </w:t>
      </w:r>
      <w:proofErr w:type="spellStart"/>
      <w:r>
        <w:rPr>
          <w:rFonts w:ascii="Arial" w:hAnsi="Arial" w:cs="Arial"/>
          <w:i/>
          <w:iCs/>
          <w:color w:val="333333"/>
          <w:shd w:val="clear" w:color="auto" w:fill="FFFFFF"/>
        </w:rPr>
        <w:t>International</w:t>
      </w:r>
      <w:proofErr w:type="spellEnd"/>
      <w:r>
        <w:rPr>
          <w:rFonts w:ascii="Arial" w:hAnsi="Arial" w:cs="Arial"/>
          <w:i/>
          <w:iCs/>
          <w:color w:val="333333"/>
          <w:shd w:val="clear" w:color="auto" w:fill="FFFFFF"/>
        </w:rPr>
        <w:t xml:space="preserve"> </w:t>
      </w:r>
      <w:proofErr w:type="spellStart"/>
      <w:r>
        <w:rPr>
          <w:rFonts w:ascii="Arial" w:hAnsi="Arial" w:cs="Arial"/>
          <w:i/>
          <w:iCs/>
          <w:color w:val="333333"/>
          <w:shd w:val="clear" w:color="auto" w:fill="FFFFFF"/>
        </w:rPr>
        <w:t>Sociology</w:t>
      </w:r>
      <w:proofErr w:type="spellEnd"/>
      <w:r>
        <w:rPr>
          <w:rFonts w:ascii="Arial" w:hAnsi="Arial" w:cs="Arial"/>
          <w:color w:val="333333"/>
          <w:shd w:val="clear" w:color="auto" w:fill="FFFFFF"/>
        </w:rPr>
        <w:t>, </w:t>
      </w:r>
      <w:r>
        <w:rPr>
          <w:rFonts w:ascii="Arial" w:hAnsi="Arial" w:cs="Arial"/>
          <w:i/>
          <w:iCs/>
          <w:color w:val="333333"/>
          <w:shd w:val="clear" w:color="auto" w:fill="FFFFFF"/>
        </w:rPr>
        <w:t>40</w:t>
      </w:r>
      <w:r>
        <w:rPr>
          <w:rFonts w:ascii="Arial" w:hAnsi="Arial" w:cs="Arial"/>
          <w:color w:val="333333"/>
          <w:shd w:val="clear" w:color="auto" w:fill="FFFFFF"/>
        </w:rPr>
        <w:t>(1), 3-32. </w:t>
      </w:r>
      <w:hyperlink r:id="rId18" w:history="1">
        <w:r>
          <w:rPr>
            <w:rStyle w:val="a3"/>
            <w:rFonts w:ascii="Arial" w:hAnsi="Arial" w:cs="Arial"/>
            <w:color w:val="046FF8"/>
            <w:shd w:val="clear" w:color="auto" w:fill="FFFFFF"/>
          </w:rPr>
          <w:t>https://doi.org/10.1177/02685809241292076</w:t>
        </w:r>
      </w:hyperlink>
      <w:r>
        <w:rPr>
          <w:rFonts w:ascii="Arial" w:hAnsi="Arial" w:cs="Arial"/>
          <w:color w:val="333333"/>
          <w:shd w:val="clear" w:color="auto" w:fill="FFFFFF"/>
        </w:rPr>
        <w:t> (</w:t>
      </w:r>
      <w:proofErr w:type="spellStart"/>
      <w:r>
        <w:rPr>
          <w:rFonts w:ascii="Arial" w:hAnsi="Arial" w:cs="Arial"/>
          <w:color w:val="333333"/>
          <w:shd w:val="clear" w:color="auto" w:fill="FFFFFF"/>
        </w:rPr>
        <w:t>Original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work</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published</w:t>
      </w:r>
      <w:proofErr w:type="spellEnd"/>
      <w:r>
        <w:rPr>
          <w:rFonts w:ascii="Arial" w:hAnsi="Arial" w:cs="Arial"/>
          <w:color w:val="333333"/>
          <w:shd w:val="clear" w:color="auto" w:fill="FFFFFF"/>
        </w:rPr>
        <w:t xml:space="preserve"> 2025)</w:t>
      </w:r>
    </w:p>
    <w:sectPr w:rsidR="00B442FE" w:rsidRPr="00B648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453DD"/>
    <w:rsid w:val="000C085B"/>
    <w:rsid w:val="000D6590"/>
    <w:rsid w:val="000E3909"/>
    <w:rsid w:val="000E4FE1"/>
    <w:rsid w:val="000F65D7"/>
    <w:rsid w:val="001218F1"/>
    <w:rsid w:val="00124AC9"/>
    <w:rsid w:val="00127DA8"/>
    <w:rsid w:val="0017063E"/>
    <w:rsid w:val="001756F6"/>
    <w:rsid w:val="00191314"/>
    <w:rsid w:val="001E07C8"/>
    <w:rsid w:val="00210415"/>
    <w:rsid w:val="00217916"/>
    <w:rsid w:val="00225409"/>
    <w:rsid w:val="0028427F"/>
    <w:rsid w:val="002B772D"/>
    <w:rsid w:val="0035481D"/>
    <w:rsid w:val="00360E64"/>
    <w:rsid w:val="00360F8D"/>
    <w:rsid w:val="00372112"/>
    <w:rsid w:val="003D49C8"/>
    <w:rsid w:val="003D7CEC"/>
    <w:rsid w:val="00415C1B"/>
    <w:rsid w:val="00420969"/>
    <w:rsid w:val="00426AAD"/>
    <w:rsid w:val="0043134B"/>
    <w:rsid w:val="0045538E"/>
    <w:rsid w:val="004605FD"/>
    <w:rsid w:val="00480360"/>
    <w:rsid w:val="004922B2"/>
    <w:rsid w:val="00492F43"/>
    <w:rsid w:val="004D0865"/>
    <w:rsid w:val="00531C21"/>
    <w:rsid w:val="00552E0D"/>
    <w:rsid w:val="005536C8"/>
    <w:rsid w:val="005A7130"/>
    <w:rsid w:val="00625BCB"/>
    <w:rsid w:val="006318CA"/>
    <w:rsid w:val="006B469D"/>
    <w:rsid w:val="00757844"/>
    <w:rsid w:val="00790136"/>
    <w:rsid w:val="007E5566"/>
    <w:rsid w:val="007E7963"/>
    <w:rsid w:val="00811E07"/>
    <w:rsid w:val="008368EF"/>
    <w:rsid w:val="00852ED3"/>
    <w:rsid w:val="00860859"/>
    <w:rsid w:val="008678E6"/>
    <w:rsid w:val="00886BE6"/>
    <w:rsid w:val="00887346"/>
    <w:rsid w:val="009038BF"/>
    <w:rsid w:val="00925B7A"/>
    <w:rsid w:val="00926B29"/>
    <w:rsid w:val="00944594"/>
    <w:rsid w:val="0095048C"/>
    <w:rsid w:val="009B2979"/>
    <w:rsid w:val="009C1905"/>
    <w:rsid w:val="009F47A8"/>
    <w:rsid w:val="00A208DE"/>
    <w:rsid w:val="00A34A1F"/>
    <w:rsid w:val="00A53A9D"/>
    <w:rsid w:val="00A56C58"/>
    <w:rsid w:val="00A726A9"/>
    <w:rsid w:val="00A906F6"/>
    <w:rsid w:val="00AC18F3"/>
    <w:rsid w:val="00AC30D9"/>
    <w:rsid w:val="00AD1F37"/>
    <w:rsid w:val="00AE5D74"/>
    <w:rsid w:val="00AF14FC"/>
    <w:rsid w:val="00AF568D"/>
    <w:rsid w:val="00B075A9"/>
    <w:rsid w:val="00B119E8"/>
    <w:rsid w:val="00B442FE"/>
    <w:rsid w:val="00B64852"/>
    <w:rsid w:val="00B91AD8"/>
    <w:rsid w:val="00C073A8"/>
    <w:rsid w:val="00C14A20"/>
    <w:rsid w:val="00C2639C"/>
    <w:rsid w:val="00C9078E"/>
    <w:rsid w:val="00CA27CA"/>
    <w:rsid w:val="00CA4952"/>
    <w:rsid w:val="00CA6E7A"/>
    <w:rsid w:val="00CE7619"/>
    <w:rsid w:val="00CF75C1"/>
    <w:rsid w:val="00D15B3E"/>
    <w:rsid w:val="00D65CAA"/>
    <w:rsid w:val="00DB68AD"/>
    <w:rsid w:val="00E12EC1"/>
    <w:rsid w:val="00E87348"/>
    <w:rsid w:val="00E90795"/>
    <w:rsid w:val="00E975D0"/>
    <w:rsid w:val="00EA372D"/>
    <w:rsid w:val="00EA719E"/>
    <w:rsid w:val="00ED3308"/>
    <w:rsid w:val="00F02234"/>
    <w:rsid w:val="00F20BC7"/>
    <w:rsid w:val="00F513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4F904"/>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 w:type="character" w:styleId="a6">
    <w:name w:val="Emphasis"/>
    <w:basedOn w:val="a0"/>
    <w:uiPriority w:val="20"/>
    <w:qFormat/>
    <w:rsid w:val="00B64852"/>
    <w:rPr>
      <w:i/>
      <w:iCs/>
    </w:rPr>
  </w:style>
  <w:style w:type="character" w:styleId="a7">
    <w:name w:val="FollowedHyperlink"/>
    <w:basedOn w:val="a0"/>
    <w:uiPriority w:val="99"/>
    <w:semiHidden/>
    <w:unhideWhenUsed/>
    <w:rsid w:val="00D15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18" Type="http://schemas.openxmlformats.org/officeDocument/2006/relationships/hyperlink" Target="https://doi.org/10.1177/0268580924129207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hyperlink" Target="https://doi.org/10.1163/15691330-bja10030" TargetMode="External"/><Relationship Id="rId2" Type="http://schemas.openxmlformats.org/officeDocument/2006/relationships/settings" Target="settings.xml"/><Relationship Id="rId16" Type="http://schemas.openxmlformats.org/officeDocument/2006/relationships/hyperlink" Target="https://doi.org/10.1007/s13278-016-0355-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1999</TotalTime>
  <Pages>11</Pages>
  <Words>3562</Words>
  <Characters>20307</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34</cp:revision>
  <dcterms:created xsi:type="dcterms:W3CDTF">2025-09-10T07:03:00Z</dcterms:created>
  <dcterms:modified xsi:type="dcterms:W3CDTF">2025-09-23T10:46:00Z</dcterms:modified>
</cp:coreProperties>
</file>