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6"/>
          <w:szCs w:val="26"/>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35481D">
        <w:rPr>
          <w:rFonts w:ascii="Times New Roman" w:hAnsi="Times New Roman" w:cs="Times New Roman"/>
          <w:sz w:val="26"/>
          <w:szCs w:val="26"/>
          <w:lang w:val="en-US"/>
        </w:rPr>
        <w:t xml:space="preserve">The socio-economic and demographic characteristics of a municipality at the time it experiences a protest </w:t>
      </w:r>
      <w:proofErr w:type="gramStart"/>
      <w:r w:rsidRPr="0035481D">
        <w:rPr>
          <w:rFonts w:ascii="Times New Roman" w:hAnsi="Times New Roman" w:cs="Times New Roman"/>
          <w:sz w:val="26"/>
          <w:szCs w:val="26"/>
          <w:lang w:val="en-US"/>
        </w:rPr>
        <w:t>could be used</w:t>
      </w:r>
      <w:proofErr w:type="gramEnd"/>
      <w:r w:rsidRPr="0035481D">
        <w:rPr>
          <w:rFonts w:ascii="Times New Roman" w:hAnsi="Times New Roman" w:cs="Times New Roman"/>
          <w:sz w:val="26"/>
          <w:szCs w:val="26"/>
          <w:lang w:val="en-US"/>
        </w:rPr>
        <w:t xml:space="preserve"> to identify a predisposition to certain social conflicts or general social tension. Thus, the set of municipalities (or conflict cases) again</w:t>
      </w:r>
      <w:r w:rsidR="00A208DE" w:rsidRPr="0035481D">
        <w:rPr>
          <w:rFonts w:ascii="Times New Roman" w:hAnsi="Times New Roman" w:cs="Times New Roman"/>
          <w:sz w:val="26"/>
          <w:szCs w:val="26"/>
          <w:lang w:val="en-US"/>
        </w:rPr>
        <w:t>st which similarity is assessed forms</w:t>
      </w:r>
      <w:r w:rsidRPr="0035481D">
        <w:rPr>
          <w:rFonts w:ascii="Times New Roman" w:hAnsi="Times New Roman" w:cs="Times New Roman"/>
          <w:sz w:val="26"/>
          <w:szCs w:val="26"/>
          <w:lang w:val="en-US"/>
        </w:rPr>
        <w:t xml:space="preserve"> one of the crucial components of the proposed approach.</w:t>
      </w:r>
    </w:p>
    <w:p w:rsidR="004605FD" w:rsidRPr="000E3909" w:rsidRDefault="004605FD" w:rsidP="0035481D">
      <w:pPr>
        <w:spacing w:after="0" w:line="360" w:lineRule="auto"/>
        <w:ind w:left="-567" w:firstLine="567"/>
        <w:jc w:val="both"/>
        <w:rPr>
          <w:rFonts w:ascii="Times New Roman" w:hAnsi="Times New Roman" w:cs="Times New Roman"/>
          <w:sz w:val="26"/>
          <w:szCs w:val="26"/>
          <w:lang w:val="en-US"/>
        </w:rPr>
      </w:pPr>
      <w:r w:rsidRPr="004605FD">
        <w:rPr>
          <w:rFonts w:ascii="Times New Roman" w:hAnsi="Times New Roman" w:cs="Times New Roman"/>
          <w:sz w:val="26"/>
          <w:szCs w:val="26"/>
          <w:lang w:val="en-US"/>
        </w:rPr>
        <w:t xml:space="preserve">A set of the most notable social conflicts in Russia from 2013 to 2023 </w:t>
      </w:r>
      <w:proofErr w:type="gramStart"/>
      <w:r w:rsidRPr="004605FD">
        <w:rPr>
          <w:rFonts w:ascii="Times New Roman" w:hAnsi="Times New Roman" w:cs="Times New Roman"/>
          <w:sz w:val="26"/>
          <w:szCs w:val="26"/>
          <w:lang w:val="en-US"/>
        </w:rPr>
        <w:t xml:space="preserve">has been </w:t>
      </w:r>
      <w:r>
        <w:rPr>
          <w:rFonts w:ascii="Times New Roman" w:hAnsi="Times New Roman" w:cs="Times New Roman"/>
          <w:sz w:val="26"/>
          <w:szCs w:val="26"/>
          <w:lang w:val="en-US"/>
        </w:rPr>
        <w:t>collected</w:t>
      </w:r>
      <w:proofErr w:type="gramEnd"/>
      <w:r w:rsidRPr="004605FD">
        <w:rPr>
          <w:rFonts w:ascii="Times New Roman" w:hAnsi="Times New Roman" w:cs="Times New Roman"/>
          <w:sz w:val="26"/>
          <w:szCs w:val="26"/>
          <w:lang w:val="en-US"/>
        </w:rPr>
        <w:t>. It includes 21 cases of social protests in different municipalities, each involving mass gatherings of people (over 100 participants) and receiving wide media coverage.</w:t>
      </w:r>
      <w:r>
        <w:rPr>
          <w:rFonts w:ascii="Times New Roman" w:hAnsi="Times New Roman" w:cs="Times New Roman"/>
          <w:sz w:val="26"/>
          <w:szCs w:val="26"/>
          <w:lang w:val="en-US"/>
        </w:rPr>
        <w:t xml:space="preserve"> </w:t>
      </w:r>
      <w:r w:rsidR="00415C1B" w:rsidRPr="00415C1B">
        <w:rPr>
          <w:rFonts w:ascii="Times New Roman" w:hAnsi="Times New Roman" w:cs="Times New Roman"/>
          <w:sz w:val="26"/>
          <w:szCs w:val="26"/>
          <w:lang w:val="en-US"/>
        </w:rPr>
        <w:t xml:space="preserve">These cases can be </w:t>
      </w:r>
      <w:r w:rsidR="00415C1B" w:rsidRPr="00415C1B">
        <w:rPr>
          <w:rFonts w:ascii="Times New Roman" w:hAnsi="Times New Roman" w:cs="Times New Roman"/>
          <w:sz w:val="26"/>
          <w:szCs w:val="26"/>
          <w:lang w:val="en-US"/>
        </w:rPr>
        <w:lastRenderedPageBreak/>
        <w:t xml:space="preserve">grouped into three categories: six ecological conflicts (Shies 2018, </w:t>
      </w:r>
      <w:proofErr w:type="spellStart"/>
      <w:r w:rsidR="00415C1B" w:rsidRPr="00415C1B">
        <w:rPr>
          <w:rFonts w:ascii="Times New Roman" w:hAnsi="Times New Roman" w:cs="Times New Roman"/>
          <w:sz w:val="26"/>
          <w:szCs w:val="26"/>
          <w:lang w:val="en-US"/>
        </w:rPr>
        <w:t>Poltavskaya</w:t>
      </w:r>
      <w:proofErr w:type="spellEnd"/>
      <w:r w:rsidR="00415C1B" w:rsidRPr="00415C1B">
        <w:rPr>
          <w:rFonts w:ascii="Times New Roman" w:hAnsi="Times New Roman" w:cs="Times New Roman"/>
          <w:sz w:val="26"/>
          <w:szCs w:val="26"/>
          <w:lang w:val="en-US"/>
        </w:rPr>
        <w:t xml:space="preserve"> village 2022, etc.); six ethnic conflicts (</w:t>
      </w:r>
      <w:proofErr w:type="spellStart"/>
      <w:r w:rsidR="00415C1B" w:rsidRPr="00415C1B">
        <w:rPr>
          <w:rFonts w:ascii="Times New Roman" w:hAnsi="Times New Roman" w:cs="Times New Roman"/>
          <w:sz w:val="26"/>
          <w:szCs w:val="26"/>
          <w:lang w:val="en-US"/>
        </w:rPr>
        <w:t>Chemodanovka</w:t>
      </w:r>
      <w:proofErr w:type="spellEnd"/>
      <w:r w:rsidR="00415C1B" w:rsidRPr="00415C1B">
        <w:rPr>
          <w:rFonts w:ascii="Times New Roman" w:hAnsi="Times New Roman" w:cs="Times New Roman"/>
          <w:sz w:val="26"/>
          <w:szCs w:val="26"/>
          <w:lang w:val="en-US"/>
        </w:rPr>
        <w:t xml:space="preserve"> 2019, Makhachkala 2023, etc.); and nine industrial conflicts (</w:t>
      </w:r>
      <w:proofErr w:type="spellStart"/>
      <w:r w:rsidR="00415C1B" w:rsidRPr="00415C1B">
        <w:rPr>
          <w:rFonts w:ascii="Times New Roman" w:hAnsi="Times New Roman" w:cs="Times New Roman"/>
          <w:sz w:val="26"/>
          <w:szCs w:val="26"/>
          <w:lang w:val="en-US"/>
        </w:rPr>
        <w:t>Kushtau</w:t>
      </w:r>
      <w:proofErr w:type="spellEnd"/>
      <w:r w:rsidR="00415C1B" w:rsidRPr="00415C1B">
        <w:rPr>
          <w:rFonts w:ascii="Times New Roman" w:hAnsi="Times New Roman" w:cs="Times New Roman"/>
          <w:sz w:val="26"/>
          <w:szCs w:val="26"/>
          <w:lang w:val="en-US"/>
        </w:rPr>
        <w:t xml:space="preserve"> 2020, Anapa 2021, etc.).</w:t>
      </w:r>
    </w:p>
    <w:p w:rsidR="00944594" w:rsidRDefault="00EA372D" w:rsidP="00EA372D">
      <w:pPr>
        <w:spacing w:after="0" w:line="360" w:lineRule="auto"/>
        <w:ind w:left="-567" w:firstLine="567"/>
        <w:jc w:val="both"/>
        <w:rPr>
          <w:rFonts w:ascii="Times New Roman" w:hAnsi="Times New Roman" w:cs="Times New Roman"/>
          <w:sz w:val="24"/>
          <w:szCs w:val="24"/>
          <w:lang w:val="en-US"/>
        </w:rPr>
      </w:pPr>
      <w:r w:rsidRPr="00EA372D">
        <w:rPr>
          <w:rFonts w:ascii="Times New Roman" w:hAnsi="Times New Roman" w:cs="Times New Roman"/>
          <w:sz w:val="26"/>
          <w:szCs w:val="26"/>
          <w:lang w:val="en-US"/>
        </w:rPr>
        <w:t xml:space="preserve">The focus on high-profile conflicts </w:t>
      </w:r>
      <w:proofErr w:type="gramStart"/>
      <w:r w:rsidRPr="00EA372D">
        <w:rPr>
          <w:rFonts w:ascii="Times New Roman" w:hAnsi="Times New Roman" w:cs="Times New Roman"/>
          <w:sz w:val="26"/>
          <w:szCs w:val="26"/>
          <w:lang w:val="en-US"/>
        </w:rPr>
        <w:t>is motivated</w:t>
      </w:r>
      <w:proofErr w:type="gramEnd"/>
      <w:r w:rsidRPr="00EA372D">
        <w:rPr>
          <w:rFonts w:ascii="Times New Roman" w:hAnsi="Times New Roman" w:cs="Times New Roman"/>
          <w:sz w:val="26"/>
          <w:szCs w:val="26"/>
          <w:lang w:val="en-US"/>
        </w:rPr>
        <w:t xml:space="preserve"> by their potential to highlight the socio-economic and demographic indicators that predispose municipalities to social tension. In other words, these cases </w:t>
      </w:r>
      <w:proofErr w:type="gramStart"/>
      <w:r w:rsidRPr="00EA372D">
        <w:rPr>
          <w:rFonts w:ascii="Times New Roman" w:hAnsi="Times New Roman" w:cs="Times New Roman"/>
          <w:sz w:val="26"/>
          <w:szCs w:val="26"/>
          <w:lang w:val="en-US"/>
        </w:rPr>
        <w:t>can be</w:t>
      </w:r>
      <w:r>
        <w:rPr>
          <w:rFonts w:ascii="Times New Roman" w:hAnsi="Times New Roman" w:cs="Times New Roman"/>
          <w:sz w:val="26"/>
          <w:szCs w:val="26"/>
          <w:lang w:val="en-US"/>
        </w:rPr>
        <w:t xml:space="preserve"> viewed</w:t>
      </w:r>
      <w:proofErr w:type="gramEnd"/>
      <w:r w:rsidRPr="00EA372D">
        <w:rPr>
          <w:rFonts w:ascii="Times New Roman" w:hAnsi="Times New Roman" w:cs="Times New Roman"/>
          <w:sz w:val="26"/>
          <w:szCs w:val="26"/>
          <w:lang w:val="en-US"/>
        </w:rPr>
        <w:t xml:space="preserve"> as </w:t>
      </w:r>
      <w:r>
        <w:rPr>
          <w:rFonts w:ascii="Times New Roman" w:hAnsi="Times New Roman" w:cs="Times New Roman"/>
          <w:sz w:val="26"/>
          <w:szCs w:val="26"/>
          <w:lang w:val="en-US"/>
        </w:rPr>
        <w:t xml:space="preserve">“local </w:t>
      </w:r>
      <w:r w:rsidRPr="00EA372D">
        <w:rPr>
          <w:rFonts w:ascii="Times New Roman" w:hAnsi="Times New Roman" w:cs="Times New Roman"/>
          <w:sz w:val="26"/>
          <w:szCs w:val="26"/>
          <w:lang w:val="en-US"/>
        </w:rPr>
        <w:t>extrema” of an abstract function representing social conflict.</w:t>
      </w:r>
      <w:r w:rsidR="002B772D">
        <w:rPr>
          <w:rFonts w:ascii="Times New Roman" w:hAnsi="Times New Roman" w:cs="Times New Roman"/>
          <w:sz w:val="26"/>
          <w:szCs w:val="26"/>
          <w:lang w:val="en-US"/>
        </w:rPr>
        <w:t xml:space="preserve"> </w:t>
      </w:r>
    </w:p>
    <w:p w:rsidR="00860859" w:rsidRDefault="00860859" w:rsidP="00944594">
      <w:pPr>
        <w:spacing w:after="0" w:line="360" w:lineRule="auto"/>
        <w:ind w:left="-567" w:firstLine="567"/>
        <w:jc w:val="both"/>
        <w:rPr>
          <w:rFonts w:ascii="Times New Roman" w:hAnsi="Times New Roman" w:cs="Times New Roman"/>
          <w:sz w:val="26"/>
          <w:szCs w:val="26"/>
          <w:lang w:val="en-US"/>
        </w:rPr>
      </w:pPr>
      <w:r w:rsidRPr="00860859">
        <w:rPr>
          <w:rFonts w:ascii="Times New Roman" w:hAnsi="Times New Roman" w:cs="Times New Roman"/>
          <w:sz w:val="26"/>
          <w:szCs w:val="26"/>
          <w:lang w:val="en-US"/>
        </w:rPr>
        <w:t>During the comparison of the socio-economic conditions of these local extrema (conflict cases), certain trends can be observed. Figure 1 shows that in the entertainment (“</w:t>
      </w:r>
      <w:proofErr w:type="spellStart"/>
      <w:r w:rsidRPr="00860859">
        <w:rPr>
          <w:rFonts w:ascii="Times New Roman" w:hAnsi="Times New Roman" w:cs="Times New Roman"/>
          <w:sz w:val="26"/>
          <w:szCs w:val="26"/>
          <w:lang w:val="en-US"/>
        </w:rPr>
        <w:t>servicesnum</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sportsvenue</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retailturnover</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foodseats</w:t>
      </w:r>
      <w:proofErr w:type="spellEnd"/>
      <w:r w:rsidRPr="00860859">
        <w:rPr>
          <w:rFonts w:ascii="Times New Roman" w:hAnsi="Times New Roman" w:cs="Times New Roman"/>
          <w:sz w:val="26"/>
          <w:szCs w:val="26"/>
          <w:lang w:val="en-US"/>
        </w:rPr>
        <w:t>”) and in the production sectors (“</w:t>
      </w:r>
      <w:proofErr w:type="spellStart"/>
      <w:r w:rsidRPr="00860859">
        <w:rPr>
          <w:rFonts w:ascii="Times New Roman" w:hAnsi="Times New Roman" w:cs="Times New Roman"/>
          <w:sz w:val="26"/>
          <w:szCs w:val="26"/>
          <w:lang w:val="en-US"/>
        </w:rPr>
        <w:t>factoriescap</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agrprod</w:t>
      </w:r>
      <w:proofErr w:type="spellEnd"/>
      <w:r w:rsidRPr="00860859">
        <w:rPr>
          <w:rFonts w:ascii="Times New Roman" w:hAnsi="Times New Roman" w:cs="Times New Roman"/>
          <w:sz w:val="26"/>
          <w:szCs w:val="26"/>
          <w:lang w:val="en-US"/>
        </w:rPr>
        <w:t>”, “harvest”, “livestock”) municipalities that experienced ethnic conflicts exhibit the lowest values (many red and few green zones). This indicates that municipalities with ethnic conflicts were in a more depressed socio-economic environment than those experiencing industrial or ecological conflicts. In particular, municipalities with ecological conflicts appear to be the most balanced (see Fig. 1).</w:t>
      </w:r>
    </w:p>
    <w:p w:rsidR="00EA372D" w:rsidRDefault="00625BCB" w:rsidP="0094459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4.3pt">
            <v:imagedata r:id="rId4" o:title="Снимок1"/>
          </v:shape>
        </w:pict>
      </w:r>
    </w:p>
    <w:p w:rsidR="00F513EA"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Some trends and dependencies </w:t>
      </w:r>
      <w:proofErr w:type="gramStart"/>
      <w:r w:rsidRPr="00F513EA">
        <w:rPr>
          <w:rFonts w:ascii="Times New Roman" w:hAnsi="Times New Roman" w:cs="Times New Roman"/>
          <w:sz w:val="26"/>
          <w:szCs w:val="26"/>
          <w:lang w:val="en-US"/>
        </w:rPr>
        <w:t>were also identified</w:t>
      </w:r>
      <w:proofErr w:type="gramEnd"/>
      <w:r w:rsidRPr="00F513EA">
        <w:rPr>
          <w:rFonts w:ascii="Times New Roman" w:hAnsi="Times New Roman" w:cs="Times New Roman"/>
          <w:sz w:val="26"/>
          <w:szCs w:val="26"/>
          <w:lang w:val="en-US"/>
        </w:rPr>
        <w:t xml:space="preserve"> in the analysis of the demographic structure of these municipalities. Figure 2 illustrates certain differences between categories of conflicts. For example, municipalities that experienced ethnic conflicts have the highest </w:t>
      </w:r>
      <w:r w:rsidRPr="00F513EA">
        <w:rPr>
          <w:rFonts w:ascii="Times New Roman" w:hAnsi="Times New Roman" w:cs="Times New Roman"/>
          <w:sz w:val="26"/>
          <w:szCs w:val="26"/>
          <w:lang w:val="en-US"/>
        </w:rPr>
        <w:lastRenderedPageBreak/>
        <w:t xml:space="preserve">proportion of young people in the population (cohorts “20–24,” “25–29,” and “30–34”; see Fig. 2). In the “25–29” cohort, the proportion of both males and females is nearly double that in </w:t>
      </w:r>
      <w:proofErr w:type="gramStart"/>
      <w:r w:rsidRPr="00F513EA">
        <w:rPr>
          <w:rFonts w:ascii="Times New Roman" w:hAnsi="Times New Roman" w:cs="Times New Roman"/>
          <w:sz w:val="26"/>
          <w:szCs w:val="26"/>
          <w:lang w:val="en-US"/>
        </w:rPr>
        <w:t>municipalities</w:t>
      </w:r>
      <w:proofErr w:type="gramEnd"/>
      <w:r w:rsidRPr="00F513EA">
        <w:rPr>
          <w:rFonts w:ascii="Times New Roman" w:hAnsi="Times New Roman" w:cs="Times New Roman"/>
          <w:sz w:val="26"/>
          <w:szCs w:val="26"/>
          <w:lang w:val="en-US"/>
        </w:rPr>
        <w:t xml:space="preserve"> with ecological conflicts.</w:t>
      </w:r>
    </w:p>
    <w:p w:rsidR="00E90795" w:rsidRDefault="00625BCB" w:rsidP="00AE5D74">
      <w:pPr>
        <w:spacing w:after="0" w:line="360" w:lineRule="auto"/>
        <w:ind w:left="-567" w:firstLine="567"/>
        <w:jc w:val="both"/>
        <w:rPr>
          <w:rFonts w:ascii="Times New Roman" w:hAnsi="Times New Roman" w:cs="Times New Roman"/>
          <w:b/>
          <w:i/>
          <w:sz w:val="24"/>
          <w:szCs w:val="24"/>
          <w:lang w:val="en-US"/>
        </w:rPr>
      </w:pPr>
      <w:r>
        <w:rPr>
          <w:rFonts w:ascii="Times New Roman" w:hAnsi="Times New Roman" w:cs="Times New Roman"/>
          <w:b/>
          <w:i/>
          <w:sz w:val="24"/>
          <w:szCs w:val="24"/>
          <w:lang w:val="en-US"/>
        </w:rPr>
        <w:pict>
          <v:shape id="_x0000_i1026" type="#_x0000_t75" style="width:467.3pt;height:231.6pt">
            <v:imagedata r:id="rId5" o:title="agestruct"/>
          </v:shape>
        </w:pict>
      </w:r>
    </w:p>
    <w:p w:rsidR="00124AC9" w:rsidRPr="00124AC9" w:rsidRDefault="00124AC9" w:rsidP="00124AC9">
      <w:pPr>
        <w:spacing w:after="0" w:line="360" w:lineRule="auto"/>
        <w:ind w:left="-567" w:firstLine="567"/>
        <w:jc w:val="center"/>
        <w:rPr>
          <w:rFonts w:ascii="Times New Roman" w:hAnsi="Times New Roman" w:cs="Times New Roman"/>
          <w:sz w:val="24"/>
          <w:szCs w:val="24"/>
        </w:rPr>
      </w:pPr>
      <w:r>
        <w:rPr>
          <w:rFonts w:ascii="Times New Roman" w:hAnsi="Times New Roman" w:cs="Times New Roman"/>
          <w:sz w:val="24"/>
          <w:szCs w:val="24"/>
        </w:rPr>
        <w:t>Рис. 2. Усредненные значения демографических структур МО по каждому типу конфликта</w:t>
      </w:r>
    </w:p>
    <w:p w:rsidR="00E90795"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Municipalities with ecological conflicts show the lowest proportion of young people, but at the same time have the highest proportion of older population (cohorts “60–64” and “65–69”; see Fig. 2). In contrast, the demographic structure of municipalities with ethnic conflicts demonstrates the lowest </w:t>
      </w:r>
      <w:r w:rsidR="00217916">
        <w:rPr>
          <w:rFonts w:ascii="Times New Roman" w:hAnsi="Times New Roman" w:cs="Times New Roman"/>
          <w:sz w:val="26"/>
          <w:szCs w:val="26"/>
          <w:lang w:val="en-US"/>
        </w:rPr>
        <w:t xml:space="preserve">proportion </w:t>
      </w:r>
      <w:r w:rsidRPr="00F513EA">
        <w:rPr>
          <w:rFonts w:ascii="Times New Roman" w:hAnsi="Times New Roman" w:cs="Times New Roman"/>
          <w:sz w:val="26"/>
          <w:szCs w:val="26"/>
          <w:lang w:val="en-US"/>
        </w:rPr>
        <w:t>of people in these cohorts. For example, compared to ecological conflicts, in the “60–64” cohort municipalities with ethnic conflicts have about 25% fewer men and 30% fewer women, while in the “65–69” cohort</w:t>
      </w:r>
      <w:r w:rsidR="00217916">
        <w:rPr>
          <w:rFonts w:ascii="Times New Roman" w:hAnsi="Times New Roman" w:cs="Times New Roman"/>
          <w:sz w:val="26"/>
          <w:szCs w:val="26"/>
          <w:lang w:val="en-US"/>
        </w:rPr>
        <w:t xml:space="preserve"> the difference is even greater – </w:t>
      </w:r>
      <w:r w:rsidRPr="00F513EA">
        <w:rPr>
          <w:rFonts w:ascii="Times New Roman" w:hAnsi="Times New Roman" w:cs="Times New Roman"/>
          <w:sz w:val="26"/>
          <w:szCs w:val="26"/>
          <w:lang w:val="en-US"/>
        </w:rPr>
        <w:t>about 33% fewer men and nearly 38% fewer women. The population structure of municipalities with industrial conflicts falls somewhere in between.</w:t>
      </w:r>
    </w:p>
    <w:p w:rsidR="009B2979" w:rsidRPr="009B2979" w:rsidRDefault="009B2979" w:rsidP="00AE5D74">
      <w:pPr>
        <w:spacing w:after="0" w:line="360" w:lineRule="auto"/>
        <w:ind w:left="-567" w:firstLine="567"/>
        <w:jc w:val="both"/>
        <w:rPr>
          <w:rFonts w:ascii="Times New Roman" w:hAnsi="Times New Roman" w:cs="Times New Roman"/>
          <w:sz w:val="26"/>
          <w:szCs w:val="26"/>
          <w:lang w:val="en-US"/>
        </w:rPr>
      </w:pPr>
      <w:r w:rsidRPr="009B2979">
        <w:rPr>
          <w:rFonts w:ascii="Times New Roman" w:hAnsi="Times New Roman" w:cs="Times New Roman"/>
          <w:sz w:val="26"/>
          <w:szCs w:val="26"/>
          <w:lang w:val="en-US"/>
        </w:rPr>
        <w:t xml:space="preserve">Thus, notable differences between municipalities with certain types of conflicts </w:t>
      </w:r>
      <w:proofErr w:type="gramStart"/>
      <w:r w:rsidRPr="009B2979">
        <w:rPr>
          <w:rFonts w:ascii="Times New Roman" w:hAnsi="Times New Roman" w:cs="Times New Roman"/>
          <w:sz w:val="26"/>
          <w:szCs w:val="26"/>
          <w:lang w:val="en-US"/>
        </w:rPr>
        <w:t>can be observed</w:t>
      </w:r>
      <w:proofErr w:type="gramEnd"/>
      <w:r w:rsidRPr="009B2979">
        <w:rPr>
          <w:rFonts w:ascii="Times New Roman" w:hAnsi="Times New Roman" w:cs="Times New Roman"/>
          <w:sz w:val="26"/>
          <w:szCs w:val="26"/>
          <w:lang w:val="en-US"/>
        </w:rPr>
        <w:t xml:space="preserve"> both in socio-economic conditions and in demographic structure. This provides strong evidence for the potential use of these similarities as a measure of the risk of social conflict.</w:t>
      </w:r>
    </w:p>
    <w:p w:rsidR="009B2979" w:rsidRDefault="009B2979" w:rsidP="00AE5D74">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Similarity metric.</w:t>
      </w:r>
      <w:r w:rsidR="00887346">
        <w:rPr>
          <w:rFonts w:ascii="Times New Roman" w:hAnsi="Times New Roman" w:cs="Times New Roman"/>
          <w:b/>
          <w:i/>
          <w:sz w:val="26"/>
          <w:szCs w:val="26"/>
          <w:lang w:val="en-US"/>
        </w:rPr>
        <w:t xml:space="preserve"> </w:t>
      </w:r>
      <w:r w:rsidR="00887346">
        <w:rPr>
          <w:rFonts w:ascii="Times New Roman" w:hAnsi="Times New Roman" w:cs="Times New Roman"/>
          <w:sz w:val="26"/>
          <w:szCs w:val="26"/>
          <w:lang w:val="en-US"/>
        </w:rPr>
        <w:t xml:space="preserve">Each municipal entity (municipal district, city, village etc.) in the data defined by the socio-economic and demographic components. The socio-economy condition </w:t>
      </w:r>
      <w:proofErr w:type="gramStart"/>
      <w:r w:rsidR="00887346">
        <w:rPr>
          <w:rFonts w:ascii="Times New Roman" w:hAnsi="Times New Roman" w:cs="Times New Roman"/>
          <w:sz w:val="26"/>
          <w:szCs w:val="26"/>
          <w:lang w:val="en-US"/>
        </w:rPr>
        <w:t>could be represented</w:t>
      </w:r>
      <w:proofErr w:type="gramEnd"/>
      <w:r w:rsidR="00887346">
        <w:rPr>
          <w:rFonts w:ascii="Times New Roman" w:hAnsi="Times New Roman" w:cs="Times New Roman"/>
          <w:sz w:val="26"/>
          <w:szCs w:val="26"/>
          <w:lang w:val="en-US"/>
        </w:rPr>
        <w:t xml:space="preserve"> as a tuple:</w:t>
      </w:r>
    </w:p>
    <w:p w:rsidR="00887346" w:rsidRPr="00887346"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m:oMathPara>
    </w:p>
    <w:p w:rsidR="00887346" w:rsidRDefault="00925B7A" w:rsidP="00887346">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lang w:val="en-US"/>
        </w:rPr>
        <w:t xml:space="preserve"> </w:t>
      </w:r>
      <w:r w:rsidR="00757844">
        <w:rPr>
          <w:rFonts w:ascii="Times New Roman" w:eastAsiaTheme="minorEastAsia" w:hAnsi="Times New Roman" w:cs="Times New Roman"/>
          <w:sz w:val="26"/>
          <w:szCs w:val="26"/>
          <w:lang w:val="en-US"/>
        </w:rPr>
        <w:t xml:space="preserve">is the value of the specific socio-economic indicator (see Section 3, Table 1) </w:t>
      </w:r>
    </w:p>
    <w:p w:rsidR="00012FD9" w:rsidRDefault="00012FD9" w:rsidP="00012FD9">
      <w:pPr>
        <w:spacing w:after="0" w:line="360" w:lineRule="auto"/>
        <w:ind w:left="-567" w:firstLine="567"/>
        <w:jc w:val="both"/>
        <w:rPr>
          <w:rFonts w:ascii="Times New Roman" w:hAnsi="Times New Roman" w:cs="Times New Roman"/>
          <w:sz w:val="26"/>
          <w:szCs w:val="26"/>
          <w:lang w:val="en-US"/>
        </w:rPr>
      </w:pPr>
      <w:r w:rsidRPr="00012FD9">
        <w:rPr>
          <w:rFonts w:ascii="Times New Roman" w:hAnsi="Times New Roman" w:cs="Times New Roman"/>
          <w:sz w:val="26"/>
          <w:szCs w:val="26"/>
          <w:lang w:val="en-US"/>
        </w:rPr>
        <w:lastRenderedPageBreak/>
        <w:t xml:space="preserve">The demographic structure </w:t>
      </w:r>
      <w:proofErr w:type="gramStart"/>
      <w:r w:rsidRPr="00012FD9">
        <w:rPr>
          <w:rFonts w:ascii="Times New Roman" w:hAnsi="Times New Roman" w:cs="Times New Roman"/>
          <w:sz w:val="26"/>
          <w:szCs w:val="26"/>
          <w:lang w:val="en-US"/>
        </w:rPr>
        <w:t>can be represented</w:t>
      </w:r>
      <w:proofErr w:type="gramEnd"/>
      <w:r w:rsidRPr="00012FD9">
        <w:rPr>
          <w:rFonts w:ascii="Times New Roman" w:hAnsi="Times New Roman" w:cs="Times New Roman"/>
          <w:sz w:val="26"/>
          <w:szCs w:val="26"/>
          <w:lang w:val="en-US"/>
        </w:rPr>
        <w:t xml:space="preserve"> by two separate tuples, indicating the proportions of females and males in the population:</w:t>
      </w:r>
    </w:p>
    <w:p w:rsidR="00887346" w:rsidRPr="00AC18F3"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012FD9"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here</w:t>
      </w:r>
      <w:proofErr w:type="gramEnd"/>
      <w:r w:rsidR="00AC18F3">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oMath>
      <w:r w:rsidR="00AC18F3">
        <w:rPr>
          <w:rFonts w:ascii="Times New Roman" w:eastAsiaTheme="minorEastAsia" w:hAnsi="Times New Roman" w:cs="Times New Roman"/>
          <w:sz w:val="32"/>
          <w:szCs w:val="32"/>
          <w:lang w:val="en-US"/>
        </w:rPr>
        <w:t xml:space="preserve"> </w:t>
      </w:r>
      <w:r w:rsidRPr="00012FD9">
        <w:rPr>
          <w:rFonts w:ascii="Times New Roman" w:eastAsiaTheme="minorEastAsia" w:hAnsi="Times New Roman" w:cs="Times New Roman"/>
          <w:sz w:val="26"/>
          <w:szCs w:val="26"/>
          <w:lang w:val="en-US"/>
        </w:rPr>
        <w:t>is the number of females in a given cohort</w:t>
      </w:r>
      <w:r w:rsidR="00AC18F3">
        <w:rPr>
          <w:rFonts w:ascii="Times New Roman" w:eastAsiaTheme="minorEastAsia" w:hAnsi="Times New Roman" w:cs="Times New Roman"/>
          <w:sz w:val="26"/>
          <w:szCs w:val="26"/>
          <w:lang w:val="en-US"/>
        </w:rPr>
        <w:t xml:space="preserve">, </w:t>
      </w:r>
      <m:oMath>
        <m:r>
          <w:rPr>
            <w:rFonts w:ascii="Cambria Math" w:eastAsiaTheme="minorEastAsia" w:hAnsi="Cambria Math"/>
            <w:sz w:val="26"/>
            <w:szCs w:val="26"/>
          </w:rPr>
          <m:t>n</m:t>
        </m:r>
      </m:oMath>
      <w:r w:rsidR="00AC18F3">
        <w:rPr>
          <w:rFonts w:ascii="Times New Roman" w:eastAsiaTheme="minorEastAsia" w:hAnsi="Times New Roman" w:cs="Times New Roman"/>
          <w:sz w:val="26"/>
          <w:szCs w:val="26"/>
          <w:lang w:val="en-US"/>
        </w:rPr>
        <w:t xml:space="preserve"> is the total number of female</w:t>
      </w:r>
      <w:r>
        <w:rPr>
          <w:rFonts w:ascii="Times New Roman" w:eastAsiaTheme="minorEastAsia" w:hAnsi="Times New Roman" w:cs="Times New Roman"/>
          <w:sz w:val="26"/>
          <w:szCs w:val="26"/>
          <w:lang w:val="en-US"/>
        </w:rPr>
        <w:t>s</w:t>
      </w:r>
      <w:r w:rsidR="00AC18F3">
        <w:rPr>
          <w:rFonts w:ascii="Times New Roman" w:eastAsiaTheme="minorEastAsia" w:hAnsi="Times New Roman" w:cs="Times New Roman"/>
          <w:sz w:val="26"/>
          <w:szCs w:val="26"/>
          <w:lang w:val="en-US"/>
        </w:rPr>
        <w:t xml:space="preserve"> in the population and </w:t>
      </w:r>
      <w:r w:rsidR="00AC18F3">
        <w:rPr>
          <w:rFonts w:ascii="Times New Roman" w:eastAsiaTheme="minorEastAsia" w:hAnsi="Times New Roman" w:cs="Times New Roman"/>
          <w:i/>
          <w:sz w:val="26"/>
          <w:szCs w:val="26"/>
          <w:lang w:val="en-US"/>
        </w:rPr>
        <w:t xml:space="preserve">k </w:t>
      </w:r>
      <w:r w:rsidR="00AC18F3">
        <w:rPr>
          <w:rFonts w:ascii="Times New Roman" w:eastAsiaTheme="minorEastAsia" w:hAnsi="Times New Roman" w:cs="Times New Roman"/>
          <w:sz w:val="26"/>
          <w:szCs w:val="26"/>
          <w:lang w:val="en-US"/>
        </w:rPr>
        <w:t xml:space="preserve">is the number of cohorts. The division </w:t>
      </w:r>
      <w:r w:rsidRPr="00012FD9">
        <w:rPr>
          <w:rFonts w:ascii="Times New Roman" w:eastAsiaTheme="minorEastAsia" w:hAnsi="Times New Roman" w:cs="Times New Roman"/>
          <w:sz w:val="26"/>
          <w:szCs w:val="26"/>
          <w:lang w:val="en-US"/>
        </w:rPr>
        <w:t xml:space="preserve">enables calculation of the proportion of each cohort within the population, allowing assessment of the demographic structure. The same approach </w:t>
      </w:r>
      <w:proofErr w:type="gramStart"/>
      <w:r w:rsidRPr="00012FD9">
        <w:rPr>
          <w:rFonts w:ascii="Times New Roman" w:eastAsiaTheme="minorEastAsia" w:hAnsi="Times New Roman" w:cs="Times New Roman"/>
          <w:sz w:val="26"/>
          <w:szCs w:val="26"/>
          <w:lang w:val="en-US"/>
        </w:rPr>
        <w:t>is used</w:t>
      </w:r>
      <w:proofErr w:type="gramEnd"/>
      <w:r w:rsidRPr="00012FD9">
        <w:rPr>
          <w:rFonts w:ascii="Times New Roman" w:eastAsiaTheme="minorEastAsia" w:hAnsi="Times New Roman" w:cs="Times New Roman"/>
          <w:sz w:val="26"/>
          <w:szCs w:val="26"/>
          <w:lang w:val="en-US"/>
        </w:rPr>
        <w:t xml:space="preserve"> to represent the male population structure:</w:t>
      </w:r>
    </w:p>
    <w:p w:rsidR="00AC18F3" w:rsidRPr="00AC18F3" w:rsidRDefault="00AC18F3" w:rsidP="00AC18F3">
      <w:pPr>
        <w:spacing w:after="0" w:line="360" w:lineRule="auto"/>
        <w:ind w:left="-567"/>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AC18F3"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oMath>
      <w:r>
        <w:rPr>
          <w:rFonts w:ascii="Times New Roman" w:eastAsiaTheme="minorEastAsia" w:hAnsi="Times New Roman" w:cs="Times New Roman"/>
          <w:sz w:val="26"/>
          <w:szCs w:val="26"/>
          <w:lang w:val="en-US"/>
        </w:rPr>
        <w:t xml:space="preserve"> is the number of male in the cohort, </w:t>
      </w:r>
      <m:oMath>
        <m:r>
          <w:rPr>
            <w:rFonts w:ascii="Cambria Math" w:eastAsiaTheme="minorEastAsia" w:hAnsi="Cambria Math"/>
            <w:sz w:val="26"/>
            <w:szCs w:val="26"/>
          </w:rPr>
          <m:t>n</m:t>
        </m:r>
      </m:oMath>
      <w:r>
        <w:rPr>
          <w:rFonts w:ascii="Times New Roman" w:eastAsiaTheme="minorEastAsia" w:hAnsi="Times New Roman" w:cs="Times New Roman"/>
          <w:sz w:val="26"/>
          <w:szCs w:val="26"/>
          <w:lang w:val="en-US"/>
        </w:rPr>
        <w:t xml:space="preserve"> is the total number of male in the population.</w:t>
      </w:r>
    </w:p>
    <w:p w:rsidR="00A53A9D" w:rsidRDefault="00A53A9D" w:rsidP="00A53A9D">
      <w:pPr>
        <w:spacing w:line="360" w:lineRule="auto"/>
        <w:ind w:left="-567" w:firstLine="567"/>
        <w:jc w:val="both"/>
        <w:rPr>
          <w:rFonts w:ascii="Times New Roman" w:hAnsi="Times New Roman" w:cs="Times New Roman"/>
          <w:sz w:val="26"/>
          <w:szCs w:val="26"/>
          <w:lang w:val="en-US"/>
        </w:rPr>
      </w:pPr>
      <w:r w:rsidRPr="00A53A9D">
        <w:rPr>
          <w:rFonts w:ascii="Times New Roman" w:hAnsi="Times New Roman" w:cs="Times New Roman"/>
          <w:sz w:val="26"/>
          <w:szCs w:val="26"/>
          <w:lang w:val="en-US"/>
        </w:rPr>
        <w:t>For evaluating the similarity b</w:t>
      </w:r>
      <w:r>
        <w:rPr>
          <w:rFonts w:ascii="Times New Roman" w:hAnsi="Times New Roman" w:cs="Times New Roman"/>
          <w:sz w:val="26"/>
          <w:szCs w:val="26"/>
          <w:lang w:val="en-US"/>
        </w:rPr>
        <w:t>etween two municipal entities x and y</w:t>
      </w:r>
      <w:r w:rsidRPr="00A53A9D">
        <w:rPr>
          <w:rFonts w:ascii="Times New Roman" w:hAnsi="Times New Roman" w:cs="Times New Roman"/>
          <w:sz w:val="26"/>
          <w:szCs w:val="26"/>
          <w:lang w:val="en-US"/>
        </w:rPr>
        <w:t xml:space="preserve">, it </w:t>
      </w:r>
      <w:proofErr w:type="gramStart"/>
      <w:r w:rsidRPr="00A53A9D">
        <w:rPr>
          <w:rFonts w:ascii="Times New Roman" w:hAnsi="Times New Roman" w:cs="Times New Roman"/>
          <w:sz w:val="26"/>
          <w:szCs w:val="26"/>
          <w:lang w:val="en-US"/>
        </w:rPr>
        <w:t>is proposed</w:t>
      </w:r>
      <w:proofErr w:type="gramEnd"/>
      <w:r w:rsidRPr="00A53A9D">
        <w:rPr>
          <w:rFonts w:ascii="Times New Roman" w:hAnsi="Times New Roman" w:cs="Times New Roman"/>
          <w:sz w:val="26"/>
          <w:szCs w:val="26"/>
          <w:lang w:val="en-US"/>
        </w:rPr>
        <w:t xml:space="preserve"> to use the combined sum of the mean squared deviations of socio-economic and demographic indicators:</w:t>
      </w:r>
    </w:p>
    <w:p w:rsidR="00926B29" w:rsidRPr="00A53A9D" w:rsidRDefault="009B2979" w:rsidP="00A53A9D">
      <w:pPr>
        <w:ind w:left="-567" w:firstLine="567"/>
        <w:rPr>
          <w:rFonts w:ascii="Times New Roman" w:eastAsiaTheme="minorEastAsia" w:hAnsi="Times New Roman" w:cs="Times New Roman"/>
          <w:sz w:val="26"/>
          <w:szCs w:val="26"/>
          <w:lang w:val="en-US"/>
        </w:rPr>
      </w:pPr>
      <m:oMathPara>
        <m:oMath>
          <m:r>
            <w:rPr>
              <w:rFonts w:ascii="Cambria Math" w:hAnsi="Cambria Math"/>
              <w:sz w:val="26"/>
              <w:szCs w:val="26"/>
            </w:rPr>
            <m:t>Similarity</m:t>
          </m:r>
          <m:r>
            <w:rPr>
              <w:rFonts w:ascii="Cambria Math" w:hAnsi="Cambria Math"/>
              <w:sz w:val="26"/>
              <w:szCs w:val="26"/>
              <w:lang w:val="en-US"/>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s</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n</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n</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p</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k</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k</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m:t>
          </m:r>
          <m:r>
            <w:rPr>
              <w:rFonts w:ascii="Cambria Math" w:hAnsi="Cambria Math"/>
              <w:sz w:val="26"/>
              <w:szCs w:val="26"/>
              <w:lang w:val="en-US"/>
            </w:rPr>
            <m:t>4</m:t>
          </m:r>
          <m:r>
            <w:rPr>
              <w:rFonts w:ascii="Cambria Math" w:hAnsi="Cambria Math"/>
              <w:sz w:val="26"/>
              <w:szCs w:val="26"/>
              <w:lang w:val="en-US"/>
            </w:rPr>
            <m:t>)</m:t>
          </m:r>
        </m:oMath>
      </m:oMathPara>
    </w:p>
    <w:p w:rsidR="009B2979" w:rsidRPr="003D49C8" w:rsidRDefault="00926B29" w:rsidP="009B2979">
      <w:pPr>
        <w:spacing w:after="0" w:line="360" w:lineRule="auto"/>
        <w:ind w:left="-567"/>
        <w:jc w:val="both"/>
        <w:rPr>
          <w:rFonts w:ascii="Times New Roman" w:eastAsiaTheme="minorEastAsia" w:hAnsi="Times New Roman" w:cs="Times New Roman"/>
          <w:sz w:val="26"/>
          <w:szCs w:val="26"/>
          <w:lang w:val="en-US"/>
        </w:rPr>
      </w:pPr>
      <w:proofErr w:type="gramStart"/>
      <w:r w:rsidRPr="003D49C8">
        <w:rPr>
          <w:rFonts w:ascii="Times New Roman" w:eastAsiaTheme="minorEastAsia" w:hAnsi="Times New Roman" w:cs="Times New Roman"/>
          <w:sz w:val="26"/>
          <w:szCs w:val="26"/>
          <w:lang w:val="en-US"/>
        </w:rPr>
        <w:t>where</w:t>
      </w:r>
      <w:proofErr w:type="gramEnd"/>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 </w:t>
      </w:r>
      <w:r w:rsidR="003D49C8" w:rsidRPr="003D49C8">
        <w:rPr>
          <w:rFonts w:ascii="Times New Roman" w:eastAsiaTheme="minorEastAsia" w:hAnsi="Times New Roman" w:cs="Times New Roman"/>
          <w:sz w:val="26"/>
          <w:szCs w:val="26"/>
          <w:lang w:val="en-US"/>
        </w:rPr>
        <w:t>is the value of socio-economic feature of municipality</w:t>
      </w:r>
      <w:r w:rsidRPr="003D49C8">
        <w:rPr>
          <w:rFonts w:ascii="Times New Roman" w:eastAsiaTheme="minorEastAsia" w:hAnsi="Times New Roman" w:cs="Times New Roman"/>
          <w:sz w:val="26"/>
          <w:szCs w:val="26"/>
          <w:lang w:val="en-US"/>
        </w:rPr>
        <w:t xml:space="preserve"> x</w:t>
      </w:r>
      <w:r w:rsidR="009B2979" w:rsidRPr="003D49C8">
        <w:rPr>
          <w:rFonts w:ascii="Times New Roman" w:eastAsiaTheme="minorEastAsia" w:hAnsi="Times New Roman" w:cs="Times New Roman"/>
          <w:i/>
          <w:sz w:val="26"/>
          <w:szCs w:val="26"/>
          <w:lang w:val="en-US"/>
        </w:rPr>
        <w:t>, n</w:t>
      </w:r>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number of socio-economic features</w:t>
      </w:r>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 xml:space="preserve">and </w:t>
      </w:r>
      <m:oMath>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i</m:t>
            </m:r>
          </m:sub>
          <m:sup>
            <m:r>
              <w:rPr>
                <w:rFonts w:ascii="Cambria Math" w:hAnsi="Cambria Math" w:cs="Times New Roman"/>
                <w:sz w:val="26"/>
                <w:szCs w:val="26"/>
              </w:rPr>
              <m:t>x</m:t>
            </m:r>
          </m:sup>
        </m:sSubSup>
      </m:oMath>
      <w:r w:rsidR="003D49C8" w:rsidRPr="003D49C8">
        <w:rPr>
          <w:rFonts w:ascii="Times New Roman" w:eastAsiaTheme="minorEastAsia" w:hAnsi="Times New Roman" w:cs="Times New Roman"/>
          <w:sz w:val="26"/>
          <w:szCs w:val="26"/>
          <w:lang w:val="en-US"/>
        </w:rPr>
        <w:t xml:space="preserve"> is the proportion of female/male in the certain cohort of municipality </w:t>
      </w:r>
      <w:r w:rsidRPr="003D49C8">
        <w:rPr>
          <w:rFonts w:ascii="Times New Roman" w:eastAsiaTheme="minorEastAsia" w:hAnsi="Times New Roman" w:cs="Times New Roman"/>
          <w:sz w:val="26"/>
          <w:szCs w:val="26"/>
          <w:lang w:val="en-US"/>
        </w:rPr>
        <w:t>x</w:t>
      </w:r>
      <w:r w:rsidR="009B2979" w:rsidRPr="003D49C8">
        <w:rPr>
          <w:rFonts w:ascii="Times New Roman" w:eastAsiaTheme="minorEastAsia" w:hAnsi="Times New Roman" w:cs="Times New Roman"/>
          <w:i/>
          <w:sz w:val="26"/>
          <w:szCs w:val="26"/>
          <w:lang w:val="en-US"/>
        </w:rPr>
        <w:t>, k</w:t>
      </w:r>
      <w:r w:rsidR="003D49C8" w:rsidRPr="003D49C8">
        <w:rPr>
          <w:rFonts w:ascii="Times New Roman" w:eastAsiaTheme="minorEastAsia" w:hAnsi="Times New Roman" w:cs="Times New Roman"/>
          <w:i/>
          <w:sz w:val="26"/>
          <w:szCs w:val="26"/>
          <w:lang w:val="en-US"/>
        </w:rPr>
        <w:t xml:space="preserve"> </w:t>
      </w:r>
      <w:r w:rsidR="003D49C8" w:rsidRPr="003D49C8">
        <w:rPr>
          <w:rFonts w:ascii="Times New Roman" w:eastAsiaTheme="minorEastAsia" w:hAnsi="Times New Roman" w:cs="Times New Roman"/>
          <w:sz w:val="26"/>
          <w:szCs w:val="26"/>
          <w:lang w:val="en-US"/>
        </w:rPr>
        <w:t>is</w:t>
      </w:r>
      <w:r w:rsidR="009B2979" w:rsidRPr="003D49C8">
        <w:rPr>
          <w:rFonts w:ascii="Times New Roman" w:eastAsiaTheme="minorEastAsia" w:hAnsi="Times New Roman" w:cs="Times New Roman"/>
          <w:i/>
          <w:sz w:val="26"/>
          <w:szCs w:val="26"/>
          <w:lang w:val="en-US"/>
        </w:rPr>
        <w:t xml:space="preserve"> </w:t>
      </w:r>
      <w:r w:rsidRPr="003D49C8">
        <w:rPr>
          <w:rFonts w:ascii="Times New Roman" w:eastAsiaTheme="minorEastAsia" w:hAnsi="Times New Roman" w:cs="Times New Roman"/>
          <w:sz w:val="26"/>
          <w:szCs w:val="26"/>
          <w:lang w:val="en-US"/>
        </w:rPr>
        <w:t>the number of cohorts</w:t>
      </w:r>
      <w:r w:rsidR="009B2979" w:rsidRPr="003D49C8">
        <w:rPr>
          <w:rFonts w:ascii="Times New Roman" w:eastAsiaTheme="minorEastAsia" w:hAnsi="Times New Roman" w:cs="Times New Roman"/>
          <w:sz w:val="26"/>
          <w:szCs w:val="26"/>
          <w:lang w:val="en-US"/>
        </w:rPr>
        <w:t xml:space="preserve"> </w:t>
      </w:r>
      <w:r w:rsidRPr="003D49C8">
        <w:rPr>
          <w:rFonts w:ascii="Times New Roman" w:eastAsiaTheme="minorEastAsia" w:hAnsi="Times New Roman" w:cs="Times New Roman"/>
          <w:sz w:val="26"/>
          <w:szCs w:val="26"/>
          <w:lang w:val="en-US"/>
        </w:rPr>
        <w:t>and</w:t>
      </w:r>
      <w:r w:rsidR="009B2979" w:rsidRPr="003D49C8">
        <w:rPr>
          <w:rFonts w:ascii="Times New Roman" w:eastAsiaTheme="minorEastAsia" w:hAnsi="Times New Roman" w:cs="Times New Roman"/>
          <w:sz w:val="26"/>
          <w:szCs w:val="26"/>
          <w:lang w:val="en-US"/>
        </w:rPr>
        <w:t xml:space="preserve"> </w:t>
      </w:r>
      <m:oMath>
        <m:r>
          <w:rPr>
            <w:rFonts w:ascii="Cambria Math" w:hAnsi="Cambria Math" w:cs="Times New Roman"/>
            <w:sz w:val="26"/>
            <w:szCs w:val="26"/>
          </w:rPr>
          <m:t>ω</m:t>
        </m:r>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weighting coefficient that could balance the socio-economic and</w:t>
      </w:r>
      <w:r w:rsidRPr="003D49C8">
        <w:rPr>
          <w:rFonts w:ascii="Times New Roman" w:eastAsiaTheme="minorEastAsia" w:hAnsi="Times New Roman" w:cs="Times New Roman"/>
          <w:sz w:val="26"/>
          <w:szCs w:val="26"/>
          <w:lang w:val="en-US"/>
        </w:rPr>
        <w:t xml:space="preserve"> demographic component.</w:t>
      </w:r>
    </w:p>
    <w:p w:rsidR="00AC30D9" w:rsidRPr="00AC30D9" w:rsidRDefault="00AC30D9" w:rsidP="00AC30D9">
      <w:pPr>
        <w:spacing w:after="0" w:line="360" w:lineRule="auto"/>
        <w:ind w:left="-567" w:firstLine="567"/>
        <w:jc w:val="both"/>
        <w:rPr>
          <w:rFonts w:ascii="Times New Roman" w:eastAsiaTheme="minorEastAsia" w:hAnsi="Times New Roman" w:cs="Times New Roman"/>
          <w:sz w:val="26"/>
          <w:szCs w:val="26"/>
          <w:lang w:val="en-US"/>
        </w:rPr>
      </w:pPr>
      <w:r w:rsidRPr="00AC30D9">
        <w:rPr>
          <w:rFonts w:ascii="Times New Roman" w:eastAsiaTheme="minorEastAsia" w:hAnsi="Times New Roman" w:cs="Times New Roman"/>
          <w:sz w:val="26"/>
          <w:szCs w:val="26"/>
          <w:lang w:val="en-US"/>
        </w:rPr>
        <w:t xml:space="preserve">As expected, in the majority of cases, the proposed metric (4) identifies the same municipality observed in different </w:t>
      </w:r>
      <w:proofErr w:type="gramStart"/>
      <w:r w:rsidRPr="00AC30D9">
        <w:rPr>
          <w:rFonts w:ascii="Times New Roman" w:eastAsiaTheme="minorEastAsia" w:hAnsi="Times New Roman" w:cs="Times New Roman"/>
          <w:sz w:val="26"/>
          <w:szCs w:val="26"/>
          <w:lang w:val="en-US"/>
        </w:rPr>
        <w:t>time periods</w:t>
      </w:r>
      <w:proofErr w:type="gramEnd"/>
      <w:r w:rsidRPr="00AC30D9">
        <w:rPr>
          <w:rFonts w:ascii="Times New Roman" w:eastAsiaTheme="minorEastAsia" w:hAnsi="Times New Roman" w:cs="Times New Roman"/>
          <w:sz w:val="26"/>
          <w:szCs w:val="26"/>
          <w:lang w:val="en-US"/>
        </w:rPr>
        <w:t xml:space="preserve"> as the most similar to a given municipality. This demonstrates the reliability of the similarity metri</w:t>
      </w:r>
      <w:r>
        <w:rPr>
          <w:rFonts w:ascii="Times New Roman" w:eastAsiaTheme="minorEastAsia" w:hAnsi="Times New Roman" w:cs="Times New Roman"/>
          <w:sz w:val="26"/>
          <w:szCs w:val="26"/>
          <w:lang w:val="en-US"/>
        </w:rPr>
        <w:t xml:space="preserve">c. </w:t>
      </w:r>
    </w:p>
    <w:p w:rsidR="005A7130" w:rsidRDefault="00AC30D9" w:rsidP="00F20BC7">
      <w:pPr>
        <w:spacing w:after="0" w:line="360" w:lineRule="auto"/>
        <w:ind w:left="-567" w:firstLine="567"/>
        <w:jc w:val="both"/>
        <w:rPr>
          <w:rFonts w:ascii="Times New Roman" w:eastAsiaTheme="minorEastAsia" w:hAnsi="Times New Roman" w:cs="Times New Roman"/>
          <w:sz w:val="26"/>
          <w:szCs w:val="26"/>
          <w:lang w:val="en-US"/>
        </w:rPr>
      </w:pPr>
      <w:r w:rsidRPr="00AC30D9">
        <w:rPr>
          <w:rFonts w:ascii="Times New Roman" w:eastAsiaTheme="minorEastAsia" w:hAnsi="Times New Roman" w:cs="Times New Roman"/>
          <w:sz w:val="26"/>
          <w:szCs w:val="26"/>
          <w:lang w:val="en-US"/>
        </w:rPr>
        <w:t>The next step is to examine the potential of using the similarity metric in the context of the main idea, that a municipality similar to another, which has experienced a specific type of “social turbulence”, may demonstrate a comparable social response to a more or less similar stimulus.</w:t>
      </w:r>
    </w:p>
    <w:p w:rsidR="009C1905" w:rsidRDefault="009C1905" w:rsidP="00AC30D9">
      <w:pPr>
        <w:spacing w:after="0" w:line="360" w:lineRule="auto"/>
        <w:ind w:left="-567" w:firstLine="567"/>
        <w:jc w:val="both"/>
        <w:rPr>
          <w:rFonts w:ascii="Times New Roman" w:eastAsiaTheme="minorEastAsia" w:hAnsi="Times New Roman" w:cs="Times New Roman"/>
          <w:sz w:val="26"/>
          <w:szCs w:val="26"/>
        </w:rPr>
      </w:pPr>
      <w:bookmarkStart w:id="0" w:name="_GoBack"/>
      <w:bookmarkEnd w:id="0"/>
      <w:r w:rsidRPr="009D5FF0">
        <w:rPr>
          <w:rFonts w:ascii="Times New Roman" w:eastAsiaTheme="minorEastAsia" w:hAnsi="Times New Roman" w:cs="Times New Roman"/>
          <w:sz w:val="26"/>
          <w:szCs w:val="26"/>
        </w:rPr>
        <w:t>В</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качестве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примера</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рассмотрим</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использование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этого</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критерия</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для</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поиска</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наиболее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похожих</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МО</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на</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Красноармейский</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муниципальный</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район</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где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в</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станице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Полтавской</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в</w:t>
      </w:r>
      <w:r w:rsidRPr="005A7130">
        <w:rPr>
          <w:rFonts w:ascii="Times New Roman" w:eastAsiaTheme="minorEastAsia" w:hAnsi="Times New Roman" w:cs="Times New Roman"/>
          <w:sz w:val="26"/>
          <w:szCs w:val="26"/>
        </w:rPr>
        <w:t xml:space="preserve"> 2022 </w:t>
      </w:r>
      <w:r w:rsidRPr="009D5FF0">
        <w:rPr>
          <w:rFonts w:ascii="Times New Roman" w:eastAsiaTheme="minorEastAsia" w:hAnsi="Times New Roman" w:cs="Times New Roman"/>
          <w:sz w:val="26"/>
          <w:szCs w:val="26"/>
        </w:rPr>
        <w:t>году</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произошли</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широкие</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протесты</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против</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мусорного</w:t>
      </w:r>
      <w:r w:rsidRPr="005A7130">
        <w:rPr>
          <w:rFonts w:ascii="Times New Roman" w:eastAsiaTheme="minorEastAsia" w:hAnsi="Times New Roman" w:cs="Times New Roman"/>
          <w:sz w:val="26"/>
          <w:szCs w:val="26"/>
        </w:rPr>
        <w:t xml:space="preserve"> </w:t>
      </w:r>
      <w:r w:rsidRPr="009D5FF0">
        <w:rPr>
          <w:rFonts w:ascii="Times New Roman" w:eastAsiaTheme="minorEastAsia" w:hAnsi="Times New Roman" w:cs="Times New Roman"/>
          <w:sz w:val="26"/>
          <w:szCs w:val="26"/>
        </w:rPr>
        <w:t>полигона</w:t>
      </w:r>
      <w:r w:rsidRPr="005A7130">
        <w:rPr>
          <w:rFonts w:ascii="Times New Roman" w:eastAsiaTheme="minorEastAsia" w:hAnsi="Times New Roman" w:cs="Times New Roman"/>
          <w:sz w:val="26"/>
          <w:szCs w:val="26"/>
        </w:rPr>
        <w:t xml:space="preserve"> </w:t>
      </w:r>
      <w:r w:rsidRPr="005A7130">
        <w:rPr>
          <w:rFonts w:ascii="Times New Roman" w:eastAsiaTheme="minorEastAsia" w:hAnsi="Times New Roman" w:cs="Times New Roman"/>
          <w:b/>
          <w:sz w:val="26"/>
          <w:szCs w:val="26"/>
        </w:rPr>
        <w:t>[</w:t>
      </w:r>
      <w:r w:rsidRPr="009D5FF0">
        <w:rPr>
          <w:rFonts w:ascii="Times New Roman" w:eastAsiaTheme="minorEastAsia" w:hAnsi="Times New Roman" w:cs="Times New Roman"/>
          <w:b/>
          <w:sz w:val="26"/>
          <w:szCs w:val="26"/>
        </w:rPr>
        <w:t>ссылка</w:t>
      </w:r>
      <w:r w:rsidRPr="005A7130">
        <w:rPr>
          <w:rFonts w:ascii="Times New Roman" w:eastAsiaTheme="minorEastAsia" w:hAnsi="Times New Roman" w:cs="Times New Roman"/>
          <w:b/>
          <w:sz w:val="26"/>
          <w:szCs w:val="26"/>
        </w:rPr>
        <w:t xml:space="preserve"> </w:t>
      </w:r>
      <w:r w:rsidRPr="009D5FF0">
        <w:rPr>
          <w:rFonts w:ascii="Times New Roman" w:eastAsiaTheme="minorEastAsia" w:hAnsi="Times New Roman" w:cs="Times New Roman"/>
          <w:b/>
          <w:sz w:val="26"/>
          <w:szCs w:val="26"/>
        </w:rPr>
        <w:t>на</w:t>
      </w:r>
      <w:r w:rsidRPr="005A7130">
        <w:rPr>
          <w:rFonts w:ascii="Times New Roman" w:eastAsiaTheme="minorEastAsia" w:hAnsi="Times New Roman" w:cs="Times New Roman"/>
          <w:b/>
          <w:sz w:val="26"/>
          <w:szCs w:val="26"/>
        </w:rPr>
        <w:t xml:space="preserve"> </w:t>
      </w:r>
      <w:r w:rsidRPr="009D5FF0">
        <w:rPr>
          <w:rFonts w:ascii="Times New Roman" w:eastAsiaTheme="minorEastAsia" w:hAnsi="Times New Roman" w:cs="Times New Roman"/>
          <w:b/>
          <w:sz w:val="26"/>
          <w:szCs w:val="26"/>
        </w:rPr>
        <w:t>данные</w:t>
      </w:r>
      <w:r w:rsidRPr="005A7130">
        <w:rPr>
          <w:rFonts w:ascii="Times New Roman" w:eastAsiaTheme="minorEastAsia" w:hAnsi="Times New Roman" w:cs="Times New Roman"/>
          <w:b/>
          <w:sz w:val="26"/>
          <w:szCs w:val="26"/>
        </w:rPr>
        <w:t xml:space="preserve"> </w:t>
      </w:r>
      <w:r w:rsidRPr="009D5FF0">
        <w:rPr>
          <w:rFonts w:ascii="Times New Roman" w:eastAsiaTheme="minorEastAsia" w:hAnsi="Times New Roman" w:cs="Times New Roman"/>
          <w:b/>
          <w:sz w:val="26"/>
          <w:szCs w:val="26"/>
        </w:rPr>
        <w:t>из</w:t>
      </w:r>
      <w:r w:rsidRPr="005A7130">
        <w:rPr>
          <w:rFonts w:ascii="Times New Roman" w:eastAsiaTheme="minorEastAsia" w:hAnsi="Times New Roman" w:cs="Times New Roman"/>
          <w:b/>
          <w:sz w:val="26"/>
          <w:szCs w:val="26"/>
        </w:rPr>
        <w:t xml:space="preserve"> </w:t>
      </w:r>
      <w:r w:rsidRPr="009D5FF0">
        <w:rPr>
          <w:rFonts w:ascii="Times New Roman" w:eastAsiaTheme="minorEastAsia" w:hAnsi="Times New Roman" w:cs="Times New Roman"/>
          <w:b/>
          <w:sz w:val="26"/>
          <w:szCs w:val="26"/>
        </w:rPr>
        <w:t>СМИ</w:t>
      </w:r>
      <w:r w:rsidRPr="005A7130">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Для этого необходимо провести оценку отклонения по критерию (1) всех МО из исследуемого датасета относительно Красноармейского муниципального района (МР) образца 2022 года.</w:t>
      </w:r>
    </w:p>
    <w:p w:rsidR="009B2979" w:rsidRPr="009C1905" w:rsidRDefault="009B2979"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625BCB" w:rsidRPr="009C1905" w:rsidRDefault="00625BCB" w:rsidP="00AE5D74">
      <w:pPr>
        <w:spacing w:after="0" w:line="360" w:lineRule="auto"/>
        <w:ind w:left="-567" w:firstLine="567"/>
        <w:jc w:val="both"/>
        <w:rPr>
          <w:rFonts w:ascii="Times New Roman" w:hAnsi="Times New Roman" w:cs="Times New Roman"/>
          <w:sz w:val="26"/>
          <w:szCs w:val="26"/>
        </w:rPr>
      </w:pPr>
    </w:p>
    <w:p w:rsidR="00F513EA" w:rsidRPr="009C1905" w:rsidRDefault="00F513EA" w:rsidP="00AE5D74">
      <w:pPr>
        <w:spacing w:after="0" w:line="360" w:lineRule="auto"/>
        <w:ind w:left="-567" w:firstLine="567"/>
        <w:jc w:val="both"/>
        <w:rPr>
          <w:rFonts w:ascii="Times New Roman" w:hAnsi="Times New Roman" w:cs="Times New Roman"/>
          <w:b/>
          <w:i/>
          <w:sz w:val="24"/>
          <w:szCs w:val="24"/>
        </w:rPr>
      </w:pPr>
    </w:p>
    <w:p w:rsidR="00AE5D74" w:rsidRPr="009B2979"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9B2979">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9B2979">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6"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 xml:space="preserve">[2] Analysis of the Uniqueness and Similarity of City Landscapes Based on Deep Style Learning. 2021. URL: </w:t>
      </w:r>
      <w:hyperlink r:id="rId7"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8"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9"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10"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11"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2"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3"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12FD9"/>
    <w:rsid w:val="000453DD"/>
    <w:rsid w:val="000C085B"/>
    <w:rsid w:val="000E3909"/>
    <w:rsid w:val="000E4FE1"/>
    <w:rsid w:val="00124AC9"/>
    <w:rsid w:val="00127DA8"/>
    <w:rsid w:val="0017063E"/>
    <w:rsid w:val="00217916"/>
    <w:rsid w:val="0028427F"/>
    <w:rsid w:val="002B772D"/>
    <w:rsid w:val="0035481D"/>
    <w:rsid w:val="00360F8D"/>
    <w:rsid w:val="003D49C8"/>
    <w:rsid w:val="003D7CEC"/>
    <w:rsid w:val="00415C1B"/>
    <w:rsid w:val="0043134B"/>
    <w:rsid w:val="004605FD"/>
    <w:rsid w:val="00480360"/>
    <w:rsid w:val="00492F43"/>
    <w:rsid w:val="004D0865"/>
    <w:rsid w:val="00531C21"/>
    <w:rsid w:val="005536C8"/>
    <w:rsid w:val="005A7130"/>
    <w:rsid w:val="00625BCB"/>
    <w:rsid w:val="006318CA"/>
    <w:rsid w:val="00757844"/>
    <w:rsid w:val="007E5566"/>
    <w:rsid w:val="007E7963"/>
    <w:rsid w:val="00811E07"/>
    <w:rsid w:val="00860859"/>
    <w:rsid w:val="008678E6"/>
    <w:rsid w:val="00886BE6"/>
    <w:rsid w:val="00887346"/>
    <w:rsid w:val="009038BF"/>
    <w:rsid w:val="00925B7A"/>
    <w:rsid w:val="00926B29"/>
    <w:rsid w:val="00944594"/>
    <w:rsid w:val="009B2979"/>
    <w:rsid w:val="009C1905"/>
    <w:rsid w:val="009F47A8"/>
    <w:rsid w:val="00A208DE"/>
    <w:rsid w:val="00A34A1F"/>
    <w:rsid w:val="00A53A9D"/>
    <w:rsid w:val="00A726A9"/>
    <w:rsid w:val="00AC18F3"/>
    <w:rsid w:val="00AC30D9"/>
    <w:rsid w:val="00AD1F37"/>
    <w:rsid w:val="00AE5D74"/>
    <w:rsid w:val="00AF14FC"/>
    <w:rsid w:val="00AF568D"/>
    <w:rsid w:val="00B075A9"/>
    <w:rsid w:val="00B91AD8"/>
    <w:rsid w:val="00C073A8"/>
    <w:rsid w:val="00C14A20"/>
    <w:rsid w:val="00CA27CA"/>
    <w:rsid w:val="00CE7619"/>
    <w:rsid w:val="00CF75C1"/>
    <w:rsid w:val="00E90795"/>
    <w:rsid w:val="00EA372D"/>
    <w:rsid w:val="00EA719E"/>
    <w:rsid w:val="00ED3308"/>
    <w:rsid w:val="00F20BC7"/>
    <w:rsid w:val="00F51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D649"/>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Placeholder Text"/>
    <w:basedOn w:val="a0"/>
    <w:uiPriority w:val="99"/>
    <w:semiHidden/>
    <w:rsid w:val="008873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90433">
      <w:bodyDiv w:val="1"/>
      <w:marLeft w:val="0"/>
      <w:marRight w:val="0"/>
      <w:marTop w:val="0"/>
      <w:marBottom w:val="0"/>
      <w:divBdr>
        <w:top w:val="none" w:sz="0" w:space="0" w:color="auto"/>
        <w:left w:val="none" w:sz="0" w:space="0" w:color="auto"/>
        <w:bottom w:val="none" w:sz="0" w:space="0" w:color="auto"/>
        <w:right w:val="none" w:sz="0" w:space="0" w:color="auto"/>
      </w:divBdr>
    </w:div>
    <w:div w:id="11483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7212810_Exploring_venue-based_city-to-city_similarity_measures" TargetMode="External"/><Relationship Id="rId13" Type="http://schemas.openxmlformats.org/officeDocument/2006/relationships/hyperlink" Target="http://dx.doi.org/10.2139/ssrn.5357390" TargetMode="External"/><Relationship Id="rId3" Type="http://schemas.openxmlformats.org/officeDocument/2006/relationships/webSettings" Target="webSettings.xml"/><Relationship Id="rId7" Type="http://schemas.openxmlformats.org/officeDocument/2006/relationships/hyperlink" Target="https://doi.org/10.3390/ijgi10110734" TargetMode="External"/><Relationship Id="rId12" Type="http://schemas.openxmlformats.org/officeDocument/2006/relationships/hyperlink" Target="https://doi.org/10.1371/journal.pone.0319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8646626_A_Similarity_Approach_to_Cities_and_Features" TargetMode="External"/><Relationship Id="rId11" Type="http://schemas.openxmlformats.org/officeDocument/2006/relationships/hyperlink" Target="https://www.researchgate.net/publication/373236871_Conflicts_in_urban_peripheries_in_Europ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esearchgate.net/publication/388926768_Are_land_use_conflicts_a_barrier_to_sustainable_city_development_Evidence_from_Chattogram_District_of_Bangladesh" TargetMode="External"/><Relationship Id="rId4" Type="http://schemas.openxmlformats.org/officeDocument/2006/relationships/image" Target="media/image1.png"/><Relationship Id="rId9" Type="http://schemas.openxmlformats.org/officeDocument/2006/relationships/hyperlink" Target="https://www.researchgate.net/publication/276321581_The_scenario_method_in_urban_plann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8</Pages>
  <Words>2350</Words>
  <Characters>13397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23</cp:revision>
  <dcterms:created xsi:type="dcterms:W3CDTF">2025-09-10T07:03:00Z</dcterms:created>
  <dcterms:modified xsi:type="dcterms:W3CDTF">2025-09-17T13:07:00Z</dcterms:modified>
</cp:coreProperties>
</file>