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AA2389">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425827" w:rsidRDefault="00425827" w:rsidP="00B075A9">
      <w:pPr>
        <w:spacing w:after="0" w:line="360" w:lineRule="auto"/>
        <w:ind w:left="-567" w:firstLine="567"/>
        <w:jc w:val="both"/>
        <w:rPr>
          <w:rFonts w:ascii="Times New Roman" w:hAnsi="Times New Roman" w:cs="Times New Roman"/>
          <w:sz w:val="26"/>
          <w:szCs w:val="26"/>
          <w:lang w:val="en-US"/>
        </w:rPr>
      </w:pPr>
      <w:r w:rsidRPr="00425827">
        <w:rPr>
          <w:rFonts w:ascii="Times New Roman" w:hAnsi="Times New Roman" w:cs="Times New Roman"/>
          <w:sz w:val="26"/>
          <w:szCs w:val="26"/>
          <w:lang w:val="en-US"/>
        </w:rPr>
        <w:t>Here we present a methodology for evaluating the potential of a given municipal entity for social conflict, based on the proposed hypothesis. The approach is implemented through a ranking system and a metric that assesses city-to-city similarity using socio-economic and demographic indicators derived from real-world statistics. Thus, in successful attempts to find conflict areas, which were not in our training data, we demonstrates the predictive power of the proposed method.</w:t>
      </w:r>
      <w:r w:rsidR="003A21F5">
        <w:rPr>
          <w:rFonts w:ascii="Times New Roman" w:hAnsi="Times New Roman" w:cs="Times New Roman"/>
          <w:sz w:val="26"/>
          <w:szCs w:val="26"/>
          <w:lang w:val="en-US"/>
        </w:rPr>
        <w:t xml:space="preserve"> </w:t>
      </w:r>
      <w:r w:rsidR="003A21F5" w:rsidRPr="003A21F5">
        <w:rPr>
          <w:rFonts w:ascii="Times New Roman" w:hAnsi="Times New Roman" w:cs="Times New Roman"/>
          <w:sz w:val="26"/>
          <w:szCs w:val="26"/>
          <w:lang w:val="en-US"/>
        </w:rPr>
        <w:t>Machine learning was also applied to forecast the dynamics of the potential score over time, further extending the applicability of the methodology.</w:t>
      </w:r>
      <w:bookmarkStart w:id="0" w:name="_GoBack"/>
      <w:bookmarkEnd w:id="0"/>
    </w:p>
    <w:p w:rsidR="009E50A2" w:rsidRDefault="009E50A2" w:rsidP="00B075A9">
      <w:pPr>
        <w:spacing w:after="0" w:line="360" w:lineRule="auto"/>
        <w:ind w:left="-567" w:firstLine="567"/>
        <w:jc w:val="both"/>
        <w:rPr>
          <w:rFonts w:ascii="Times New Roman" w:hAnsi="Times New Roman" w:cs="Times New Roman"/>
          <w:sz w:val="26"/>
          <w:szCs w:val="26"/>
          <w:lang w:val="en-US"/>
        </w:rPr>
      </w:pPr>
      <w:r w:rsidRPr="009E50A2">
        <w:rPr>
          <w:rFonts w:ascii="Times New Roman" w:hAnsi="Times New Roman" w:cs="Times New Roman"/>
          <w:sz w:val="26"/>
          <w:szCs w:val="26"/>
          <w:lang w:val="en-US"/>
        </w:rPr>
        <w:t>Section~\ref{related} presents a review of existing approaches to forecasting and assessing social conflicts. In Section~\ref{data}, the datasets used to address the problem are described and analyzed. Section~\ref{similarity} proposes a criterion for measuring similarity and evaluates its effectiveness. Section~\ref{risk} introduces a method for assessing the overall potential of social conflict for a given municipal entity, while Section~\ref{ML} explores the possibility of forecasting changes in this potential over time. Finally, the conclusions of the study are presented in Section~\ref{conclusion}.</w:t>
      </w:r>
    </w:p>
    <w:p w:rsidR="00AA2389" w:rsidRDefault="003D7CEC" w:rsidP="00AA2389">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 xml:space="preserve">Related works. </w:t>
      </w:r>
      <w:r w:rsidR="00AA2389" w:rsidRPr="0043134B">
        <w:rPr>
          <w:rFonts w:ascii="Times New Roman" w:hAnsi="Times New Roman" w:cs="Times New Roman"/>
          <w:spacing w:val="-6"/>
          <w:sz w:val="26"/>
          <w:szCs w:val="26"/>
          <w:lang w:val="en-US"/>
        </w:rPr>
        <w:t>Nowadays, the evaluation of city-to-city similarity is a relevant approach that can be applied to various tasks, including infrastructural, architectural, and other areas [1, 2, 3, 4]. Interest in this research direction is mainly driven by the possibility of using similarity assessment to address urban planning problems [4]. At the same time, social conflicts that arise during the implementation of construction projects are of great importance in the field of urban planning [5, 6]. Therefore, forecasting social risks (such as protests and conflicts) is a relevant task for urban planning. Undoubtedly, this problem is even more relevant for socio-economic policymaking [7–11].</w:t>
      </w:r>
    </w:p>
    <w:p w:rsidR="00AA2389" w:rsidRPr="00AF1857" w:rsidRDefault="00AA2389" w:rsidP="00AF1857">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r>
        <w:rPr>
          <w:rFonts w:ascii="Times New Roman" w:hAnsi="Times New Roman" w:cs="Times New Roman"/>
          <w:sz w:val="26"/>
          <w:szCs w:val="26"/>
          <w:lang w:val="en-US"/>
        </w:rPr>
        <w:t xml:space="preserve">is closely connected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[7,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should be noted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Also</w:t>
      </w:r>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For example, an epidemiological model is often used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t>In recent years, machine learning approaches have also gained popularity in this field of research [9, 10, 11]. These studies are generally based on analyzing public sentiment through the monitoring of social networks and mass media [9, 10, 11].</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In study [9], protests are investigated through the analysis of the stylistic features of mass media articles covering labor protests that took place in Romania (2018–2025). Within the context of the present research, particular interest lies in the evidence supporting the spatio-temporal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proposes a method that considers at least the “spatial” component in terms of the socio-economic and demographic space, which is often influenced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ma</w:t>
      </w:r>
      <w:r>
        <w:rPr>
          <w:rFonts w:ascii="Times New Roman" w:hAnsi="Times New Roman" w:cs="Times New Roman"/>
          <w:sz w:val="26"/>
          <w:szCs w:val="26"/>
          <w:lang w:val="en-US"/>
        </w:rPr>
        <w:t>chine learning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w:t>
      </w:r>
      <w:r w:rsidRPr="003459F7">
        <w:rPr>
          <w:rFonts w:ascii="Times New Roman" w:hAnsi="Times New Roman" w:cs="Times New Roman"/>
          <w:sz w:val="26"/>
          <w:szCs w:val="26"/>
          <w:lang w:val="en-US"/>
        </w:rPr>
        <w:lastRenderedPageBreak/>
        <w:t>economic indicators. It is important to note that only currency exchange rates were used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Therefore, this research proposes an approach detached from subjective 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since each municipality–year combination is treated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Table 1 presents the selected socio-economic indicators. These factors were chosen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 Average number of employers in organizations - avgemployers (ppl.)</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2. Average salary - avgsalary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3. Shopping area - shoparea (sq.m.)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4. Number of seats in café, bars and restaurants - foodseats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5. Retail turnover - retailturnover (thnd.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6. Live area per capita - livarea (sq.m.)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7. Number of sporting venues - sportsvenue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8. Number of services (barbershops, repairs) - servicesnum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9. Length of roads - roadslen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lastRenderedPageBreak/>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(centners)</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12. Agricultural production - agrprod (thnd.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15. Volume of self-produced goods - factoriescap (thnd.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were normalized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were also normalized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The socio-economic and demographic characteristics of a municipality at the time it experiences a protest could be used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has been </w:t>
      </w:r>
      <w:r>
        <w:rPr>
          <w:rFonts w:ascii="Times New Roman" w:hAnsi="Times New Roman" w:cs="Times New Roman"/>
          <w:sz w:val="26"/>
          <w:szCs w:val="26"/>
          <w:lang w:val="en-US"/>
        </w:rPr>
        <w:t>collected</w:t>
      </w:r>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These cases can be grouped into three categories: six ecological conflicts (Shies 2018, Poltavskaya village 2022, etc.); six ethnic conflicts (Chemodanovka 2019, Makhachkala 2023, etc.); and nine industrial conflicts (Kushtau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The focus on high-profile conflicts is motivated by their potential to highlight the socio-economic and demographic indicators that predispose municipalities to social tension. In other words, these cases can be</w:t>
      </w:r>
      <w:r>
        <w:rPr>
          <w:rFonts w:ascii="Times New Roman" w:hAnsi="Times New Roman" w:cs="Times New Roman"/>
          <w:sz w:val="26"/>
          <w:szCs w:val="26"/>
          <w:lang w:val="en-US"/>
        </w:rPr>
        <w:t xml:space="preserve"> viewed</w:t>
      </w:r>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lastRenderedPageBreak/>
        <w:t>During the comparison of the socio-economic conditions of these local extrema (conflict cases), certain trends can be observed. Figure 1 shows that in the entertainment (“servicesnum”, “sportsvenue”, “retailturnover”, “foodseats”) and in the production sectors (“factoriescap”, “agrprod”,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3A21F5"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Some trends and dependencies were also identified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municipalities with ecological conflicts.</w:t>
      </w:r>
    </w:p>
    <w:p w:rsidR="00E90795" w:rsidRDefault="003A21F5"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lastRenderedPageBreak/>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Thus, notable differences between municipalities with certain types of conflicts can be observed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Each municipal entity (municipal district, city, village etc.) in the data defined by the socio-economic and demographic components. The socio-economy condition could be represented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The demographic structure can be represented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lastRenderedPageBreak/>
        <w:t>here</w:t>
      </w:r>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enables calculation of the proportion of each cohort within the population, allowing assessment of the demographic structure. The same approach is used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it is proposed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r w:rsidRPr="003D49C8">
        <w:rPr>
          <w:rFonts w:ascii="Times New Roman" w:eastAsiaTheme="minorEastAsia" w:hAnsi="Times New Roman" w:cs="Times New Roman"/>
          <w:sz w:val="26"/>
          <w:szCs w:val="26"/>
          <w:lang w:val="en-US"/>
        </w:rPr>
        <w:t>where</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Table illustrates the case of Michurinsk City in 2022. As expected, in the majority of cases, the proposed metric (4) identifies the same municipality observed in different time periods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Michurinsk City the set of top similar municipalities includes not only its geographical neighbor Morshansk City (both located in Tambov Oblast), but also the geographically distant Vyshnevolotsky Dist. (Tver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Krasnoarmeysky District, where Poltavskaya Village experienced large-scale protests against a landfill in 2022 [link to media sources???]. The results are partly presented in </w:t>
      </w:r>
      <w:r w:rsidRPr="001756F6">
        <w:rPr>
          <w:rFonts w:ascii="Times New Roman" w:eastAsiaTheme="minorEastAsia" w:hAnsi="Times New Roman" w:cs="Times New Roman"/>
          <w:sz w:val="26"/>
          <w:szCs w:val="26"/>
          <w:lang w:val="en-US"/>
        </w:rPr>
        <w:lastRenderedPageBreak/>
        <w:t>Table~\ref{sim-2}, where all municipal entities are sorted by their similarity to Krasnoarmeysky District. The metric values are normalized to the range from 0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Figure~\ref{sim-3} presents a graph that illustrates all values of metric (4) from the assessment of Krasnoarmeysky District. The graph demonstrates that a similarity value from 0 to 0.1 is reached by approximately the 300th example, while the range from 0.1 to 0.2 is only crossed around the 5245th example (Troitsky District, see Table~\ref{sim-2} and Figure~\ref{sim-3}). This result shows a certain degree of homogeneity across Russia, at least in terms of per capita characteristics. In other words, a large number of municipal entities do not differ substantially from one another, which is generally expected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The results of socio-economic and demographic similarity to Krasnoarmeysky Dist. can be further considered in the context of identifying potential social conflicts. In the case of Kurganinsky Dist. (first place in similarity, see Table~\ref{sim-2}), media analysis revealed no evidence of significant conflicts. It should be noted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Tikhoretsky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(see )</w:t>
      </w:r>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Alexeyevskaya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Kamenny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 xml:space="preserve">lation </w:t>
      </w:r>
      <w:r>
        <w:rPr>
          <w:rFonts w:ascii="Times New Roman" w:eastAsiaTheme="minorEastAsia" w:hAnsi="Times New Roman" w:cs="Times New Roman"/>
          <w:sz w:val="26"/>
          <w:szCs w:val="26"/>
          <w:lang w:val="en-US"/>
        </w:rPr>
        <w:lastRenderedPageBreak/>
        <w:t>~1,000,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Tikhoretsky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When analysing Belorechensky Dist. for 2019 (26th place, see Table~\ref{sim-2}), a social protest related to a landfill was identified, although it actually occurred in 2021 (see Figure~\ref{belo}). The protest involved approximately 500 participants. Belorechensky Dist. of 2021 is also presented in the dataset and is in the 50th place in similarity (see Table~\ref{sim-2}).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In other words, using the similarity approach as the basis, it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A ranking system is proposed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 xml:space="preserve">specific municipality that </w:t>
      </w:r>
      <w:r w:rsidR="00E87348">
        <w:rPr>
          <w:rFonts w:ascii="Times New Roman" w:hAnsi="Times New Roman" w:cs="Times New Roman"/>
          <w:sz w:val="26"/>
          <w:szCs w:val="26"/>
          <w:lang w:val="en-US"/>
        </w:rPr>
        <w:lastRenderedPageBreak/>
        <w:t>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In general, the proposed method can be described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Repeating steps 2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For example, the simplest approach is to apply a progressive ranking of similarity, ranging from 1 (most similar, first place) to 0 (least similar, last place). However, due to a certain degree of homogeneity observed in the country (see Fig.~\ref{sim-3}),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In the logic of the hypothesis of this study, the most similar municipal entities may share the same degree of predisposition. Therefore, a top-ranking system should be considered in this case. An initial analysis of the graphs suggests that it is reasonable to assume the first 300 most similar municipal entities as comparable (see Fig.~\ref{sim-3}). Consequently, the proposed ranking system assigns scores as follows: 1 point for municipal entities ranked from 1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 xml:space="preserve">The complete distribution of the ranking scores is presented in the diagram (see Fig.~\ref{scores}). Almost half of the municipal entities in the dataset (4035 out of more than 9000) obtained a nonzero score, indicating some degree of closeness (4) to at least one conflict-affected entity. However, the majority have scores of 1 or less (3049 cases, see Fig.~\ref{scores}), while only 986 entities reached the relatively higher cumulative score. According to the ranking system, the maximum possible total score is 21 (1 point for each </w:t>
      </w:r>
      <w:r w:rsidR="00087810" w:rsidRPr="00087810">
        <w:rPr>
          <w:rFonts w:ascii="Times New Roman" w:hAnsi="Times New Roman" w:cs="Times New Roman"/>
          <w:sz w:val="26"/>
          <w:szCs w:val="26"/>
          <w:lang w:val="en-US"/>
        </w:rPr>
        <w:lastRenderedPageBreak/>
        <w:t>conflict). However, in practice this is highly unlikely, since it would mean that a single municipal entity is simultaneously very similar to all 21 others, which is not possible given the way conflict-affected entities were selected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The highest total score of 4.5 was obtained by Tuapsinsky District in 2022 and 2021. It is not surprising that Tuapsinsky District received 1 point (by entering the top 100 in similarity) with conflict-affected municipal entities №18 (Anapa City) and №19 (Gelendzhik City), since all of them are located in Krasnodar Krai and are geographically close (see Table~\ref{rank-tab}). However, Table~\ref{rank-tab} also shows that Tuapsinsky District received 0 points with Krasnoarmeysky District (case №2), meaning it did not even enter the top 300 in similarity, despite the fact that Krasnoarmeysky District is also in Krasnodar Krai.</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Novoaltaysk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(Gelendzhik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During the analysis of the Tuapsinsky Dist. (1–2 places, 4.5 points, see Table~\ref{rank-tab}), a political protest was identified in Tuapse City (population ~60,000) in 2021, organized in support of Alexey Navalny (see Figure~\ref{Tuapse}). In 2022, no evidence of social conflict was recorded in the media. It is important to note that the score shows potential, but the occurrence of a social conflict still requires a trigger. In 2024, the Tuapsinsky Dist. experienced a significant social conflict in Dzhubga (population ~7,000), where several hundred people participated in a protest against the new urban development plan (the so-called "Genplan", Figure~\ref{Tuapse}). The particularly interesting point here is that the cause of the protests in Anapa (case №18) and Gelendzhik (case №19) in 2021 (see Table~\ref{conf-tab}) was also the "Genplan", with which the Tuapsinsky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lastRenderedPageBreak/>
        <w:t>In the city of Novoaltaysk (population ~70,000, third place, see Table), two significant social conflicts were identified, which occurred in 2018 and 2019. While data for 2019 are not available in the dataset, 2018 data are present, and the overall social risk score for that year is also high (2.9 points, 75th place). The 2018 protest was related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In the Kandalakshsky District, a significant social conflict was recorded in 2017 (4th place, 4.2 points, see Table~\ref{conf-tab}), where several hundred people protested in Kandalaksha City against the unfair tax system (see Figure~\ref{...}). The city of Apatity was also analyzed, and a conflict was identified in 2017, where over 100 researchers protested, demanding increased funding for science (see Figure~\ref{...}). The overall social risk score for Apatity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can be considered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could be applied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 xml:space="preserve">It is necessary to note that while the proposed ranking system is simple and easy to interpret from a human </w:t>
      </w:r>
      <w:r w:rsidR="00A95786" w:rsidRPr="00A95786">
        <w:rPr>
          <w:rFonts w:ascii="Times New Roman" w:hAnsi="Times New Roman" w:cs="Times New Roman"/>
          <w:sz w:val="26"/>
          <w:szCs w:val="26"/>
          <w:lang w:val="en-US"/>
        </w:rPr>
        <w:lastRenderedPageBreak/>
        <w:t>perspective, it limits the effectiveness of model training. For this reason, the top 300 should be represented as a continuous scale from 1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It is proposed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significance.</w:t>
      </w:r>
    </w:p>
    <w:p w:rsidR="00704843" w:rsidRDefault="00B369EE" w:rsidP="00AE5D74">
      <w:pPr>
        <w:spacing w:after="0" w:line="360" w:lineRule="auto"/>
        <w:ind w:left="-567" w:firstLine="567"/>
        <w:jc w:val="both"/>
        <w:rPr>
          <w:rFonts w:ascii="Times New Roman" w:hAnsi="Times New Roman" w:cs="Times New Roman"/>
          <w:sz w:val="26"/>
          <w:szCs w:val="26"/>
          <w:lang w:val="en-US"/>
        </w:rPr>
      </w:pPr>
      <w:r w:rsidRPr="00B369EE">
        <w:rPr>
          <w:rFonts w:ascii="Times New Roman" w:hAnsi="Times New Roman" w:cs="Times New Roman"/>
          <w:sz w:val="26"/>
          <w:szCs w:val="26"/>
          <w:lang w:val="en-US"/>
        </w:rPr>
        <w:t>The final dataset for model training includes approximately 7000 examples. Records from 2022 were excluded, as the model requires an assessment of the potential of social conflicts for the following year. Cases with missing data for the subsequent year within 2014–2022 were also removed.</w:t>
      </w:r>
    </w:p>
    <w:p w:rsidR="00014A0C" w:rsidRDefault="00014A0C" w:rsidP="00AE5D74">
      <w:pPr>
        <w:spacing w:after="0" w:line="360" w:lineRule="auto"/>
        <w:ind w:left="-567" w:firstLine="567"/>
        <w:jc w:val="both"/>
        <w:rPr>
          <w:rFonts w:ascii="Times New Roman" w:hAnsi="Times New Roman" w:cs="Times New Roman"/>
          <w:sz w:val="26"/>
          <w:szCs w:val="26"/>
          <w:lang w:val="en-US"/>
        </w:rPr>
      </w:pPr>
      <w:r w:rsidRPr="00014A0C">
        <w:rPr>
          <w:rFonts w:ascii="Times New Roman" w:hAnsi="Times New Roman" w:cs="Times New Roman"/>
          <w:sz w:val="26"/>
          <w:szCs w:val="26"/>
          <w:lang w:val="en-US"/>
        </w:rPr>
        <w:t>The Random Forest method was chosen for the initial experiments. It is a simple and widely used approach that also provides the estimation of feature importance based on the Gini impurity. To enhance the robustness of both the feature importance estimates and the accuracy of the model, the training process was repeated 50 times, and the average values were calculated.</w:t>
      </w:r>
    </w:p>
    <w:p w:rsidR="00014A0C" w:rsidRDefault="007D2C8E" w:rsidP="003A2C86">
      <w:pPr>
        <w:spacing w:after="0" w:line="360" w:lineRule="auto"/>
        <w:ind w:left="-567" w:firstLine="567"/>
        <w:jc w:val="both"/>
        <w:rPr>
          <w:rFonts w:ascii="Times New Roman" w:eastAsiaTheme="minorEastAsia" w:hAnsi="Times New Roman" w:cs="Times New Roman"/>
          <w:sz w:val="26"/>
          <w:szCs w:val="26"/>
          <w:lang w:val="en-US"/>
        </w:rPr>
      </w:pPr>
      <w:r w:rsidRPr="007D2C8E">
        <w:rPr>
          <w:rFonts w:ascii="Times New Roman" w:hAnsi="Times New Roman" w:cs="Times New Roman"/>
          <w:sz w:val="26"/>
          <w:szCs w:val="26"/>
          <w:lang w:val="en-US"/>
        </w:rPr>
        <w:t>Figure~\ref{accur} visualizes the accuracy of the models predictions. As the diagram shows, when using socio-economic factors (left, see Fig.~\ref{accur}), the forecast is not perfect but can be considered as reasonably reliable. The average score of R-squares on the test set is 0.65 (SD 0.02), which also indicates that the model is adequate.</w:t>
      </w:r>
      <w:r>
        <w:rPr>
          <w:rFonts w:ascii="Times New Roman" w:hAnsi="Times New Roman" w:cs="Times New Roman"/>
          <w:sz w:val="26"/>
          <w:szCs w:val="26"/>
          <w:lang w:val="en-US"/>
        </w:rPr>
        <w:t xml:space="preserve"> From the right </w:t>
      </w:r>
      <w:r w:rsidR="003A2C86" w:rsidRPr="007D2C8E">
        <w:rPr>
          <w:rFonts w:ascii="Times New Roman" w:hAnsi="Times New Roman" w:cs="Times New Roman"/>
          <w:sz w:val="26"/>
          <w:szCs w:val="26"/>
          <w:lang w:val="en-US"/>
        </w:rPr>
        <w:t>Figure~\ref{accur}</w:t>
      </w:r>
      <w:r w:rsidR="003A2C86">
        <w:rPr>
          <w:rFonts w:ascii="Times New Roman" w:hAnsi="Times New Roman" w:cs="Times New Roman"/>
          <w:sz w:val="26"/>
          <w:szCs w:val="26"/>
          <w:lang w:val="en-US"/>
        </w:rPr>
        <w:t xml:space="preserve"> shows the accuracy of the model that performs forecasting based solely on demographic structure. The diagram shows a greater distance of dots (examples of the test set) from diagonal, which mean a greater deviation of predicted values from actual ones. It also supports by t</w:t>
      </w:r>
      <w:r w:rsidR="003A2C86" w:rsidRPr="007D2C8E">
        <w:rPr>
          <w:rFonts w:ascii="Times New Roman" w:hAnsi="Times New Roman" w:cs="Times New Roman"/>
          <w:sz w:val="26"/>
          <w:szCs w:val="26"/>
          <w:lang w:val="en-US"/>
        </w:rPr>
        <w:t>he average score of R-squares</w:t>
      </w:r>
      <w:r w:rsidR="003A2C86">
        <w:rPr>
          <w:rFonts w:ascii="Times New Roman" w:hAnsi="Times New Roman" w:cs="Times New Roman"/>
          <w:sz w:val="26"/>
          <w:szCs w:val="26"/>
          <w:lang w:val="en-US"/>
        </w:rPr>
        <w:t xml:space="preserve"> on the test set being on the level of 0.33 (SD 0.02). Such a result is mostly because in the metric (4) parameter </w:t>
      </w:r>
      <m:oMath>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d</m:t>
            </m:r>
          </m:sub>
        </m:sSub>
      </m:oMath>
      <w:r w:rsidR="003A2C86">
        <w:rPr>
          <w:rFonts w:ascii="Times New Roman" w:eastAsiaTheme="minorEastAsia" w:hAnsi="Times New Roman" w:cs="Times New Roman"/>
          <w:sz w:val="26"/>
          <w:szCs w:val="26"/>
          <w:lang w:val="en-US"/>
        </w:rPr>
        <w:t xml:space="preserve"> value was 0.5. This decision was due to reduce significance of demographic trends that observed across the country, which will simplify similarity assessment through time.</w:t>
      </w:r>
    </w:p>
    <w:p w:rsidR="006544FB" w:rsidRDefault="008773EC"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evaluation </w:t>
      </w:r>
      <w:r w:rsidR="00D438EF">
        <w:rPr>
          <w:rFonts w:ascii="Times New Roman" w:hAnsi="Times New Roman" w:cs="Times New Roman"/>
          <w:sz w:val="26"/>
          <w:szCs w:val="26"/>
          <w:lang w:val="en-US"/>
        </w:rPr>
        <w:t xml:space="preserve">of feature importance for the model that forecasts based only on the socio-economic indicators illustrated in Figure. The histogram shows as most significant features: “retaliturover”, “foodseats”, “hospitals” and “roadslen” (see Table). It should be noted that these </w:t>
      </w:r>
      <w:r>
        <w:rPr>
          <w:rFonts w:ascii="Times New Roman" w:hAnsi="Times New Roman" w:cs="Times New Roman"/>
          <w:sz w:val="26"/>
          <w:szCs w:val="26"/>
          <w:lang w:val="en-US"/>
        </w:rPr>
        <w:t xml:space="preserve">factors determines not only the level of municipal entity’s development, but also could indirectly identify its profile. For example, roads length per capita besides showing infrastructural level, </w:t>
      </w:r>
      <w:r>
        <w:rPr>
          <w:rFonts w:ascii="Times New Roman" w:hAnsi="Times New Roman" w:cs="Times New Roman"/>
          <w:sz w:val="26"/>
          <w:szCs w:val="26"/>
          <w:lang w:val="en-US"/>
        </w:rPr>
        <w:lastRenderedPageBreak/>
        <w:t xml:space="preserve">also could highlight the topology of cities road. Municipal entities with one </w:t>
      </w:r>
      <w:r w:rsidRPr="008773EC">
        <w:rPr>
          <w:rFonts w:ascii="Times New Roman" w:hAnsi="Times New Roman" w:cs="Times New Roman"/>
          <w:sz w:val="26"/>
          <w:szCs w:val="26"/>
          <w:lang w:val="en-US"/>
        </w:rPr>
        <w:t>city-forming enterprises</w:t>
      </w:r>
      <w:r>
        <w:rPr>
          <w:rFonts w:ascii="Times New Roman" w:hAnsi="Times New Roman" w:cs="Times New Roman"/>
          <w:sz w:val="26"/>
          <w:szCs w:val="26"/>
          <w:lang w:val="en-US"/>
        </w:rPr>
        <w:t xml:space="preserve"> could have shorter length of roads, compare to entities with many farm fields. </w:t>
      </w:r>
      <w:r w:rsidR="005E63DC">
        <w:rPr>
          <w:rFonts w:ascii="Times New Roman" w:hAnsi="Times New Roman" w:cs="Times New Roman"/>
          <w:sz w:val="26"/>
          <w:szCs w:val="26"/>
          <w:lang w:val="en-US"/>
        </w:rPr>
        <w:t>Higher level of “retailturnover”</w:t>
      </w:r>
      <w:r>
        <w:rPr>
          <w:rFonts w:ascii="Times New Roman" w:hAnsi="Times New Roman" w:cs="Times New Roman"/>
          <w:sz w:val="26"/>
          <w:szCs w:val="26"/>
          <w:lang w:val="en-US"/>
        </w:rPr>
        <w:t xml:space="preserve"> </w:t>
      </w:r>
      <w:r w:rsidR="005E63DC">
        <w:rPr>
          <w:rFonts w:ascii="Times New Roman" w:hAnsi="Times New Roman" w:cs="Times New Roman"/>
          <w:sz w:val="26"/>
          <w:szCs w:val="26"/>
          <w:lang w:val="en-US"/>
        </w:rPr>
        <w:t>and “foodseats”, in turn, could indicate urbanistic profile of a municipal entity and a predisposition to certain life model. Therefore, these factors forms connection of the conflict potential not only materialistically, but also on a deeper profile level of entity, which makes them significant in the context of forecasting.</w:t>
      </w:r>
    </w:p>
    <w:p w:rsidR="00D438EF" w:rsidRDefault="0099371E" w:rsidP="003A2C86">
      <w:pPr>
        <w:spacing w:after="0" w:line="360" w:lineRule="auto"/>
        <w:ind w:left="-567" w:firstLine="567"/>
        <w:jc w:val="both"/>
        <w:rPr>
          <w:rFonts w:ascii="Times New Roman" w:hAnsi="Times New Roman" w:cs="Times New Roman"/>
          <w:sz w:val="26"/>
          <w:szCs w:val="26"/>
          <w:lang w:val="en-US"/>
        </w:rPr>
      </w:pPr>
      <w:r w:rsidRPr="0099371E">
        <w:rPr>
          <w:rFonts w:ascii="Times New Roman" w:hAnsi="Times New Roman" w:cs="Times New Roman"/>
          <w:sz w:val="26"/>
          <w:szCs w:val="26"/>
          <w:lang w:val="en-US"/>
        </w:rPr>
        <w:t>Given the low accuracy of the demographic model, the reported feature importance should be interpreted cautiously. The histogram (see Figure~\ref{dem-sig}) shows that among the most influential features is the proportion of males, particularly in the 20–39 age groups. While men indeed have historically participated in protests in Russia at higher rates than women, recent years show a trend toward greater gender balance.</w:t>
      </w:r>
    </w:p>
    <w:p w:rsidR="000654C4" w:rsidRDefault="000654C4"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Conclusion. </w:t>
      </w:r>
      <w:r w:rsidR="00947DE9">
        <w:rPr>
          <w:rFonts w:ascii="Times New Roman" w:hAnsi="Times New Roman" w:cs="Times New Roman"/>
          <w:sz w:val="26"/>
          <w:szCs w:val="26"/>
          <w:lang w:val="en-US"/>
        </w:rPr>
        <w:t>In the research,</w:t>
      </w:r>
      <w:r w:rsidR="00EF4BB6">
        <w:rPr>
          <w:rFonts w:ascii="Times New Roman" w:hAnsi="Times New Roman" w:cs="Times New Roman"/>
          <w:sz w:val="26"/>
          <w:szCs w:val="26"/>
          <w:lang w:val="en-US"/>
        </w:rPr>
        <w:t xml:space="preserve"> </w:t>
      </w:r>
      <w:r w:rsidR="00947DE9" w:rsidRPr="00947DE9">
        <w:rPr>
          <w:rFonts w:ascii="Times New Roman" w:hAnsi="Times New Roman" w:cs="Times New Roman"/>
          <w:sz w:val="26"/>
          <w:szCs w:val="26"/>
          <w:lang w:val="en-US"/>
        </w:rPr>
        <w:t xml:space="preserve">the socio-economic and demographic environments of municipal entities (districts, cities, and villages) that had experienced </w:t>
      </w:r>
      <w:r w:rsidR="00EF4BB6">
        <w:rPr>
          <w:rFonts w:ascii="Times New Roman" w:hAnsi="Times New Roman" w:cs="Times New Roman"/>
          <w:sz w:val="26"/>
          <w:szCs w:val="26"/>
          <w:lang w:val="en-US"/>
        </w:rPr>
        <w:t xml:space="preserve">famous </w:t>
      </w:r>
      <w:r w:rsidR="00947DE9" w:rsidRPr="00947DE9">
        <w:rPr>
          <w:rFonts w:ascii="Times New Roman" w:hAnsi="Times New Roman" w:cs="Times New Roman"/>
          <w:sz w:val="26"/>
          <w:szCs w:val="26"/>
          <w:lang w:val="en-US"/>
        </w:rPr>
        <w:t>social protests</w:t>
      </w:r>
      <w:r w:rsidR="00EF4BB6">
        <w:rPr>
          <w:rFonts w:ascii="Times New Roman" w:hAnsi="Times New Roman" w:cs="Times New Roman"/>
          <w:sz w:val="26"/>
          <w:szCs w:val="26"/>
          <w:lang w:val="en-US"/>
        </w:rPr>
        <w:t xml:space="preserve"> were examined</w:t>
      </w:r>
      <w:r w:rsidR="00947DE9" w:rsidRPr="00947DE9">
        <w:rPr>
          <w:rFonts w:ascii="Times New Roman" w:hAnsi="Times New Roman" w:cs="Times New Roman"/>
          <w:sz w:val="26"/>
          <w:szCs w:val="26"/>
          <w:lang w:val="en-US"/>
        </w:rPr>
        <w:t>. The conflicts were classified into three groups (ethnic, ecological, and industrial), and certain dependencies were identified, linking the occurrence of specific types of conflict not only to socio-economic conditions</w:t>
      </w:r>
      <w:r w:rsidR="00EF4BB6">
        <w:rPr>
          <w:rFonts w:ascii="Times New Roman" w:hAnsi="Times New Roman" w:cs="Times New Roman"/>
          <w:sz w:val="26"/>
          <w:szCs w:val="26"/>
          <w:lang w:val="en-US"/>
        </w:rPr>
        <w:t>,</w:t>
      </w:r>
      <w:r w:rsidR="00947DE9" w:rsidRPr="00947DE9">
        <w:rPr>
          <w:rFonts w:ascii="Times New Roman" w:hAnsi="Times New Roman" w:cs="Times New Roman"/>
          <w:sz w:val="26"/>
          <w:szCs w:val="26"/>
          <w:lang w:val="en-US"/>
        </w:rPr>
        <w:t xml:space="preserve"> but also to demographic structure (human capital). These findings support the use of both components in assessing similarity to conflict-affected municipal</w:t>
      </w:r>
      <w:r w:rsidR="00EF4BB6">
        <w:rPr>
          <w:rFonts w:ascii="Times New Roman" w:hAnsi="Times New Roman" w:cs="Times New Roman"/>
          <w:sz w:val="26"/>
          <w:szCs w:val="26"/>
          <w:lang w:val="en-US"/>
        </w:rPr>
        <w:t xml:space="preserve"> entities in the context of</w:t>
      </w:r>
      <w:r w:rsidR="00947DE9" w:rsidRPr="00947DE9">
        <w:rPr>
          <w:rFonts w:ascii="Times New Roman" w:hAnsi="Times New Roman" w:cs="Times New Roman"/>
          <w:sz w:val="26"/>
          <w:szCs w:val="26"/>
          <w:lang w:val="en-US"/>
        </w:rPr>
        <w:t xml:space="preserve"> the hypothesis that a high degree of similarity between two entities makes it reasonable to expect a comparable social response to the same trigger.</w:t>
      </w:r>
    </w:p>
    <w:p w:rsidR="00227B8D" w:rsidRDefault="00227B8D" w:rsidP="00227B8D">
      <w:pPr>
        <w:spacing w:after="0" w:line="360" w:lineRule="auto"/>
        <w:ind w:left="-567" w:firstLine="567"/>
        <w:jc w:val="both"/>
        <w:rPr>
          <w:rFonts w:ascii="Times New Roman" w:hAnsi="Times New Roman" w:cs="Times New Roman"/>
          <w:sz w:val="26"/>
          <w:szCs w:val="26"/>
          <w:lang w:val="en-US"/>
        </w:rPr>
      </w:pPr>
      <w:r w:rsidRPr="00227B8D">
        <w:rPr>
          <w:rFonts w:ascii="Times New Roman" w:hAnsi="Times New Roman" w:cs="Times New Roman"/>
          <w:sz w:val="26"/>
          <w:szCs w:val="26"/>
          <w:lang w:val="en-US"/>
        </w:rPr>
        <w:t>For similarity assessment, metric (4) was proposed and proved adequate in the analysis. Its adequacy was primarily confirmed by the observation that, when applied to a given municipal entity across the dataset, the highest similarity was typically with the same entity in different years and with neighboring municipalities. The metric was evaluated in the context of the proposed hypothesis. In particular, the similarity assessment for a specific conflict-affected case (Krasnoarmeysky District) provided evidence in favor of the hypothesis, since the most similar municipal entities demonstrated not only high social activity, but also a comparable reaction to the same stimulus.</w:t>
      </w:r>
    </w:p>
    <w:p w:rsidR="00FC0A4E" w:rsidRDefault="00FC0A4E" w:rsidP="00227B8D">
      <w:pPr>
        <w:spacing w:after="0" w:line="360" w:lineRule="auto"/>
        <w:ind w:left="-567" w:firstLine="567"/>
        <w:jc w:val="both"/>
        <w:rPr>
          <w:rFonts w:ascii="Times New Roman" w:hAnsi="Times New Roman" w:cs="Times New Roman"/>
          <w:sz w:val="26"/>
          <w:szCs w:val="26"/>
          <w:lang w:val="en-US"/>
        </w:rPr>
      </w:pPr>
      <w:r w:rsidRPr="00FC0A4E">
        <w:rPr>
          <w:rFonts w:ascii="Times New Roman" w:hAnsi="Times New Roman" w:cs="Times New Roman"/>
          <w:sz w:val="26"/>
          <w:szCs w:val="26"/>
          <w:lang w:val="en-US"/>
        </w:rPr>
        <w:t xml:space="preserve">The </w:t>
      </w:r>
      <w:r w:rsidRPr="00227B8D">
        <w:rPr>
          <w:rFonts w:ascii="Times New Roman" w:hAnsi="Times New Roman" w:cs="Times New Roman"/>
          <w:sz w:val="26"/>
          <w:szCs w:val="26"/>
          <w:lang w:val="en-US"/>
        </w:rPr>
        <w:t>adequacy</w:t>
      </w:r>
      <w:r>
        <w:rPr>
          <w:rFonts w:ascii="Times New Roman" w:hAnsi="Times New Roman" w:cs="Times New Roman"/>
          <w:sz w:val="26"/>
          <w:szCs w:val="26"/>
          <w:lang w:val="en-US"/>
        </w:rPr>
        <w:t xml:space="preserve"> of the metric</w:t>
      </w:r>
      <w:r w:rsidRPr="00FC0A4E">
        <w:rPr>
          <w:rFonts w:ascii="Times New Roman" w:hAnsi="Times New Roman" w:cs="Times New Roman"/>
          <w:sz w:val="26"/>
          <w:szCs w:val="26"/>
          <w:lang w:val="en-US"/>
        </w:rPr>
        <w:t xml:space="preserve"> made it possible to propose a </w:t>
      </w:r>
      <w:r>
        <w:rPr>
          <w:rFonts w:ascii="Times New Roman" w:hAnsi="Times New Roman" w:cs="Times New Roman"/>
          <w:sz w:val="26"/>
          <w:szCs w:val="26"/>
          <w:lang w:val="en-US"/>
        </w:rPr>
        <w:t>method</w:t>
      </w:r>
      <w:r w:rsidRPr="00FC0A4E">
        <w:rPr>
          <w:rFonts w:ascii="Times New Roman" w:hAnsi="Times New Roman" w:cs="Times New Roman"/>
          <w:sz w:val="26"/>
          <w:szCs w:val="26"/>
          <w:lang w:val="en-US"/>
        </w:rPr>
        <w:t xml:space="preserve"> that uses the entire set of conflict ca</w:t>
      </w:r>
      <w:r>
        <w:rPr>
          <w:rFonts w:ascii="Times New Roman" w:hAnsi="Times New Roman" w:cs="Times New Roman"/>
          <w:sz w:val="26"/>
          <w:szCs w:val="26"/>
          <w:lang w:val="en-US"/>
        </w:rPr>
        <w:t>ses to calculate an overall potential score for</w:t>
      </w:r>
      <w:r w:rsidRPr="00FC0A4E">
        <w:rPr>
          <w:rFonts w:ascii="Times New Roman" w:hAnsi="Times New Roman" w:cs="Times New Roman"/>
          <w:sz w:val="26"/>
          <w:szCs w:val="26"/>
          <w:lang w:val="en-US"/>
        </w:rPr>
        <w:t xml:space="preserve"> social risk</w:t>
      </w:r>
      <w:r>
        <w:rPr>
          <w:rFonts w:ascii="Times New Roman" w:hAnsi="Times New Roman" w:cs="Times New Roman"/>
          <w:sz w:val="26"/>
          <w:szCs w:val="26"/>
          <w:lang w:val="en-US"/>
        </w:rPr>
        <w:t xml:space="preserve"> (protest, conflict)</w:t>
      </w:r>
      <w:r w:rsidRPr="00FC0A4E">
        <w:rPr>
          <w:rFonts w:ascii="Times New Roman" w:hAnsi="Times New Roman" w:cs="Times New Roman"/>
          <w:sz w:val="26"/>
          <w:szCs w:val="26"/>
          <w:lang w:val="en-US"/>
        </w:rPr>
        <w:t xml:space="preserve">. Under the assumption that the proposed hypothesis is valid, similarity to a </w:t>
      </w:r>
      <w:r>
        <w:rPr>
          <w:rFonts w:ascii="Times New Roman" w:hAnsi="Times New Roman" w:cs="Times New Roman"/>
          <w:sz w:val="26"/>
          <w:szCs w:val="26"/>
          <w:lang w:val="en-US"/>
        </w:rPr>
        <w:t>several</w:t>
      </w:r>
      <w:r w:rsidRPr="00FC0A4E">
        <w:rPr>
          <w:rFonts w:ascii="Times New Roman" w:hAnsi="Times New Roman" w:cs="Times New Roman"/>
          <w:sz w:val="26"/>
          <w:szCs w:val="26"/>
          <w:lang w:val="en-US"/>
        </w:rPr>
        <w:t xml:space="preserve"> conflict cases can serve as an indicator of social tension and/or h</w:t>
      </w:r>
      <w:r>
        <w:rPr>
          <w:rFonts w:ascii="Times New Roman" w:hAnsi="Times New Roman" w:cs="Times New Roman"/>
          <w:sz w:val="26"/>
          <w:szCs w:val="26"/>
          <w:lang w:val="en-US"/>
        </w:rPr>
        <w:t>igher</w:t>
      </w:r>
      <w:r w:rsidRPr="00FC0A4E">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social </w:t>
      </w:r>
      <w:r w:rsidRPr="00FC0A4E">
        <w:rPr>
          <w:rFonts w:ascii="Times New Roman" w:hAnsi="Times New Roman" w:cs="Times New Roman"/>
          <w:sz w:val="26"/>
          <w:szCs w:val="26"/>
          <w:lang w:val="en-US"/>
        </w:rPr>
        <w:t xml:space="preserve">activity. The developed ranking method </w:t>
      </w:r>
      <w:r w:rsidRPr="00FC0A4E">
        <w:rPr>
          <w:rFonts w:ascii="Times New Roman" w:hAnsi="Times New Roman" w:cs="Times New Roman"/>
          <w:sz w:val="26"/>
          <w:szCs w:val="26"/>
          <w:lang w:val="en-US"/>
        </w:rPr>
        <w:lastRenderedPageBreak/>
        <w:t xml:space="preserve">indeed allowed the </w:t>
      </w:r>
      <w:r>
        <w:rPr>
          <w:rFonts w:ascii="Times New Roman" w:hAnsi="Times New Roman" w:cs="Times New Roman"/>
          <w:sz w:val="26"/>
          <w:szCs w:val="26"/>
          <w:lang w:val="en-US"/>
        </w:rPr>
        <w:t>identification of municipal entities</w:t>
      </w:r>
      <w:r w:rsidRPr="00FC0A4E">
        <w:rPr>
          <w:rFonts w:ascii="Times New Roman" w:hAnsi="Times New Roman" w:cs="Times New Roman"/>
          <w:sz w:val="26"/>
          <w:szCs w:val="26"/>
          <w:lang w:val="en-US"/>
        </w:rPr>
        <w:t xml:space="preserve"> showing similarity to multiple conflict cases simultaneously. Detailed analysis of these </w:t>
      </w:r>
      <w:r>
        <w:rPr>
          <w:rFonts w:ascii="Times New Roman" w:hAnsi="Times New Roman" w:cs="Times New Roman"/>
          <w:sz w:val="26"/>
          <w:szCs w:val="26"/>
          <w:lang w:val="en-US"/>
        </w:rPr>
        <w:t>municipal entities</w:t>
      </w:r>
      <w:r w:rsidRPr="00FC0A4E">
        <w:rPr>
          <w:rFonts w:ascii="Times New Roman" w:hAnsi="Times New Roman" w:cs="Times New Roman"/>
          <w:sz w:val="26"/>
          <w:szCs w:val="26"/>
          <w:lang w:val="en-US"/>
        </w:rPr>
        <w:t xml:space="preserve"> revealed various significant social conflicts that</w:t>
      </w:r>
      <w:r>
        <w:rPr>
          <w:rFonts w:ascii="Times New Roman" w:hAnsi="Times New Roman" w:cs="Times New Roman"/>
          <w:sz w:val="26"/>
          <w:szCs w:val="26"/>
          <w:lang w:val="en-US"/>
        </w:rPr>
        <w:t xml:space="preserve"> </w:t>
      </w:r>
      <w:r w:rsidRPr="00FC0A4E">
        <w:rPr>
          <w:rFonts w:ascii="Times New Roman" w:hAnsi="Times New Roman" w:cs="Times New Roman"/>
          <w:sz w:val="26"/>
          <w:szCs w:val="26"/>
          <w:lang w:val="en-US"/>
        </w:rPr>
        <w:t xml:space="preserve">had not received wide coverage in the media. Additionally, the study conducted a preliminary investigation into the use of machine learning to determine the </w:t>
      </w:r>
      <w:r>
        <w:rPr>
          <w:rFonts w:ascii="Times New Roman" w:hAnsi="Times New Roman" w:cs="Times New Roman"/>
          <w:sz w:val="26"/>
          <w:szCs w:val="26"/>
          <w:lang w:val="en-US"/>
        </w:rPr>
        <w:t>feature importance</w:t>
      </w:r>
      <w:r w:rsidRPr="00FC0A4E">
        <w:rPr>
          <w:rFonts w:ascii="Times New Roman" w:hAnsi="Times New Roman" w:cs="Times New Roman"/>
          <w:sz w:val="26"/>
          <w:szCs w:val="26"/>
          <w:lang w:val="en-US"/>
        </w:rPr>
        <w:t xml:space="preserve"> and to forecast the dynamics of potential for social conflict.</w:t>
      </w:r>
    </w:p>
    <w:p w:rsidR="001D183E" w:rsidRPr="001D183E" w:rsidRDefault="001D183E" w:rsidP="001D183E">
      <w:pPr>
        <w:spacing w:after="0" w:line="360" w:lineRule="auto"/>
        <w:ind w:left="-567" w:firstLine="567"/>
        <w:jc w:val="both"/>
        <w:rPr>
          <w:rFonts w:ascii="Times New Roman" w:hAnsi="Times New Roman" w:cs="Times New Roman"/>
          <w:sz w:val="26"/>
          <w:szCs w:val="26"/>
          <w:lang w:val="en-US"/>
        </w:rPr>
      </w:pPr>
      <w:r w:rsidRPr="001D183E">
        <w:rPr>
          <w:rFonts w:ascii="Times New Roman" w:hAnsi="Times New Roman" w:cs="Times New Roman"/>
          <w:sz w:val="26"/>
          <w:szCs w:val="26"/>
          <w:lang w:val="en-US"/>
        </w:rPr>
        <w:t>The proposed methodology, based on city-to-city similarity, can serve as an additional tool for urban planning and policy decision-making, as well as in the theoretical study of social protests as phenomena.</w:t>
      </w: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Are land use conflicts a barrier to sustainable city development? Evidence from Chattogram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r w:rsidRPr="000C3B89">
        <w:rPr>
          <w:rFonts w:ascii="Times New Roman" w:hAnsi="Times New Roman" w:cs="Times New Roman"/>
          <w:sz w:val="24"/>
          <w:szCs w:val="24"/>
          <w:lang w:val="en-US"/>
        </w:rPr>
        <w:t>Davydov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Pr="00661234">
        <w:rPr>
          <w:rFonts w:ascii="Times New Roman" w:hAnsi="Times New Roman" w:cs="Times New Roman"/>
          <w:sz w:val="24"/>
          <w:szCs w:val="24"/>
          <w:lang w:val="en-US"/>
        </w:rPr>
        <w:t>Petrovskii S, Shishlenin M, GlukhovA (2025) Understanding stre</w:t>
      </w:r>
      <w:r>
        <w:rPr>
          <w:rFonts w:ascii="Times New Roman" w:hAnsi="Times New Roman" w:cs="Times New Roman"/>
          <w:sz w:val="24"/>
          <w:szCs w:val="24"/>
          <w:lang w:val="en-US"/>
        </w:rPr>
        <w:t xml:space="preserve">et protests: from amathematical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PLoS ONE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r w:rsidRPr="000C2D48">
        <w:rPr>
          <w:rFonts w:ascii="Times New Roman" w:hAnsi="Times New Roman" w:cs="Times New Roman"/>
          <w:sz w:val="24"/>
          <w:szCs w:val="24"/>
          <w:lang w:val="en-US"/>
        </w:rPr>
        <w:t xml:space="preserve">Nicula, Alexandru-Sabin and Cretan, Remus and Simionescu, Mihaela and Oancea, Bogdan and Dragan, Alexandru, The City as Stage: Labour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[10] </w:t>
      </w:r>
      <w:r w:rsidRPr="00B255F5">
        <w:rPr>
          <w:rFonts w:ascii="Times New Roman" w:hAnsi="Times New Roman" w:cs="Times New Roman"/>
          <w:sz w:val="24"/>
          <w:szCs w:val="24"/>
          <w:lang w:val="en-US"/>
        </w:rPr>
        <w:t>Iyda, J.J., Geetha, P. An improved deep belief neural network based civil unrest event forecasting in twitter. Appl Intell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r w:rsidRPr="00B255F5">
        <w:rPr>
          <w:rFonts w:ascii="Times New Roman" w:hAnsi="Times New Roman" w:cs="Times New Roman"/>
          <w:sz w:val="26"/>
          <w:szCs w:val="26"/>
          <w:lang w:val="en-US"/>
        </w:rPr>
        <w:t xml:space="preserve">Korkmaz, G., Cadena, J., Kuhlman, C.J. et al. Multi-source models for civil unrest forecasting. Soc. Netw.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[12] Korotayev,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r w:rsidRPr="00B442FE">
        <w:rPr>
          <w:rFonts w:ascii="Arial" w:hAnsi="Arial" w:cs="Arial"/>
          <w:color w:val="333333"/>
          <w:shd w:val="clear" w:color="auto" w:fill="FFFFFF"/>
          <w:lang w:val="en-US"/>
        </w:rPr>
        <w:t>Azedi, A. (2024). From shared grievances to collective action: A multilevel study of economic adversity and protest. </w:t>
      </w:r>
      <w:r>
        <w:rPr>
          <w:rFonts w:ascii="Arial" w:hAnsi="Arial" w:cs="Arial"/>
          <w:i/>
          <w:iCs/>
          <w:color w:val="333333"/>
          <w:shd w:val="clear" w:color="auto" w:fill="FFFFFF"/>
        </w:rPr>
        <w:t>International Sociology</w:t>
      </w:r>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(Original work published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14A0C"/>
    <w:rsid w:val="00031D72"/>
    <w:rsid w:val="000453DD"/>
    <w:rsid w:val="000654C4"/>
    <w:rsid w:val="00077998"/>
    <w:rsid w:val="00080E2A"/>
    <w:rsid w:val="00087810"/>
    <w:rsid w:val="000C085B"/>
    <w:rsid w:val="000D6590"/>
    <w:rsid w:val="000E3909"/>
    <w:rsid w:val="000E4FE1"/>
    <w:rsid w:val="000F65D7"/>
    <w:rsid w:val="001218F1"/>
    <w:rsid w:val="00124AC9"/>
    <w:rsid w:val="00127DA8"/>
    <w:rsid w:val="0017063E"/>
    <w:rsid w:val="001756F6"/>
    <w:rsid w:val="00191314"/>
    <w:rsid w:val="001D183E"/>
    <w:rsid w:val="001E07C8"/>
    <w:rsid w:val="00210415"/>
    <w:rsid w:val="00217916"/>
    <w:rsid w:val="00224E7C"/>
    <w:rsid w:val="00225409"/>
    <w:rsid w:val="00227B8D"/>
    <w:rsid w:val="00242B71"/>
    <w:rsid w:val="0028427F"/>
    <w:rsid w:val="002B772D"/>
    <w:rsid w:val="002E00EA"/>
    <w:rsid w:val="0035481D"/>
    <w:rsid w:val="00360E64"/>
    <w:rsid w:val="00360F8D"/>
    <w:rsid w:val="00372112"/>
    <w:rsid w:val="00374151"/>
    <w:rsid w:val="0038534E"/>
    <w:rsid w:val="003A21F5"/>
    <w:rsid w:val="003A2C86"/>
    <w:rsid w:val="003D49C8"/>
    <w:rsid w:val="003D7CEC"/>
    <w:rsid w:val="00415C1B"/>
    <w:rsid w:val="00420969"/>
    <w:rsid w:val="00425827"/>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E63DC"/>
    <w:rsid w:val="005F138D"/>
    <w:rsid w:val="005F44EC"/>
    <w:rsid w:val="00625BCB"/>
    <w:rsid w:val="006318CA"/>
    <w:rsid w:val="006544FB"/>
    <w:rsid w:val="006B469D"/>
    <w:rsid w:val="006C49B7"/>
    <w:rsid w:val="006E4BE6"/>
    <w:rsid w:val="007014A9"/>
    <w:rsid w:val="00704843"/>
    <w:rsid w:val="00751BDE"/>
    <w:rsid w:val="00757844"/>
    <w:rsid w:val="00790136"/>
    <w:rsid w:val="007D2C8E"/>
    <w:rsid w:val="007E5566"/>
    <w:rsid w:val="007E7963"/>
    <w:rsid w:val="00811E07"/>
    <w:rsid w:val="008368EF"/>
    <w:rsid w:val="00852ED3"/>
    <w:rsid w:val="00860859"/>
    <w:rsid w:val="008678E6"/>
    <w:rsid w:val="008773EC"/>
    <w:rsid w:val="00883FA3"/>
    <w:rsid w:val="00886BE6"/>
    <w:rsid w:val="00887346"/>
    <w:rsid w:val="00900119"/>
    <w:rsid w:val="009038BF"/>
    <w:rsid w:val="00925B7A"/>
    <w:rsid w:val="00926B29"/>
    <w:rsid w:val="00944594"/>
    <w:rsid w:val="00947DE9"/>
    <w:rsid w:val="0095048C"/>
    <w:rsid w:val="0099371E"/>
    <w:rsid w:val="009B2979"/>
    <w:rsid w:val="009C1905"/>
    <w:rsid w:val="009E50A2"/>
    <w:rsid w:val="009F47A8"/>
    <w:rsid w:val="00A04EEF"/>
    <w:rsid w:val="00A208DE"/>
    <w:rsid w:val="00A34A1F"/>
    <w:rsid w:val="00A53A9D"/>
    <w:rsid w:val="00A56C58"/>
    <w:rsid w:val="00A71B60"/>
    <w:rsid w:val="00A726A9"/>
    <w:rsid w:val="00A906F6"/>
    <w:rsid w:val="00A95786"/>
    <w:rsid w:val="00AA2389"/>
    <w:rsid w:val="00AC18F3"/>
    <w:rsid w:val="00AC30D9"/>
    <w:rsid w:val="00AD1F37"/>
    <w:rsid w:val="00AE5D74"/>
    <w:rsid w:val="00AF14FC"/>
    <w:rsid w:val="00AF1857"/>
    <w:rsid w:val="00AF568D"/>
    <w:rsid w:val="00B075A9"/>
    <w:rsid w:val="00B119E8"/>
    <w:rsid w:val="00B17AAF"/>
    <w:rsid w:val="00B369EE"/>
    <w:rsid w:val="00B442FE"/>
    <w:rsid w:val="00B57115"/>
    <w:rsid w:val="00B64852"/>
    <w:rsid w:val="00B87A7A"/>
    <w:rsid w:val="00B91AD8"/>
    <w:rsid w:val="00C073A8"/>
    <w:rsid w:val="00C14A20"/>
    <w:rsid w:val="00C2639C"/>
    <w:rsid w:val="00C520E0"/>
    <w:rsid w:val="00C9078E"/>
    <w:rsid w:val="00CA27CA"/>
    <w:rsid w:val="00CA4952"/>
    <w:rsid w:val="00CA6E7A"/>
    <w:rsid w:val="00CE7619"/>
    <w:rsid w:val="00CF75C1"/>
    <w:rsid w:val="00D15B3E"/>
    <w:rsid w:val="00D30345"/>
    <w:rsid w:val="00D438EF"/>
    <w:rsid w:val="00D65CAA"/>
    <w:rsid w:val="00DA76D9"/>
    <w:rsid w:val="00DB68AD"/>
    <w:rsid w:val="00DC5A08"/>
    <w:rsid w:val="00DD5E60"/>
    <w:rsid w:val="00E12EC1"/>
    <w:rsid w:val="00E13BCB"/>
    <w:rsid w:val="00E2252C"/>
    <w:rsid w:val="00E87348"/>
    <w:rsid w:val="00E90795"/>
    <w:rsid w:val="00E975D0"/>
    <w:rsid w:val="00EA372D"/>
    <w:rsid w:val="00EA719E"/>
    <w:rsid w:val="00ED1017"/>
    <w:rsid w:val="00ED3308"/>
    <w:rsid w:val="00EF4BB6"/>
    <w:rsid w:val="00F02234"/>
    <w:rsid w:val="00F20BC7"/>
    <w:rsid w:val="00F513EA"/>
    <w:rsid w:val="00F51B59"/>
    <w:rsid w:val="00F55597"/>
    <w:rsid w:val="00FA7FE1"/>
    <w:rsid w:val="00FC0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157F4"/>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2977</TotalTime>
  <Pages>16</Pages>
  <Words>5606</Words>
  <Characters>31960</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54</cp:revision>
  <dcterms:created xsi:type="dcterms:W3CDTF">2025-09-10T07:03:00Z</dcterms:created>
  <dcterms:modified xsi:type="dcterms:W3CDTF">2025-10-06T10:21:00Z</dcterms:modified>
</cp:coreProperties>
</file>