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не только социально-экономического состояния, но и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5332CA" w:rsidRPr="006E7638" w:rsidRDefault="005332CA" w:rsidP="006E7638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Несмотря на эволюцию протестов с точки зрения их мотивов (уход от чисто материалистических побуждений), значимость социально-экономических факторов до сих пор остаётся под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весомым вниманием - </w:t>
      </w:r>
      <w:r w:rsidRPr="005332CA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Pr="005332C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Pr="005332CA">
        <w:rPr>
          <w:rFonts w:ascii="Times New Roman" w:hAnsi="Times New Roman" w:cs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332CA">
        <w:rPr>
          <w:rFonts w:ascii="Times New Roman" w:hAnsi="Times New Roman" w:cs="Times New Roman"/>
          <w:sz w:val="26"/>
          <w:szCs w:val="26"/>
        </w:rPr>
        <w:t>[12</w:t>
      </w:r>
      <w:r w:rsidR="006E7638" w:rsidRPr="006E7638">
        <w:rPr>
          <w:rFonts w:ascii="Times New Roman" w:hAnsi="Times New Roman" w:cs="Times New Roman"/>
          <w:sz w:val="26"/>
          <w:szCs w:val="26"/>
        </w:rPr>
        <w:t>, 13</w:t>
      </w:r>
      <w:r w:rsidRPr="005332CA">
        <w:rPr>
          <w:rFonts w:ascii="Times New Roman" w:hAnsi="Times New Roman" w:cs="Times New Roman"/>
          <w:sz w:val="26"/>
          <w:szCs w:val="26"/>
        </w:rPr>
        <w:t xml:space="preserve">]. </w:t>
      </w:r>
      <w:r>
        <w:rPr>
          <w:rFonts w:ascii="Times New Roman" w:hAnsi="Times New Roman" w:cs="Times New Roman"/>
          <w:sz w:val="26"/>
          <w:szCs w:val="26"/>
        </w:rPr>
        <w:t xml:space="preserve">Так, в исследовании </w:t>
      </w:r>
      <w:r w:rsidRPr="005332CA">
        <w:rPr>
          <w:rFonts w:ascii="Times New Roman" w:hAnsi="Times New Roman" w:cs="Times New Roman"/>
          <w:sz w:val="26"/>
          <w:szCs w:val="26"/>
        </w:rPr>
        <w:t xml:space="preserve">[12]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рассматривается корреляция между ВВП и протестной активностью. </w:t>
      </w:r>
      <w:r w:rsidR="006E7638">
        <w:rPr>
          <w:rFonts w:ascii="Times New Roman" w:hAnsi="Times New Roman" w:cs="Times New Roman"/>
          <w:sz w:val="26"/>
          <w:szCs w:val="26"/>
        </w:rPr>
        <w:t xml:space="preserve">Работа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исследует корреляции между социально-экономическим состоянием общим и индивидуальным (респондентов) с готовностью их участия в протестах. В работе </w:t>
      </w:r>
      <w:r w:rsidR="006E7638" w:rsidRPr="006E7638">
        <w:rPr>
          <w:rFonts w:ascii="Times New Roman" w:hAnsi="Times New Roman" w:cs="Times New Roman"/>
          <w:sz w:val="26"/>
          <w:szCs w:val="26"/>
        </w:rPr>
        <w:t xml:space="preserve">[13] </w:t>
      </w:r>
      <w:r w:rsidR="006E7638">
        <w:rPr>
          <w:rFonts w:ascii="Times New Roman" w:hAnsi="Times New Roman" w:cs="Times New Roman"/>
          <w:sz w:val="26"/>
          <w:szCs w:val="26"/>
        </w:rPr>
        <w:t xml:space="preserve">находятся подтверждения гипотезы о большем влиянии общей депрессивности, нежели индивидуальной. Такой вывод поддерживает текущее исследование, поскольку оценка похожести МО - это не столько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misery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, сколько про </w:t>
      </w:r>
      <w:r w:rsidR="006E7638" w:rsidRPr="005332CA">
        <w:rPr>
          <w:rFonts w:ascii="Times New Roman" w:hAnsi="Times New Roman" w:cs="Times New Roman"/>
          <w:sz w:val="26"/>
          <w:szCs w:val="26"/>
        </w:rPr>
        <w:t>“</w:t>
      </w:r>
      <w:r w:rsidR="006E7638" w:rsidRPr="006E7638">
        <w:t xml:space="preserve"> </w:t>
      </w:r>
      <w:r w:rsidR="006E7638" w:rsidRPr="006E7638">
        <w:rPr>
          <w:rFonts w:ascii="Times New Roman" w:hAnsi="Times New Roman" w:cs="Times New Roman"/>
          <w:sz w:val="26"/>
          <w:szCs w:val="26"/>
          <w:lang w:val="en-US"/>
        </w:rPr>
        <w:t>environment</w:t>
      </w:r>
      <w:r w:rsidR="006E7638" w:rsidRPr="005332CA">
        <w:rPr>
          <w:rFonts w:ascii="Times New Roman" w:hAnsi="Times New Roman" w:cs="Times New Roman"/>
          <w:sz w:val="26"/>
          <w:szCs w:val="26"/>
        </w:rPr>
        <w:t xml:space="preserve"> </w:t>
      </w:r>
      <w:r w:rsidR="006E7638">
        <w:rPr>
          <w:rFonts w:ascii="Times New Roman" w:hAnsi="Times New Roman" w:cs="Times New Roman"/>
          <w:sz w:val="26"/>
          <w:szCs w:val="26"/>
          <w:lang w:val="en-US"/>
        </w:rPr>
        <w:t>matters</w:t>
      </w:r>
      <w:r w:rsidR="006E7638" w:rsidRPr="005332CA">
        <w:rPr>
          <w:rFonts w:ascii="Times New Roman" w:hAnsi="Times New Roman" w:cs="Times New Roman"/>
          <w:sz w:val="26"/>
          <w:szCs w:val="26"/>
        </w:rPr>
        <w:t>”</w:t>
      </w:r>
      <w:r w:rsidR="006E7638">
        <w:rPr>
          <w:rFonts w:ascii="Times New Roman" w:hAnsi="Times New Roman" w:cs="Times New Roman"/>
          <w:sz w:val="26"/>
          <w:szCs w:val="26"/>
        </w:rPr>
        <w:t xml:space="preserve">. В рамках исследования предлагается </w:t>
      </w:r>
      <w:proofErr w:type="gramStart"/>
      <w:r w:rsidR="006E7638">
        <w:rPr>
          <w:rFonts w:ascii="Times New Roman" w:hAnsi="Times New Roman" w:cs="Times New Roman"/>
          <w:sz w:val="26"/>
          <w:szCs w:val="26"/>
        </w:rPr>
        <w:t>подход</w:t>
      </w:r>
      <w:proofErr w:type="gramEnd"/>
      <w:r w:rsidR="006E7638">
        <w:rPr>
          <w:rFonts w:ascii="Times New Roman" w:hAnsi="Times New Roman" w:cs="Times New Roman"/>
          <w:sz w:val="26"/>
          <w:szCs w:val="26"/>
        </w:rPr>
        <w:t xml:space="preserve"> оторванный от субъективных данных, оценивающий похожесть не только по социально-экономическим индикаторам, но и демографической структуры (человеческий капитал).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083C57" w:rsidRPr="00622848" w:rsidRDefault="00622848" w:rsidP="00083C57">
      <w:pPr>
        <w:pStyle w:val="a5"/>
        <w:spacing w:before="0" w:beforeAutospacing="0" w:after="160" w:afterAutospacing="0" w:line="360" w:lineRule="auto"/>
        <w:ind w:left="-567" w:firstLine="567"/>
        <w:jc w:val="both"/>
        <w:rPr>
          <w:sz w:val="26"/>
          <w:szCs w:val="26"/>
        </w:rPr>
      </w:pPr>
      <w:r>
        <w:rPr>
          <w:sz w:val="26"/>
          <w:szCs w:val="26"/>
        </w:rPr>
        <w:t>Отобранные социально-экономические индикаторы представлены таблице 1.</w:t>
      </w:r>
      <w:r w:rsidR="00083C57" w:rsidRPr="00622848">
        <w:rPr>
          <w:sz w:val="26"/>
          <w:szCs w:val="26"/>
        </w:rPr>
        <w:t xml:space="preserve"> </w:t>
      </w:r>
      <w:r>
        <w:rPr>
          <w:sz w:val="26"/>
          <w:szCs w:val="26"/>
        </w:rPr>
        <w:t>Этот набор факторов был выбран исходя из опыта их использования в задаче прогнозирования миграции, где была продемонстрирована их результативность. Таким образом, эти факторы позволяют адекватно оценивать социально-экономическое состояние муниципального образования.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1. Average number of employers in organizations - </w:t>
      </w:r>
      <w:proofErr w:type="spellStart"/>
      <w:r w:rsidRPr="00083C57">
        <w:rPr>
          <w:sz w:val="26"/>
          <w:szCs w:val="26"/>
          <w:lang w:val="en-US"/>
        </w:rPr>
        <w:t>avgemployers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ppl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2. Average salary - </w:t>
      </w:r>
      <w:proofErr w:type="spellStart"/>
      <w:r w:rsidRPr="00083C57">
        <w:rPr>
          <w:sz w:val="26"/>
          <w:szCs w:val="26"/>
          <w:lang w:val="en-US"/>
        </w:rPr>
        <w:t>avgsalary</w:t>
      </w:r>
      <w:proofErr w:type="spellEnd"/>
      <w:r w:rsidRPr="00083C57">
        <w:rPr>
          <w:sz w:val="26"/>
          <w:szCs w:val="26"/>
          <w:lang w:val="en-US"/>
        </w:rPr>
        <w:t xml:space="preserve"> (rub.)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3. Shopping area - </w:t>
      </w:r>
      <w:proofErr w:type="spellStart"/>
      <w:r w:rsidRPr="00083C57">
        <w:rPr>
          <w:sz w:val="26"/>
          <w:szCs w:val="26"/>
          <w:lang w:val="en-US"/>
        </w:rPr>
        <w:t>shoparea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4. Number of seats in café, bars and restaurants - </w:t>
      </w:r>
      <w:proofErr w:type="spellStart"/>
      <w:r w:rsidRPr="00083C57">
        <w:rPr>
          <w:sz w:val="26"/>
          <w:szCs w:val="26"/>
          <w:lang w:val="en-US"/>
        </w:rPr>
        <w:t>foodseats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5. Retail turnover - </w:t>
      </w:r>
      <w:proofErr w:type="spellStart"/>
      <w:r w:rsidRPr="00083C57">
        <w:rPr>
          <w:sz w:val="26"/>
          <w:szCs w:val="26"/>
          <w:lang w:val="en-US"/>
        </w:rPr>
        <w:t>retailturnover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lastRenderedPageBreak/>
        <w:t xml:space="preserve">6. Live area per capita - </w:t>
      </w:r>
      <w:proofErr w:type="spellStart"/>
      <w:r w:rsidRPr="00083C57">
        <w:rPr>
          <w:sz w:val="26"/>
          <w:szCs w:val="26"/>
          <w:lang w:val="en-US"/>
        </w:rPr>
        <w:t>livarea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sq.m</w:t>
      </w:r>
      <w:proofErr w:type="spellEnd"/>
      <w:r w:rsidRPr="00083C57">
        <w:rPr>
          <w:sz w:val="26"/>
          <w:szCs w:val="26"/>
          <w:lang w:val="en-US"/>
        </w:rPr>
        <w:t>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7. Number of sporting venues - </w:t>
      </w:r>
      <w:proofErr w:type="spellStart"/>
      <w:r w:rsidRPr="00083C57">
        <w:rPr>
          <w:sz w:val="26"/>
          <w:szCs w:val="26"/>
          <w:lang w:val="en-US"/>
        </w:rPr>
        <w:t>sportsvenue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8. Number of services (barbershops, repairs) - </w:t>
      </w:r>
      <w:proofErr w:type="spellStart"/>
      <w:r w:rsidRPr="00083C57">
        <w:rPr>
          <w:sz w:val="26"/>
          <w:szCs w:val="26"/>
          <w:lang w:val="en-US"/>
        </w:rPr>
        <w:t>servicesnum</w:t>
      </w:r>
      <w:proofErr w:type="spellEnd"/>
      <w:r w:rsidRPr="00083C57">
        <w:rPr>
          <w:sz w:val="26"/>
          <w:szCs w:val="26"/>
          <w:lang w:val="en-US"/>
        </w:rPr>
        <w:t xml:space="preserve">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9. Length of roads - </w:t>
      </w:r>
      <w:proofErr w:type="spellStart"/>
      <w:r w:rsidRPr="00083C57">
        <w:rPr>
          <w:sz w:val="26"/>
          <w:szCs w:val="26"/>
          <w:lang w:val="en-US"/>
        </w:rPr>
        <w:t>roadslen</w:t>
      </w:r>
      <w:proofErr w:type="spellEnd"/>
      <w:r w:rsidRPr="00083C57">
        <w:rPr>
          <w:sz w:val="26"/>
          <w:szCs w:val="26"/>
          <w:lang w:val="en-US"/>
        </w:rPr>
        <w:t xml:space="preserve"> (km.)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10. Number of livestock - livestock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11. Productivity of land (vegetables) - harvest (</w:t>
      </w:r>
      <w:proofErr w:type="spellStart"/>
      <w:r w:rsidRPr="00083C57">
        <w:rPr>
          <w:sz w:val="26"/>
          <w:szCs w:val="26"/>
          <w:lang w:val="en-US"/>
        </w:rPr>
        <w:t>centners</w:t>
      </w:r>
      <w:proofErr w:type="spellEnd"/>
      <w:r w:rsidRPr="00083C57">
        <w:rPr>
          <w:sz w:val="26"/>
          <w:szCs w:val="26"/>
          <w:lang w:val="en-US"/>
        </w:rPr>
        <w:t>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12. Agricultural production - </w:t>
      </w:r>
      <w:proofErr w:type="spellStart"/>
      <w:r w:rsidRPr="00083C57">
        <w:rPr>
          <w:sz w:val="26"/>
          <w:szCs w:val="26"/>
          <w:lang w:val="en-US"/>
        </w:rPr>
        <w:t>agrprod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13. Number of healthcare organizations - hospitals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>14. Number of places in preschool organizations - preschool (num.)</w:t>
      </w:r>
    </w:p>
    <w:p w:rsidR="00083C57" w:rsidRPr="00083C57" w:rsidRDefault="00083C57" w:rsidP="00083C57">
      <w:pPr>
        <w:pStyle w:val="a5"/>
        <w:spacing w:before="0" w:beforeAutospacing="0" w:after="0" w:afterAutospacing="0" w:line="360" w:lineRule="auto"/>
        <w:ind w:left="-567" w:firstLine="567"/>
        <w:jc w:val="both"/>
        <w:rPr>
          <w:sz w:val="26"/>
          <w:szCs w:val="26"/>
          <w:lang w:val="en-US"/>
        </w:rPr>
      </w:pPr>
      <w:r w:rsidRPr="00083C57">
        <w:rPr>
          <w:sz w:val="26"/>
          <w:szCs w:val="26"/>
          <w:lang w:val="en-US"/>
        </w:rPr>
        <w:t xml:space="preserve">15. Volume of self-produced goods - </w:t>
      </w:r>
      <w:proofErr w:type="spellStart"/>
      <w:r w:rsidRPr="00083C57">
        <w:rPr>
          <w:sz w:val="26"/>
          <w:szCs w:val="26"/>
          <w:lang w:val="en-US"/>
        </w:rPr>
        <w:t>factoriescap</w:t>
      </w:r>
      <w:proofErr w:type="spellEnd"/>
      <w:r w:rsidRPr="00083C57">
        <w:rPr>
          <w:sz w:val="26"/>
          <w:szCs w:val="26"/>
          <w:lang w:val="en-US"/>
        </w:rPr>
        <w:t xml:space="preserve"> (</w:t>
      </w:r>
      <w:proofErr w:type="spellStart"/>
      <w:r w:rsidRPr="00083C57">
        <w:rPr>
          <w:sz w:val="26"/>
          <w:szCs w:val="26"/>
          <w:lang w:val="en-US"/>
        </w:rPr>
        <w:t>thnd</w:t>
      </w:r>
      <w:proofErr w:type="spellEnd"/>
      <w:r w:rsidRPr="00083C57">
        <w:rPr>
          <w:sz w:val="26"/>
          <w:szCs w:val="26"/>
          <w:lang w:val="en-US"/>
        </w:rPr>
        <w:t>. rub.)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C779DF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2C56A6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2C56A6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2C759F" w:rsidRDefault="002C759F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образом, отличительные особенности между определенными конфликтами наблюдаются как с точки зрения социально-экономических показателей, так и демографической структуры. Несомненно, это является весомым доводом в пользу потенциала использования похожести этих компонент как меры риска возникновения социального конфликта.</w:t>
      </w:r>
    </w:p>
    <w:p w:rsidR="00C64B65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334DAA">
        <w:rPr>
          <w:rFonts w:ascii="Times New Roman" w:hAnsi="Times New Roman" w:cs="Times New Roman"/>
          <w:sz w:val="26"/>
          <w:szCs w:val="26"/>
        </w:rPr>
        <w:t>Каждое муниципальное образование в наборе данных определяется социально-экономической и демографической компонентой. Так, социально-экономическую составляющую можно представить в виде кортежа:</w:t>
      </w:r>
    </w:p>
    <w:p w:rsidR="00334DAA" w:rsidRPr="009F7C34" w:rsidRDefault="00334DAA" w:rsidP="00334DAA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s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sc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</m:e>
        </m:d>
      </m:oMath>
      <w:r w:rsidR="009F7C34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334DAA" w:rsidRDefault="009F7C34" w:rsidP="009F7C34">
      <w:pPr>
        <w:spacing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sc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это значение определенного социально-экономического индикатора (см. табл. 1).</w:t>
      </w:r>
    </w:p>
    <w:p w:rsidR="009F7C34" w:rsidRDefault="009F7C34" w:rsidP="009F7C34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Демографическая структура в свою очередь может быть представлена как два отдельных кортежа, отражающих долю людей определенного пола, следующего вида:</w:t>
      </w:r>
    </w:p>
    <w:p w:rsidR="009F7C34" w:rsidRPr="009F7C34" w:rsidRDefault="009F7C34" w:rsidP="009F7C34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f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F7C34" w:rsidRPr="0027388F" w:rsidRDefault="009F7C34" w:rsidP="009F7C3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</w:t>
      </w:r>
      <w:r w:rsidRPr="009F7C34">
        <w:rPr>
          <w:rFonts w:ascii="Times New Roman" w:hAnsi="Times New Roman" w:cs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 w:rsidRPr="009F7C34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число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женщин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в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определенной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когорте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женщин в населении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и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Pr="009F7C34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количество когорт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Представленное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деление</w:t>
      </w:r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den>
        </m:f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позволяет получить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значение процентной доли женщин относительно всей популяции. Идентичное выражение используется и для представления мужчин:</w:t>
      </w:r>
    </w:p>
    <w:p w:rsidR="009F7C34" w:rsidRDefault="0027388F" w:rsidP="0027388F">
      <w:pPr>
        <w:spacing w:after="0" w:line="360" w:lineRule="auto"/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  <w:lang w:val="en-US"/>
          </w:rPr>
          <m:t>m</m:t>
        </m:r>
        <m:r>
          <w:rPr>
            <w:rFonts w:ascii="Cambria Math" w:hAnsi="Cambria Math" w:cs="Times New Roman"/>
            <w:sz w:val="26"/>
            <w:szCs w:val="26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hAnsi="Cambria Math" w:cs="Times New Roman"/>
                <w:sz w:val="26"/>
                <w:szCs w:val="26"/>
              </w:rPr>
              <m:t>,…,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  <m:r>
              <w:rPr>
                <w:rFonts w:ascii="Cambria Math" w:eastAsiaTheme="minorEastAsia" w:hAnsi="Cambria Math"/>
                <w:sz w:val="26"/>
                <w:szCs w:val="26"/>
              </w:rPr>
              <m:t>…,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n</m:t>
                </m:r>
              </m:den>
            </m:f>
          </m:e>
        </m:d>
      </m:oMath>
      <w:r w:rsidRPr="0027388F">
        <w:rPr>
          <w:rFonts w:ascii="Times New Roman" w:eastAsiaTheme="minorEastAsia" w:hAnsi="Times New Roman" w:cs="Times New Roman"/>
          <w:sz w:val="26"/>
          <w:szCs w:val="26"/>
        </w:rPr>
        <w:t>,</w:t>
      </w:r>
    </w:p>
    <w:p w:rsidR="0027388F" w:rsidRDefault="0027388F" w:rsidP="0027388F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– число мужчин в определенной когорте, а </w:t>
      </w:r>
      <m:oMath>
        <m:r>
          <w:rPr>
            <w:rFonts w:ascii="Cambria Math" w:eastAsiaTheme="minorEastAsia" w:hAnsi="Cambria Math"/>
            <w:sz w:val="26"/>
            <w:szCs w:val="26"/>
          </w:rPr>
          <m:t>n</m:t>
        </m:r>
      </m:oMath>
      <w:r w:rsidRPr="009F7C3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общее количество мужчин в населении.</w:t>
      </w:r>
    </w:p>
    <w:p w:rsidR="00A82C0E" w:rsidRDefault="00044A91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x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i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lastRenderedPageBreak/>
        <w:t>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2C56A6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приняли 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и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видеообращени</w:t>
      </w:r>
      <w:r w:rsidR="00782300">
        <w:rPr>
          <w:rFonts w:ascii="Times New Roman" w:eastAsiaTheme="minorEastAsia" w:hAnsi="Times New Roman" w:cs="Times New Roman"/>
          <w:sz w:val="26"/>
          <w:szCs w:val="26"/>
        </w:rPr>
        <w:t>е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 xml:space="preserve">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2C56A6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2C56A6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74170F" w:rsidRDefault="00CC5EEC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Как видно из примера, оценка похожести по даже по одному конфликту представляет интерес, поскольку даёт возможность оценить близость МО к какому-либо специфическому социальному конфликту. Однако, </w:t>
      </w:r>
      <w:r w:rsidR="0074170F">
        <w:rPr>
          <w:rFonts w:ascii="Times New Roman" w:eastAsiaTheme="minorEastAsia" w:hAnsi="Times New Roman" w:cs="Times New Roman"/>
          <w:sz w:val="26"/>
          <w:szCs w:val="26"/>
        </w:rPr>
        <w:t>такой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подход не позволяет проанализировать МО с точки зрения их потенциальной похожести на индикаторы, характерные большинству социальных конфликтов, что в свою очередь можно рассматривать как оценку социальной напряженности.</w:t>
      </w:r>
    </w:p>
    <w:p w:rsidR="00CC5EEC" w:rsidRPr="00C25934" w:rsidRDefault="0074170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Таким образом, используя оценку похожести в качестве базиса, существует возможность реализовать подход, позволяющий оценить наличие муниципальных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образований похожих сразу на несколько социальных конфликтов как одного типа, так и различного.</w:t>
      </w:r>
    </w:p>
    <w:p w:rsidR="00C25934" w:rsidRPr="00F833D2" w:rsidRDefault="00D427E9" w:rsidP="00F833D2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F833D2">
        <w:rPr>
          <w:rFonts w:ascii="Times New Roman" w:eastAsiaTheme="minorEastAsia" w:hAnsi="Times New Roman" w:cs="Times New Roman"/>
          <w:sz w:val="26"/>
          <w:szCs w:val="26"/>
        </w:rPr>
        <w:t>В качестве основы для реализации совокупной оценки потенциала к социальному конфликту предлагается использовать систему ранжирования. Подобная система позволит осуществить некоторую рейтинговую оценку похожести всех муниципальных образований датасета относительно каждого социального конфликта по-отдельности. Сумму этих оценок в контексте критерия похожести будет являться мерой так называемого социального риска.</w:t>
      </w:r>
    </w:p>
    <w:p w:rsid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Упрощенная схема предлагаемого метода представлена на рисунке 6. Очевидно, что теперь наряду с полнотой и точностью критерия похожести, используемых факторов, а также качества самих данных, фундаментальное значение на результативность будет оказывать и принцип ранжирования.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Существует множество способов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выполнения ранжирования согласно уровню подобия. </w:t>
      </w:r>
    </w:p>
    <w:p w:rsidR="00DA77FE" w:rsidRPr="0028647E" w:rsidRDefault="00A6348B" w:rsidP="00E10366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Так, наиболее простой вариант – выполнять прогрессивное ранжировани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исходя из занятого места 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по похожести на основе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шк</w:t>
      </w:r>
      <w:r w:rsidR="00027B5E">
        <w:rPr>
          <w:rFonts w:ascii="Times New Roman" w:eastAsiaTheme="minorEastAsia" w:hAnsi="Times New Roman" w:cs="Times New Roman"/>
          <w:sz w:val="26"/>
          <w:szCs w:val="26"/>
        </w:rPr>
        <w:t>алы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от 1 (наиболее похожее, 1-е место) до 0 (наименее похожее, последнее место). </w:t>
      </w:r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Однако, </w:t>
      </w:r>
      <w:proofErr w:type="gramStart"/>
      <w:r w:rsidR="0028647E">
        <w:rPr>
          <w:rFonts w:ascii="Times New Roman" w:eastAsiaTheme="minorEastAsia" w:hAnsi="Times New Roman" w:cs="Times New Roman"/>
          <w:sz w:val="26"/>
          <w:szCs w:val="26"/>
        </w:rPr>
        <w:t>из за</w:t>
      </w:r>
      <w:proofErr w:type="gramEnd"/>
      <w:r w:rsidR="0028647E">
        <w:rPr>
          <w:rFonts w:ascii="Times New Roman" w:eastAsiaTheme="minorEastAsia" w:hAnsi="Times New Roman" w:cs="Times New Roman"/>
          <w:sz w:val="26"/>
          <w:szCs w:val="26"/>
        </w:rPr>
        <w:t xml:space="preserve"> некоторой однородности, которая наблюдается у мун. образ. в РФ, такой вариант будет давать слишком большое преимущество средним мун. образ., которые более или менее похожи на немалую группу других образований. </w:t>
      </w:r>
    </w:p>
    <w:p w:rsidR="008E5B17" w:rsidRDefault="0028647E" w:rsidP="00CC5EEC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логике текущего исследования, наиболее похожие мун. образования могут иметь схожую предрасположенность к конфликту. 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Анализ графиков с критерием похожести демонстрирует, что к более или менее близким можно отнести первые 300 похожих примеров </w:t>
      </w:r>
      <w:r w:rsidR="00CC5EEC" w:rsidRPr="00CC5EEC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см. рис. 3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. Таким образом,</w:t>
      </w:r>
      <w:r w:rsidR="00CC5EEC">
        <w:rPr>
          <w:rFonts w:ascii="Times New Roman" w:eastAsiaTheme="minorEastAsia" w:hAnsi="Times New Roman" w:cs="Times New Roman"/>
          <w:sz w:val="26"/>
          <w:szCs w:val="26"/>
        </w:rPr>
        <w:t xml:space="preserve"> предлагается использовать ранжирование на основе топ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-300, который заключается в следующей системе оценивания: 1 балл – оценка для МО с 1 по 100 место по похожести</w:t>
      </w:r>
      <w:r w:rsidR="008E5B17" w:rsidRPr="008E5B17">
        <w:rPr>
          <w:rFonts w:ascii="Times New Roman" w:eastAsiaTheme="minorEastAsia" w:hAnsi="Times New Roman" w:cs="Times New Roman"/>
          <w:sz w:val="26"/>
          <w:szCs w:val="26"/>
        </w:rPr>
        <w:t xml:space="preserve">; 0.5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балл – за 100 по 200 место; 0.2 – балла за близость на уровне с 200 по 300 место.</w:t>
      </w:r>
    </w:p>
    <w:p w:rsidR="00DA5E6C" w:rsidRDefault="002C56A6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A35322" w:rsidRPr="004D0D97" w:rsidRDefault="008E5B17" w:rsidP="004C4891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6</w:t>
      </w:r>
      <w:r w:rsidR="0097717F">
        <w:rPr>
          <w:rFonts w:ascii="Times New Roman" w:eastAsiaTheme="minorEastAsia" w:hAnsi="Times New Roman" w:cs="Times New Roman"/>
          <w:sz w:val="26"/>
          <w:szCs w:val="26"/>
        </w:rPr>
        <w:t>. Упрощенная схема подхода по оценке социального риска</w:t>
      </w:r>
    </w:p>
    <w:p w:rsidR="005D7982" w:rsidRP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Полное распределение оценок системы ранжирования представлено на диаграмме. Почти половина примеров из датасета (4035 мун. образований) получила какую-либо оценку, т.е. оказалась в некоторой близости (4) к конфликтному образованию. Тем не менее подавляющая большинство примеров получила оценку равную 1 или меньше (3049 примеров, см. рис.), тогда как наиболее высокую совокупную оценку более 3 баллов получили 44 примера.  </w:t>
      </w:r>
    </w:p>
    <w:p w:rsidR="005D7982" w:rsidRDefault="002C56A6" w:rsidP="005D7982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pict>
          <v:shape id="_x0000_i1031" type="#_x0000_t75" style="width:282.55pt;height:155.55pt">
            <v:imagedata r:id="rId10" o:title="Scores"/>
          </v:shape>
        </w:pict>
      </w:r>
    </w:p>
    <w:p w:rsidR="005D7982" w:rsidRDefault="005D798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A35322" w:rsidRDefault="00A35322" w:rsidP="009C095D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Итак, наивысшую суммарную оценку 4.5 получил Туапсинский муниципальный район за 2022 и 2021 год. В целом, высший бал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л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1 (вхождение в топ-100 по похожести) относительно конфликтного мун. образования 18 (Анапа) и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19 (Геленджик)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не является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удивтельным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, поскольку все они входят в Краснодарский Край и являются близки</w:t>
      </w:r>
      <w:r w:rsidR="009C095D">
        <w:rPr>
          <w:rFonts w:ascii="Times New Roman" w:eastAsiaTheme="minorEastAsia" w:hAnsi="Times New Roman" w:cs="Times New Roman"/>
          <w:sz w:val="26"/>
          <w:szCs w:val="26"/>
        </w:rPr>
        <w:t>ми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географически. Однако, как видно из таблицы, Туапсинский район 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получил 0 </w:t>
      </w:r>
      <w:r>
        <w:rPr>
          <w:rFonts w:ascii="Times New Roman" w:eastAsiaTheme="minorEastAsia" w:hAnsi="Times New Roman" w:cs="Times New Roman"/>
          <w:sz w:val="26"/>
          <w:szCs w:val="26"/>
        </w:rPr>
        <w:t>относительно Красноармейского МО (кейс 2)</w:t>
      </w:r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, т.е. не вошел даже в топ-300 наиболее похожих, несмотря на то, что Красноармейский тоже находится в Краснодарском Крае и является </w:t>
      </w:r>
      <w:proofErr w:type="spellStart"/>
      <w:r w:rsidR="00846BA1">
        <w:rPr>
          <w:rFonts w:ascii="Times New Roman" w:eastAsiaTheme="minorEastAsia" w:hAnsi="Times New Roman" w:cs="Times New Roman"/>
          <w:sz w:val="26"/>
          <w:szCs w:val="26"/>
        </w:rPr>
        <w:t>локационно</w:t>
      </w:r>
      <w:proofErr w:type="spellEnd"/>
      <w:r w:rsidR="00846BA1">
        <w:rPr>
          <w:rFonts w:ascii="Times New Roman" w:eastAsiaTheme="minorEastAsia" w:hAnsi="Times New Roman" w:cs="Times New Roman"/>
          <w:sz w:val="26"/>
          <w:szCs w:val="26"/>
        </w:rPr>
        <w:t xml:space="preserve"> близким образованием для Туапсинского района.</w:t>
      </w:r>
    </w:p>
    <w:p w:rsidR="007F73D9" w:rsidRPr="0073199F" w:rsidRDefault="009C095D" w:rsidP="00ED268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этой связи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как раз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больший интерес представляет Новоалтайск за 2021 год (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3е место, см. табл.), который получил 0.5 балла относительно мун. образ. 18 (Анапа) и 0.2 балла относительно мун. образ. 19 (Геленджик), несмотря на удаленность от них более чем в 4000 километров (длина дороги). Эти результаты в очередной раз подтверждают один из тезисов исследования (см. секцию 2) согласно которой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>социально-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>экономическое и демографическое</w:t>
      </w:r>
      <w:r w:rsidR="00F12A7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EC02FC">
        <w:rPr>
          <w:rFonts w:ascii="Times New Roman" w:eastAsiaTheme="minorEastAsia" w:hAnsi="Times New Roman" w:cs="Times New Roman"/>
          <w:sz w:val="26"/>
          <w:szCs w:val="26"/>
        </w:rPr>
        <w:t xml:space="preserve">пространство не определяется локационной близостью. </w:t>
      </w:r>
    </w:p>
    <w:p w:rsidR="0097717F" w:rsidRDefault="002C56A6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pict>
          <v:shape id="_x0000_i1032" type="#_x0000_t75" style="width:467.3pt;height:167.75pt">
            <v:imagedata r:id="rId11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</w:t>
      </w:r>
      <w:r w:rsidR="008E5B17">
        <w:rPr>
          <w:rFonts w:ascii="Times New Roman" w:eastAsiaTheme="minorEastAsia" w:hAnsi="Times New Roman" w:cs="Times New Roman"/>
          <w:sz w:val="26"/>
          <w:szCs w:val="26"/>
        </w:rPr>
        <w:t>7</w:t>
      </w: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ED268F" w:rsidRDefault="00ED268F" w:rsidP="00052F74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Если в условиях оценки похожести на одно МО</w:t>
      </w:r>
      <w:r w:rsidRPr="00ED268F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>
        <w:rPr>
          <w:rFonts w:ascii="Times New Roman" w:eastAsiaTheme="minorEastAsia" w:hAnsi="Times New Roman" w:cs="Times New Roman"/>
          <w:sz w:val="26"/>
          <w:szCs w:val="26"/>
        </w:rPr>
        <w:t>см. раздел 4.1), в котором был определенный конфликт, исследовалась предрасположенность к конкретному социальному конфликту (похожий отклик на схожий триггер), то, как уже было отмечено, совокупная похожесть уже рассматривается как некоторый показатель потенциала конфликта как такового. Таким образом, в ходе анализа будут рассматриваться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серьезные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конфликты</w:t>
      </w:r>
      <w:r w:rsidR="00052F74">
        <w:rPr>
          <w:rFonts w:ascii="Times New Roman" w:eastAsiaTheme="minorEastAsia" w:hAnsi="Times New Roman" w:cs="Times New Roman"/>
          <w:sz w:val="26"/>
          <w:szCs w:val="26"/>
        </w:rPr>
        <w:t xml:space="preserve"> (сопровождающиеся массовым собранием людей) по любым темам.</w:t>
      </w:r>
    </w:p>
    <w:p w:rsidR="00052F74" w:rsidRDefault="00052F74" w:rsidP="00F653A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Туапсинском районе в 2021 году (второе место) в результате поиска действительно удалось найти один значимый политический протест в городе Туапсе (население 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 xml:space="preserve">~60000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052F74">
        <w:rPr>
          <w:rFonts w:ascii="Times New Roman" w:eastAsiaTheme="minorEastAsia" w:hAnsi="Times New Roman" w:cs="Times New Roman"/>
          <w:sz w:val="26"/>
          <w:szCs w:val="26"/>
        </w:rPr>
        <w:t>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поддержку Алексея Навального (см. рис.).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2022 году каких-либо протестов в данн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ом районе не было зафиксировано.</w:t>
      </w:r>
      <w:r w:rsidR="00DD5D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Следует отметить, что оценка демонстрирует вероятный потенциал, то есть для социального конфликта требует еще и мотив. И вот 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серьезный социальный конфликт в </w:t>
      </w:r>
      <w:proofErr w:type="spellStart"/>
      <w:r w:rsidR="00A67074">
        <w:rPr>
          <w:rFonts w:ascii="Times New Roman" w:eastAsiaTheme="minorEastAsia" w:hAnsi="Times New Roman" w:cs="Times New Roman"/>
          <w:sz w:val="26"/>
          <w:szCs w:val="26"/>
        </w:rPr>
        <w:t>Тупасинском</w:t>
      </w:r>
      <w:proofErr w:type="spellEnd"/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районе произошел в 2024 году (к сожалению, в датасете о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тсутствуют данные за этот год), где несколько сотен человек вышли на протест против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генплана в городе Джубга (население </w:t>
      </w:r>
      <w:r w:rsidR="00A67074" w:rsidRPr="00A67074">
        <w:rPr>
          <w:rFonts w:ascii="Times New Roman" w:eastAsiaTheme="minorEastAsia" w:hAnsi="Times New Roman" w:cs="Times New Roman"/>
          <w:sz w:val="26"/>
          <w:szCs w:val="26"/>
        </w:rPr>
        <w:t>~7000)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F653AF">
        <w:rPr>
          <w:rFonts w:ascii="Times New Roman" w:eastAsiaTheme="minorEastAsia" w:hAnsi="Times New Roman" w:cs="Times New Roman"/>
          <w:sz w:val="26"/>
          <w:szCs w:val="26"/>
        </w:rPr>
        <w:t>Как раз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 xml:space="preserve"> против генплана протестовали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67074">
        <w:rPr>
          <w:rFonts w:ascii="Times New Roman" w:eastAsiaTheme="minorEastAsia" w:hAnsi="Times New Roman" w:cs="Times New Roman"/>
          <w:sz w:val="26"/>
          <w:szCs w:val="26"/>
        </w:rPr>
        <w:t>в Анапе и Геленджике, на которых очень похож Туапсинский МО.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:rsidR="00A67074" w:rsidRDefault="00D339AD" w:rsidP="00BC029A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городе Новоалтайск (население </w:t>
      </w:r>
      <w:r w:rsidRPr="00D339AD">
        <w:rPr>
          <w:rFonts w:ascii="Times New Roman" w:eastAsiaTheme="minorEastAsia" w:hAnsi="Times New Roman" w:cs="Times New Roman"/>
          <w:sz w:val="26"/>
          <w:szCs w:val="26"/>
        </w:rPr>
        <w:t xml:space="preserve">~70000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удалось найти два заметных социальный конфликта, которые произошли в 2018 и 2019 годах. Согласно 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оценке метода,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Новоалтайск образца 2018 года также получил довольно высокую оценку потенциала социального протеста (2.9 балла, 75</w:t>
      </w:r>
      <w:r w:rsidR="00BC029A">
        <w:rPr>
          <w:rFonts w:ascii="Times New Roman" w:eastAsiaTheme="minorEastAsia" w:hAnsi="Times New Roman" w:cs="Times New Roman"/>
          <w:sz w:val="26"/>
          <w:szCs w:val="26"/>
        </w:rPr>
        <w:t>-е место). В 2018 году там случился социальный протест против повышения пенсионного возраста, а в 2019 году в Новоалтайске был протест против закрытия роддома. К сожалению, данных Новоа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лтайска за 2019 нет в датасете, поэтому отсутствует оценка уровня потенциала социального протеста. </w:t>
      </w:r>
    </w:p>
    <w:p w:rsidR="00BC029A" w:rsidRDefault="00BC029A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Канадалакшском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муниципальном районе образца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2017 год (4е-место, 4.</w:t>
      </w:r>
      <w:r>
        <w:rPr>
          <w:rFonts w:ascii="Times New Roman" w:eastAsiaTheme="minorEastAsia" w:hAnsi="Times New Roman" w:cs="Times New Roman"/>
          <w:sz w:val="26"/>
          <w:szCs w:val="26"/>
        </w:rPr>
        <w:t>2 балла) в городе Кандалакша (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~30000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человек) 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действительно </w:t>
      </w:r>
      <w:r>
        <w:rPr>
          <w:rFonts w:ascii="Times New Roman" w:eastAsiaTheme="minorEastAsia" w:hAnsi="Times New Roman" w:cs="Times New Roman"/>
          <w:sz w:val="26"/>
          <w:szCs w:val="26"/>
        </w:rPr>
        <w:t>был обнаружен серьезный социальный протест против двойной тарификации как раз в 2017 году.</w:t>
      </w:r>
      <w:r w:rsidR="007F2D39">
        <w:rPr>
          <w:rFonts w:ascii="Times New Roman" w:eastAsiaTheme="minorEastAsia" w:hAnsi="Times New Roman" w:cs="Times New Roman"/>
          <w:sz w:val="26"/>
          <w:szCs w:val="26"/>
        </w:rPr>
        <w:t xml:space="preserve"> В протесте приняло участие более 100 человек.</w:t>
      </w:r>
    </w:p>
    <w:p w:rsidR="007F2D39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Также был проанализирован и город Апатиты (население 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~5</w:t>
      </w:r>
      <w:r w:rsidRPr="00BC029A">
        <w:rPr>
          <w:rFonts w:ascii="Times New Roman" w:eastAsiaTheme="minorEastAsia" w:hAnsi="Times New Roman" w:cs="Times New Roman"/>
          <w:sz w:val="26"/>
          <w:szCs w:val="26"/>
        </w:rPr>
        <w:t xml:space="preserve">0000 </w:t>
      </w:r>
      <w:r>
        <w:rPr>
          <w:rFonts w:ascii="Times New Roman" w:eastAsiaTheme="minorEastAsia" w:hAnsi="Times New Roman" w:cs="Times New Roman"/>
          <w:sz w:val="26"/>
          <w:szCs w:val="26"/>
        </w:rPr>
        <w:t>человек</w:t>
      </w:r>
      <w:r w:rsidRPr="007F2D39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. 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рамках поиска удалось найти социальный конфликт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в 2017 году, где б</w:t>
      </w:r>
      <w:r>
        <w:rPr>
          <w:rFonts w:ascii="Times New Roman" w:eastAsiaTheme="minorEastAsia" w:hAnsi="Times New Roman" w:cs="Times New Roman"/>
          <w:sz w:val="26"/>
          <w:szCs w:val="26"/>
        </w:rPr>
        <w:t>олее 100 учёных вышли на протест с требованием увеличить финансирование науки. По оценке потенциала социального протеста, город Апатиты в 2017 году занимает 13 место с оценкой 3,9.</w:t>
      </w:r>
    </w:p>
    <w:p w:rsidR="007F2D39" w:rsidRPr="00D339AD" w:rsidRDefault="007F2D39" w:rsidP="007F2D3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Анализ демонстрирует, что метод оценки потенциала социального протеста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>способен обеспечивать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выде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t xml:space="preserve">ление муниципальных образований, которые действительно </w:t>
      </w:r>
      <w:r w:rsidR="00401EB5">
        <w:rPr>
          <w:rFonts w:ascii="Times New Roman" w:eastAsiaTheme="minorEastAsia" w:hAnsi="Times New Roman" w:cs="Times New Roman"/>
          <w:sz w:val="26"/>
          <w:szCs w:val="26"/>
        </w:rPr>
        <w:lastRenderedPageBreak/>
        <w:t>могут отличаться социальной напряженностью и готовностью активного выражения недовольства. Рассмотренные протесты происходили в малых по меркам РФ городах (население меньше 100 тысяч) и при этом не имели широкого освещения в СМИ, поэтому обнаружение протестов на этих территориях может считаться показательным.</w:t>
      </w:r>
    </w:p>
    <w:p w:rsidR="00393D67" w:rsidRDefault="00ED268F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730808" w:rsidRP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Значимость факторов и прогноз динамики</w:t>
      </w:r>
      <w:r w:rsidR="00730808">
        <w:rPr>
          <w:rFonts w:ascii="Times New Roman" w:eastAsiaTheme="minorEastAsia" w:hAnsi="Times New Roman" w:cs="Times New Roman"/>
          <w:b/>
          <w:i/>
          <w:sz w:val="26"/>
          <w:szCs w:val="26"/>
        </w:rPr>
        <w:t>.</w:t>
      </w:r>
      <w:r w:rsidR="00730808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93D67">
        <w:rPr>
          <w:rFonts w:ascii="Times New Roman" w:eastAsiaTheme="minorEastAsia" w:hAnsi="Times New Roman" w:cs="Times New Roman"/>
          <w:sz w:val="26"/>
          <w:szCs w:val="26"/>
        </w:rPr>
        <w:t xml:space="preserve">Разработанный метод осуществляет детерминированное вычисление оценки социального риска по социально-экономическим и демографическим показателям за конкретный момент времени. Соответственно, нельзя вычислить оценку, например, за будущий год (или за тот по которому нет данных).  </w:t>
      </w:r>
    </w:p>
    <w:p w:rsidR="0097717F" w:rsidRDefault="00730808" w:rsidP="008F636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условиях распространения использования машинного обучения как в целом, так и в прогнозе социальных конфликтов, следует рассмотреть возможность применения данного подхода в контексте реализованного метода оценки потенциала социального конфликта. Использование машинного обучения позволит, с одной стороны, оценить значимость набора факторов, а с другой, сделать прогноз динамики изменения оценки социального риска.</w:t>
      </w:r>
    </w:p>
    <w:p w:rsidR="008F6365" w:rsidRDefault="00730808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Поскольку датасет содержат данные по муниципальным образованиям за определенные годы, то простым вариантом имплементации машинного обучения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 является прогноз социального риска на следующий год, используя при этом социально-экономическим и/или демографическим данные за предыдущий год.</w:t>
      </w:r>
      <w:r w:rsidR="0052666E" w:rsidRPr="0052666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8F6365">
        <w:rPr>
          <w:rFonts w:ascii="Times New Roman" w:eastAsiaTheme="minorEastAsia" w:hAnsi="Times New Roman" w:cs="Times New Roman"/>
          <w:sz w:val="26"/>
          <w:szCs w:val="26"/>
        </w:rPr>
        <w:t xml:space="preserve">Здесь важно отметить, что приятая система оценок ранжирования является простой и понятной для человека, но при этом будет малоэффективной для обучения прогностической модели. В связи с этим вместо принятых оценок, топ-300 следует 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>представить шкалой от 1 до 0, где 1 место получает 1 балл, а 301 –</w:t>
      </w:r>
      <w:r w:rsidR="003C3D48">
        <w:rPr>
          <w:rFonts w:ascii="Times New Roman" w:eastAsiaTheme="minorEastAsia" w:hAnsi="Times New Roman" w:cs="Times New Roman"/>
          <w:sz w:val="26"/>
          <w:szCs w:val="26"/>
        </w:rPr>
        <w:t xml:space="preserve"> 0, что сделает оценки более гладкими.</w:t>
      </w:r>
      <w:r w:rsidR="0080793D">
        <w:rPr>
          <w:rFonts w:ascii="Times New Roman" w:eastAsiaTheme="minorEastAsia" w:hAnsi="Times New Roman" w:cs="Times New Roman"/>
          <w:sz w:val="26"/>
          <w:szCs w:val="26"/>
        </w:rPr>
        <w:t xml:space="preserve"> Данный решение внесет несущественные изменения с точки зрения оценки муниципальных образований, но при этом повысит качество обучения моделей.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Предлагается разработать две независимые модели, предполагающие прогноз оценки потенциала отдельно на основе социально-экономических факторов и отдельно на основе демографических данных. Это сделано с целью сфокусировать внимание на значимости факторов, тогда как их совместное использование может перекрывать уровень значимости друг друга.</w:t>
      </w:r>
    </w:p>
    <w:p w:rsidR="001648E7" w:rsidRDefault="001648E7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Итоговый датасет для обучения модели содержит приблизительно 7000 примеров. Сокращение количество примеров вызвано тем, что для обучения модели необходимо знать оценку потенциала социального конфликта за следующий год. Таким образом, все </w:t>
      </w: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примеры 2022 года исключатся из датасета, поскольку нельзя рассчитать оценку за 2023 год. Это касается и определенных примеров, не имеющих данных за следующий год, даже за принятый период времени.</w:t>
      </w:r>
    </w:p>
    <w:p w:rsidR="001648E7" w:rsidRDefault="00B70279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Для начальных исследований было при</w:t>
      </w:r>
      <w:r w:rsidR="008019EB">
        <w:rPr>
          <w:rFonts w:ascii="Times New Roman" w:eastAsiaTheme="minorEastAsia" w:hAnsi="Times New Roman" w:cs="Times New Roman"/>
          <w:sz w:val="26"/>
          <w:szCs w:val="26"/>
        </w:rPr>
        <w:t>н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ято решения использовать метод случайного леса. Это простой и популярный подход, который еще и позволяет определить значимость факторов на основе критерия Джини. </w:t>
      </w:r>
      <w:r w:rsidR="001648E7">
        <w:rPr>
          <w:rFonts w:ascii="Times New Roman" w:eastAsiaTheme="minorEastAsia" w:hAnsi="Times New Roman" w:cs="Times New Roman"/>
          <w:sz w:val="26"/>
          <w:szCs w:val="26"/>
        </w:rPr>
        <w:t xml:space="preserve">С целью усилить надежность полученных оценок значимости факторов, а также точности модели, было реализовано 50 циклов обучения с вычислением средних оценок.  </w:t>
      </w:r>
    </w:p>
    <w:p w:rsidR="0052666E" w:rsidRPr="003844A3" w:rsidRDefault="002C56A6" w:rsidP="0052666E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На рисунке визуализирована точность прогноза модели на тестовой выборке. Как видно из диаграммы, при использовании социально-экономическим факторов (слева) прогноз хоть и не идеален, но в первом приближении может считаться удовлетворительным. Так, средняя оценка на тестовой выборке по 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Pr="002C56A6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метрике составила 0,</w:t>
      </w:r>
      <w:r>
        <w:rPr>
          <w:rFonts w:ascii="Times New Roman" w:eastAsiaTheme="minorEastAsia" w:hAnsi="Times New Roman" w:cs="Times New Roman"/>
          <w:sz w:val="26"/>
          <w:szCs w:val="26"/>
        </w:rPr>
        <w:t>65 (</w:t>
      </w:r>
      <w:r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 0,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02), что также указывает на достаточную адекватность модели. Справа же на рисунке представлена модель, осуществляющая прогноз только при использовании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 xml:space="preserve">демографической структуры. На иллюстрации чётка заметна большая удаленность точек (тестовых примеров) от диагонали, что свидетельствует о большем отклонении прогнозных значений от реальных. Это подтверждается и средней оценкой 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R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2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для тестовой выборки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на уровне 0,33 (</w:t>
      </w:r>
      <w:r w:rsidR="003844A3">
        <w:rPr>
          <w:rFonts w:ascii="Times New Roman" w:eastAsiaTheme="minorEastAsia" w:hAnsi="Times New Roman" w:cs="Times New Roman"/>
          <w:sz w:val="26"/>
          <w:szCs w:val="26"/>
          <w:lang w:val="en-US"/>
        </w:rPr>
        <w:t>SD</w:t>
      </w:r>
      <w:r w:rsidR="003844A3" w:rsidRPr="003844A3">
        <w:rPr>
          <w:rFonts w:ascii="Times New Roman" w:eastAsiaTheme="minorEastAsia" w:hAnsi="Times New Roman" w:cs="Times New Roman"/>
          <w:sz w:val="26"/>
          <w:szCs w:val="26"/>
        </w:rPr>
        <w:t xml:space="preserve"> 0,02)</w:t>
      </w:r>
      <w:r w:rsidR="003844A3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Такой результат скорее всего вызван тем, что в критерии (4) переменная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ω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</m:t>
            </m:r>
          </m:sub>
        </m:sSub>
      </m:oMath>
      <w:r w:rsidR="00DE3EAA">
        <w:rPr>
          <w:rFonts w:ascii="Times New Roman" w:eastAsiaTheme="minorEastAsia" w:hAnsi="Times New Roman" w:cs="Times New Roman"/>
          <w:sz w:val="26"/>
          <w:szCs w:val="26"/>
        </w:rPr>
        <w:t xml:space="preserve"> была задана на уровне 0.5. Это решение было принято с целью нивелировать демографические тренды, которые характерны для всей страны, что позволит оценивать похожесть сквозь время.  </w:t>
      </w:r>
    </w:p>
    <w:p w:rsidR="0080793D" w:rsidRDefault="007B2FD5" w:rsidP="00EE57C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Рассмотрим уровни значимости факторов для каждой из модели. 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На рисунке показана гистограмма значимости признаков модели, прогнозирующей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на основе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только соц-эко факторы. Наиболее значимыми факторами являются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риэтйл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фудситс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6F5408">
        <w:rPr>
          <w:rFonts w:ascii="Times New Roman" w:eastAsiaTheme="minorEastAsia" w:hAnsi="Times New Roman" w:cs="Times New Roman"/>
          <w:sz w:val="26"/>
          <w:szCs w:val="26"/>
        </w:rPr>
        <w:t>лечеб</w:t>
      </w:r>
      <w:proofErr w:type="spellEnd"/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Орган и длина дорог.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Следует отметить, что э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>ти индикаторы позволяют определить не только развитость муниципального образования, но и являются косвенными показателями профиля территории. Например, длина дорог на человека говорит не только об уровне инфраструктуры, но и топологию городских путей</w:t>
      </w:r>
      <w:proofErr w:type="gramStart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gramEnd"/>
      <w:r w:rsidR="00F424DD">
        <w:rPr>
          <w:rFonts w:ascii="Times New Roman" w:eastAsiaTheme="minorEastAsia" w:hAnsi="Times New Roman" w:cs="Times New Roman"/>
          <w:sz w:val="26"/>
          <w:szCs w:val="26"/>
        </w:rPr>
        <w:t>Мун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. образ. с одним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>градообразующим</w:t>
      </w:r>
      <w:r w:rsidR="006F5408">
        <w:rPr>
          <w:rFonts w:ascii="Times New Roman" w:eastAsiaTheme="minorEastAsia" w:hAnsi="Times New Roman" w:cs="Times New Roman"/>
          <w:sz w:val="26"/>
          <w:szCs w:val="26"/>
        </w:rPr>
        <w:t xml:space="preserve"> предприятием могут иметь ко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роткую длину дорог, тогда как места с большим количества сельхоз полей наоборот скорее будут характеризоваться увеличенной длиной дорожных путей. Большой же уровень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ритэёла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 w:rsidR="000148E9">
        <w:rPr>
          <w:rFonts w:ascii="Times New Roman" w:eastAsiaTheme="minorEastAsia" w:hAnsi="Times New Roman" w:cs="Times New Roman"/>
          <w:sz w:val="26"/>
          <w:szCs w:val="26"/>
        </w:rPr>
        <w:t>фудситсов</w:t>
      </w:r>
      <w:proofErr w:type="spellEnd"/>
      <w:r w:rsidR="000148E9">
        <w:rPr>
          <w:rFonts w:ascii="Times New Roman" w:eastAsiaTheme="minorEastAsia" w:hAnsi="Times New Roman" w:cs="Times New Roman"/>
          <w:sz w:val="26"/>
          <w:szCs w:val="26"/>
        </w:rPr>
        <w:t xml:space="preserve"> может указывать урбанистический профиль мун. образования, а также большую склонность к </w:t>
      </w:r>
      <w:r w:rsidR="000148E9">
        <w:rPr>
          <w:rFonts w:ascii="Times New Roman" w:eastAsiaTheme="minorEastAsia" w:hAnsi="Times New Roman" w:cs="Times New Roman"/>
          <w:sz w:val="26"/>
          <w:szCs w:val="26"/>
        </w:rPr>
        <w:lastRenderedPageBreak/>
        <w:t>потреблению и отдыху определенного вида. Таким образом, эти факторы формируют связь протестного потенциала не только с чисто материальными показателями, но и профилем территории как таковой, что и повышает их значимость в контексте прогноза.</w:t>
      </w:r>
    </w:p>
    <w:p w:rsidR="00EE57C9" w:rsidRPr="00EE57C9" w:rsidRDefault="00EE57C9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bookmarkStart w:id="0" w:name="_GoBack"/>
      <w:r>
        <w:rPr>
          <w:rFonts w:ascii="Times New Roman" w:eastAsiaTheme="minorEastAsia" w:hAnsi="Times New Roman" w:cs="Times New Roman"/>
          <w:sz w:val="26"/>
          <w:szCs w:val="26"/>
        </w:rPr>
        <w:t xml:space="preserve">В связи с низкой точностью демографической модели прогноза, значимости факторов следует рассматривать с осторожностью. На гистограмме видно, что наиболее значимыми являются доли мужчин. молодые группы от 20 до 39 лет. В России в протестах доля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участников мужского пола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действительно превосходит долю жен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ского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однако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в последние годы эти доли стремятся </w:t>
      </w:r>
      <w:r w:rsidR="00DF0391">
        <w:rPr>
          <w:rFonts w:ascii="Times New Roman" w:eastAsiaTheme="minorEastAsia" w:hAnsi="Times New Roman" w:cs="Times New Roman"/>
          <w:sz w:val="26"/>
          <w:szCs w:val="26"/>
        </w:rPr>
        <w:t>всё к большему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равенству.</w:t>
      </w:r>
    </w:p>
    <w:bookmarkEnd w:id="0"/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730808" w:rsidRPr="002C56A6" w:rsidRDefault="00730808" w:rsidP="00730808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:rsidR="009C5E81" w:rsidRPr="007B2FD5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B2FD5">
        <w:rPr>
          <w:rFonts w:ascii="Times New Roman" w:hAnsi="Times New Roman" w:cs="Times New Roman"/>
          <w:sz w:val="24"/>
          <w:szCs w:val="24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7B2FD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7B2FD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7B2FD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7B2FD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7B2FD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7B2FD5">
        <w:rPr>
          <w:rFonts w:ascii="Times New Roman" w:hAnsi="Times New Roman" w:cs="Times New Roman"/>
          <w:sz w:val="24"/>
          <w:szCs w:val="24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7B2FD5">
        <w:rPr>
          <w:rFonts w:ascii="Times New Roman" w:hAnsi="Times New Roman" w:cs="Times New Roman"/>
          <w:sz w:val="24"/>
          <w:szCs w:val="24"/>
        </w:rPr>
        <w:t xml:space="preserve">. 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7B2FD5">
        <w:rPr>
          <w:rFonts w:ascii="Times New Roman" w:hAnsi="Times New Roman" w:cs="Times New Roman"/>
          <w:sz w:val="24"/>
          <w:szCs w:val="24"/>
        </w:rPr>
        <w:t xml:space="preserve">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5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7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9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. Anal. Min. 6, 50 (2016). </w:t>
      </w:r>
      <w:hyperlink r:id="rId20" w:history="1">
        <w:r w:rsidR="005332CA" w:rsidRPr="00E1715F">
          <w:rPr>
            <w:rStyle w:val="a3"/>
            <w:rFonts w:ascii="Times New Roman" w:hAnsi="Times New Roman" w:cs="Times New Roman"/>
            <w:sz w:val="26"/>
            <w:szCs w:val="26"/>
            <w:lang w:val="en-US"/>
          </w:rPr>
          <w:t>https://doi.org/10.1007/s13278-016-0355-8</w:t>
        </w:r>
      </w:hyperlink>
    </w:p>
    <w:p w:rsidR="005332CA" w:rsidRPr="00B64852" w:rsidRDefault="005332CA" w:rsidP="005332CA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 xml:space="preserve">[12] </w:t>
      </w:r>
      <w:proofErr w:type="spellStart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Korotayev</w:t>
      </w:r>
      <w:proofErr w:type="spellEnd"/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 A. V., Sawyer, P. S., &amp; Romanov, D. M. (2021). Socio-Economic Development and Protests: A Quantitative Reanalysis.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Comparative Sociology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, </w:t>
      </w:r>
      <w:r w:rsidRPr="00B64852">
        <w:rPr>
          <w:rStyle w:val="a7"/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20</w:t>
      </w:r>
      <w:r w:rsidRPr="00B64852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  <w:lang w:val="en-US"/>
        </w:rPr>
        <w:t>(2), 195 222. </w:t>
      </w:r>
      <w:hyperlink r:id="rId21" w:tgtFrame="_blank" w:history="1">
        <w:r w:rsidRPr="00B64852">
          <w:rPr>
            <w:rStyle w:val="a3"/>
            <w:rFonts w:ascii="Times New Roman" w:hAnsi="Times New Roman" w:cs="Times New Roman"/>
            <w:bCs/>
            <w:sz w:val="24"/>
            <w:szCs w:val="24"/>
            <w:shd w:val="clear" w:color="auto" w:fill="FFFFFF"/>
            <w:lang w:val="en-US"/>
          </w:rPr>
          <w:t>https://doi.org/10.1163/15691330-bja10030</w:t>
        </w:r>
      </w:hyperlink>
    </w:p>
    <w:p w:rsidR="005332CA" w:rsidRPr="009C5E81" w:rsidRDefault="005332CA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</w:p>
    <w:sectPr w:rsidR="005332CA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148E9"/>
    <w:rsid w:val="0002253B"/>
    <w:rsid w:val="00027B5E"/>
    <w:rsid w:val="00044A91"/>
    <w:rsid w:val="00052F74"/>
    <w:rsid w:val="000613DB"/>
    <w:rsid w:val="000647A9"/>
    <w:rsid w:val="00072CCF"/>
    <w:rsid w:val="00083C57"/>
    <w:rsid w:val="00087875"/>
    <w:rsid w:val="000B6661"/>
    <w:rsid w:val="000C2D48"/>
    <w:rsid w:val="000C3B89"/>
    <w:rsid w:val="000C5F0F"/>
    <w:rsid w:val="000D081A"/>
    <w:rsid w:val="0010042F"/>
    <w:rsid w:val="001102A8"/>
    <w:rsid w:val="00125EBA"/>
    <w:rsid w:val="001648E7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7388F"/>
    <w:rsid w:val="0028647E"/>
    <w:rsid w:val="002A0C99"/>
    <w:rsid w:val="002C56A6"/>
    <w:rsid w:val="002C759F"/>
    <w:rsid w:val="002E1E89"/>
    <w:rsid w:val="00304942"/>
    <w:rsid w:val="00334DAA"/>
    <w:rsid w:val="003459F7"/>
    <w:rsid w:val="003576A6"/>
    <w:rsid w:val="00383293"/>
    <w:rsid w:val="003844A3"/>
    <w:rsid w:val="00393D67"/>
    <w:rsid w:val="003942E1"/>
    <w:rsid w:val="00397964"/>
    <w:rsid w:val="003A08CA"/>
    <w:rsid w:val="003A1D81"/>
    <w:rsid w:val="003C1D50"/>
    <w:rsid w:val="003C3D48"/>
    <w:rsid w:val="00401EB5"/>
    <w:rsid w:val="00434629"/>
    <w:rsid w:val="00451A8E"/>
    <w:rsid w:val="0045205D"/>
    <w:rsid w:val="004872AE"/>
    <w:rsid w:val="004872CF"/>
    <w:rsid w:val="00490621"/>
    <w:rsid w:val="004935B8"/>
    <w:rsid w:val="004B4A55"/>
    <w:rsid w:val="004C4891"/>
    <w:rsid w:val="004D0D97"/>
    <w:rsid w:val="005019E8"/>
    <w:rsid w:val="00505551"/>
    <w:rsid w:val="00511FD2"/>
    <w:rsid w:val="00522F41"/>
    <w:rsid w:val="0052666E"/>
    <w:rsid w:val="0053118D"/>
    <w:rsid w:val="005332CA"/>
    <w:rsid w:val="00562F30"/>
    <w:rsid w:val="00572CD8"/>
    <w:rsid w:val="005A4C13"/>
    <w:rsid w:val="005D0A40"/>
    <w:rsid w:val="005D7982"/>
    <w:rsid w:val="005F0A02"/>
    <w:rsid w:val="00617647"/>
    <w:rsid w:val="00622211"/>
    <w:rsid w:val="00622848"/>
    <w:rsid w:val="00645065"/>
    <w:rsid w:val="00661234"/>
    <w:rsid w:val="006630BF"/>
    <w:rsid w:val="00686BA7"/>
    <w:rsid w:val="006935E8"/>
    <w:rsid w:val="006A2C8E"/>
    <w:rsid w:val="006D18C5"/>
    <w:rsid w:val="006E1BD4"/>
    <w:rsid w:val="006E4F63"/>
    <w:rsid w:val="006E7638"/>
    <w:rsid w:val="006F4137"/>
    <w:rsid w:val="006F5408"/>
    <w:rsid w:val="00701428"/>
    <w:rsid w:val="00726603"/>
    <w:rsid w:val="00730808"/>
    <w:rsid w:val="0073199F"/>
    <w:rsid w:val="0074170F"/>
    <w:rsid w:val="00760864"/>
    <w:rsid w:val="00765A9C"/>
    <w:rsid w:val="00766551"/>
    <w:rsid w:val="00782300"/>
    <w:rsid w:val="007B2FD5"/>
    <w:rsid w:val="007C5E22"/>
    <w:rsid w:val="007E3759"/>
    <w:rsid w:val="007F2D39"/>
    <w:rsid w:val="007F6611"/>
    <w:rsid w:val="007F73D9"/>
    <w:rsid w:val="008019EB"/>
    <w:rsid w:val="0080793D"/>
    <w:rsid w:val="00844305"/>
    <w:rsid w:val="00846BA1"/>
    <w:rsid w:val="00850819"/>
    <w:rsid w:val="00862AE2"/>
    <w:rsid w:val="00881BF9"/>
    <w:rsid w:val="008C4937"/>
    <w:rsid w:val="008C7386"/>
    <w:rsid w:val="008D0801"/>
    <w:rsid w:val="008E5B17"/>
    <w:rsid w:val="008F6365"/>
    <w:rsid w:val="009061C5"/>
    <w:rsid w:val="00970B08"/>
    <w:rsid w:val="0097243B"/>
    <w:rsid w:val="00973A9A"/>
    <w:rsid w:val="0097717F"/>
    <w:rsid w:val="009870F9"/>
    <w:rsid w:val="00997FC7"/>
    <w:rsid w:val="009A3877"/>
    <w:rsid w:val="009C095D"/>
    <w:rsid w:val="009C5E81"/>
    <w:rsid w:val="009D5FF0"/>
    <w:rsid w:val="009F7C34"/>
    <w:rsid w:val="00A0063D"/>
    <w:rsid w:val="00A25140"/>
    <w:rsid w:val="00A26BFA"/>
    <w:rsid w:val="00A35322"/>
    <w:rsid w:val="00A44132"/>
    <w:rsid w:val="00A5493D"/>
    <w:rsid w:val="00A62A72"/>
    <w:rsid w:val="00A6348B"/>
    <w:rsid w:val="00A67074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37C6"/>
    <w:rsid w:val="00B57B39"/>
    <w:rsid w:val="00B66416"/>
    <w:rsid w:val="00B70279"/>
    <w:rsid w:val="00B9275F"/>
    <w:rsid w:val="00BA18D5"/>
    <w:rsid w:val="00BC00D6"/>
    <w:rsid w:val="00BC029A"/>
    <w:rsid w:val="00BE4DD5"/>
    <w:rsid w:val="00BE6C36"/>
    <w:rsid w:val="00BF18AF"/>
    <w:rsid w:val="00C06C6A"/>
    <w:rsid w:val="00C16F09"/>
    <w:rsid w:val="00C218CF"/>
    <w:rsid w:val="00C25934"/>
    <w:rsid w:val="00C509B9"/>
    <w:rsid w:val="00C63803"/>
    <w:rsid w:val="00C64B65"/>
    <w:rsid w:val="00C779DF"/>
    <w:rsid w:val="00C96081"/>
    <w:rsid w:val="00CC5EEC"/>
    <w:rsid w:val="00CD3259"/>
    <w:rsid w:val="00CD55EB"/>
    <w:rsid w:val="00D07145"/>
    <w:rsid w:val="00D26A36"/>
    <w:rsid w:val="00D339AD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A77FE"/>
    <w:rsid w:val="00DB1D51"/>
    <w:rsid w:val="00DB2AAE"/>
    <w:rsid w:val="00DB4432"/>
    <w:rsid w:val="00DD5D9A"/>
    <w:rsid w:val="00DD76F0"/>
    <w:rsid w:val="00DE3EAA"/>
    <w:rsid w:val="00DF0391"/>
    <w:rsid w:val="00E10366"/>
    <w:rsid w:val="00E23273"/>
    <w:rsid w:val="00E45A17"/>
    <w:rsid w:val="00EB26BE"/>
    <w:rsid w:val="00EC02FC"/>
    <w:rsid w:val="00ED268F"/>
    <w:rsid w:val="00EE57C9"/>
    <w:rsid w:val="00EF569D"/>
    <w:rsid w:val="00F12A7A"/>
    <w:rsid w:val="00F424DD"/>
    <w:rsid w:val="00F653AF"/>
    <w:rsid w:val="00F771D2"/>
    <w:rsid w:val="00F833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0FB1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  <w:style w:type="paragraph" w:styleId="a5">
    <w:name w:val="Normal (Web)"/>
    <w:basedOn w:val="a"/>
    <w:uiPriority w:val="99"/>
    <w:unhideWhenUsed/>
    <w:rsid w:val="00083C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970B08"/>
    <w:rPr>
      <w:color w:val="808080"/>
    </w:rPr>
  </w:style>
  <w:style w:type="character" w:styleId="a7">
    <w:name w:val="Emphasis"/>
    <w:basedOn w:val="a0"/>
    <w:uiPriority w:val="20"/>
    <w:qFormat/>
    <w:rsid w:val="005332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oi.org/10.3390/ijgi10110734" TargetMode="External"/><Relationship Id="rId18" Type="http://schemas.openxmlformats.org/officeDocument/2006/relationships/hyperlink" Target="https://doi.org/10.1371/journal.pone.0319837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doi.org/10.1163/15691330-bja10030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www.researchgate.net/publication/358646626_A_Similarity_Approach_to_Cities_and_Features" TargetMode="External"/><Relationship Id="rId17" Type="http://schemas.openxmlformats.org/officeDocument/2006/relationships/hyperlink" Target="https://www.researchgate.net/publication/373236871_Conflicts_in_urban_peripheries_in_Europ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20" Type="http://schemas.openxmlformats.org/officeDocument/2006/relationships/hyperlink" Target="https://doi.org/10.1007/s13278-016-0355-8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276321581_The_scenario_method_in_urban_planning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://dx.doi.org/10.2139/ssrn.535739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57212810_Exploring_venue-based_city-to-city_similarity_measure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3794</TotalTime>
  <Pages>1</Pages>
  <Words>4596</Words>
  <Characters>26201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88</cp:revision>
  <dcterms:created xsi:type="dcterms:W3CDTF">2025-08-24T07:13:00Z</dcterms:created>
  <dcterms:modified xsi:type="dcterms:W3CDTF">2025-10-01T14:30:00Z</dcterms:modified>
</cp:coreProperties>
</file>