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2C0E" w:rsidRDefault="00A82C0E" w:rsidP="00A82C0E">
      <w:pPr>
        <w:ind w:left="-567" w:firstLine="567"/>
        <w:jc w:val="both"/>
        <w:rPr>
          <w:rFonts w:ascii="Times New Roman" w:hAnsi="Times New Roman" w:cs="Times New Roman"/>
          <w:b/>
          <w:i/>
          <w:sz w:val="26"/>
          <w:szCs w:val="26"/>
        </w:rPr>
      </w:pPr>
      <w:r w:rsidRPr="007E3759">
        <w:rPr>
          <w:rFonts w:ascii="Times New Roman" w:hAnsi="Times New Roman" w:cs="Times New Roman"/>
          <w:b/>
          <w:i/>
          <w:sz w:val="26"/>
          <w:szCs w:val="26"/>
        </w:rPr>
        <w:t>Метод оценки риска социального конфликта на основе критерия подобия</w:t>
      </w:r>
    </w:p>
    <w:p w:rsidR="00A25140" w:rsidRDefault="00A25140" w:rsidP="009C5E8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/>
          <w:i/>
          <w:spacing w:val="-6"/>
          <w:sz w:val="26"/>
          <w:szCs w:val="26"/>
        </w:rPr>
      </w:pPr>
    </w:p>
    <w:p w:rsidR="00226A3F" w:rsidRDefault="009C5E81" w:rsidP="00226A3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pacing w:val="-6"/>
          <w:sz w:val="26"/>
          <w:szCs w:val="26"/>
        </w:rPr>
      </w:pPr>
      <w:r w:rsidRPr="00881BF9">
        <w:rPr>
          <w:rFonts w:ascii="Times New Roman" w:hAnsi="Times New Roman" w:cs="Times New Roman"/>
          <w:b/>
          <w:i/>
          <w:spacing w:val="-6"/>
          <w:sz w:val="26"/>
          <w:szCs w:val="26"/>
        </w:rPr>
        <w:t>Актуальность.</w:t>
      </w:r>
      <w:r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 </w:t>
      </w:r>
      <w:r w:rsidR="00226A3F"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В настоящий момент оценка похожести городов (муниципальных образований) является актуальной проблемой и может применяться в различных задачах, затрагивающих инфраструктурные, архитектурные и другие вопросы [1, 2, 3, 4]. </w:t>
      </w:r>
      <w:r w:rsidR="00226A3F">
        <w:rPr>
          <w:rFonts w:ascii="Times New Roman" w:hAnsi="Times New Roman" w:cs="Times New Roman"/>
          <w:spacing w:val="-6"/>
          <w:sz w:val="26"/>
          <w:szCs w:val="26"/>
        </w:rPr>
        <w:t>Интерес к данному</w:t>
      </w:r>
      <w:r w:rsidR="00226A3F"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 исследовательско</w:t>
      </w:r>
      <w:r w:rsidR="00226A3F">
        <w:rPr>
          <w:rFonts w:ascii="Times New Roman" w:hAnsi="Times New Roman" w:cs="Times New Roman"/>
          <w:spacing w:val="-6"/>
          <w:sz w:val="26"/>
          <w:szCs w:val="26"/>
        </w:rPr>
        <w:t>му направлению</w:t>
      </w:r>
      <w:r w:rsidR="00226A3F"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 в первую очередь </w:t>
      </w:r>
      <w:r w:rsidR="00226A3F">
        <w:rPr>
          <w:rFonts w:ascii="Times New Roman" w:hAnsi="Times New Roman" w:cs="Times New Roman"/>
          <w:spacing w:val="-6"/>
          <w:sz w:val="26"/>
          <w:szCs w:val="26"/>
        </w:rPr>
        <w:t xml:space="preserve">вызвано </w:t>
      </w:r>
      <w:r w:rsidR="00226A3F" w:rsidRPr="00881BF9">
        <w:rPr>
          <w:rFonts w:ascii="Times New Roman" w:hAnsi="Times New Roman" w:cs="Times New Roman"/>
          <w:spacing w:val="-6"/>
          <w:sz w:val="26"/>
          <w:szCs w:val="26"/>
        </w:rPr>
        <w:t>возможностью использования оценки подобия для решения задач планирования в градостроительной сфере [4]. В свою очередь в градостроительной сфере большое значение уделяется социальным конфликтам, возникающим в рамках реализации тех или иных проектов [5, 6]. Таким образом, прогноз социальных рисков является актуальной задачей как в градостроительной сфере, так и в области социально-экономического планирования.</w:t>
      </w:r>
    </w:p>
    <w:p w:rsidR="00A25140" w:rsidRDefault="00A25140" w:rsidP="009C5E8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Мотивы и факторы современных социальных конфликтов являются предметом серьезного изучения в связи с их большой значимостью на общественно-политическое состояние, которое в свою очередь неразрывно взаимосвязано с социально-экономическими процессами </w:t>
      </w:r>
      <w:r w:rsidRPr="002375BA">
        <w:rPr>
          <w:rFonts w:ascii="Times New Roman" w:hAnsi="Times New Roman" w:cs="Times New Roman"/>
          <w:sz w:val="26"/>
          <w:szCs w:val="26"/>
        </w:rPr>
        <w:t>[7-11].</w:t>
      </w:r>
      <w:r>
        <w:rPr>
          <w:rFonts w:ascii="Times New Roman" w:hAnsi="Times New Roman" w:cs="Times New Roman"/>
          <w:sz w:val="26"/>
          <w:szCs w:val="26"/>
        </w:rPr>
        <w:t xml:space="preserve"> Поскольку множество механизмов данной сферы остаются неизвестными, дискуссионными либо же плохо изученными, актуальность исследований не вызывает сомнений, что также отражается в увеличении количества современных работе по рассматриваемой тематике </w:t>
      </w:r>
      <w:r w:rsidRPr="00AA6BC8">
        <w:rPr>
          <w:rFonts w:ascii="Times New Roman" w:hAnsi="Times New Roman" w:cs="Times New Roman"/>
          <w:sz w:val="26"/>
          <w:szCs w:val="26"/>
        </w:rPr>
        <w:t>[</w:t>
      </w:r>
      <w:r>
        <w:rPr>
          <w:rFonts w:ascii="Times New Roman" w:hAnsi="Times New Roman" w:cs="Times New Roman"/>
          <w:sz w:val="26"/>
          <w:szCs w:val="26"/>
        </w:rPr>
        <w:t>7, 8</w:t>
      </w:r>
      <w:r w:rsidRPr="00AA6BC8">
        <w:rPr>
          <w:rFonts w:ascii="Times New Roman" w:hAnsi="Times New Roman" w:cs="Times New Roman"/>
          <w:sz w:val="26"/>
          <w:szCs w:val="26"/>
        </w:rPr>
        <w:t>].</w:t>
      </w:r>
    </w:p>
    <w:p w:rsidR="00226A3F" w:rsidRDefault="00226A3F" w:rsidP="009C5E8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pacing w:val="-6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Целью исследования является разработка метода оценки и/или прогноза социального риска для произвольного муниципального образования. Суть предлагаемого подхода заключается в оценке похожести не только социально-экономического состояния, но и структуры населения (человеческого капитала) произвольного муниципального образования (МО) к некоторым показателям, характерным для возникновения различного типа социальных конфликтов. Проще говоря, основа подхода кроется в </w:t>
      </w:r>
      <w:r w:rsidR="007C5E22">
        <w:rPr>
          <w:rFonts w:ascii="Times New Roman" w:hAnsi="Times New Roman" w:cs="Times New Roman"/>
          <w:sz w:val="26"/>
          <w:szCs w:val="26"/>
        </w:rPr>
        <w:t xml:space="preserve">потенциале использования </w:t>
      </w:r>
      <w:r>
        <w:rPr>
          <w:rFonts w:ascii="Times New Roman" w:hAnsi="Times New Roman" w:cs="Times New Roman"/>
          <w:sz w:val="26"/>
          <w:szCs w:val="26"/>
        </w:rPr>
        <w:t xml:space="preserve">похожести </w:t>
      </w:r>
      <w:r w:rsidR="007C5E22">
        <w:rPr>
          <w:rFonts w:ascii="Times New Roman" w:hAnsi="Times New Roman" w:cs="Times New Roman"/>
          <w:sz w:val="26"/>
          <w:szCs w:val="26"/>
        </w:rPr>
        <w:t>между двумя МО</w:t>
      </w:r>
      <w:r>
        <w:rPr>
          <w:rFonts w:ascii="Times New Roman" w:hAnsi="Times New Roman" w:cs="Times New Roman"/>
          <w:sz w:val="26"/>
          <w:szCs w:val="26"/>
        </w:rPr>
        <w:t xml:space="preserve">, где один из них испытал социальный конфликт, как один из маркеров </w:t>
      </w:r>
      <w:r w:rsidR="007C5E22">
        <w:rPr>
          <w:rFonts w:ascii="Times New Roman" w:hAnsi="Times New Roman" w:cs="Times New Roman"/>
          <w:sz w:val="26"/>
          <w:szCs w:val="26"/>
        </w:rPr>
        <w:t>вероятной</w:t>
      </w:r>
      <w:r>
        <w:rPr>
          <w:rFonts w:ascii="Times New Roman" w:hAnsi="Times New Roman" w:cs="Times New Roman"/>
          <w:sz w:val="26"/>
          <w:szCs w:val="26"/>
        </w:rPr>
        <w:t xml:space="preserve"> похожей с</w:t>
      </w:r>
      <w:r w:rsidR="007C5E22">
        <w:rPr>
          <w:rFonts w:ascii="Times New Roman" w:hAnsi="Times New Roman" w:cs="Times New Roman"/>
          <w:sz w:val="26"/>
          <w:szCs w:val="26"/>
        </w:rPr>
        <w:t xml:space="preserve">оциальной реакции </w:t>
      </w:r>
      <w:r>
        <w:rPr>
          <w:rFonts w:ascii="Times New Roman" w:hAnsi="Times New Roman" w:cs="Times New Roman"/>
          <w:sz w:val="26"/>
          <w:szCs w:val="26"/>
        </w:rPr>
        <w:t xml:space="preserve">как минимум </w:t>
      </w:r>
      <w:r w:rsidR="007C5E22">
        <w:rPr>
          <w:rFonts w:ascii="Times New Roman" w:hAnsi="Times New Roman" w:cs="Times New Roman"/>
          <w:sz w:val="26"/>
          <w:szCs w:val="26"/>
        </w:rPr>
        <w:t xml:space="preserve">на </w:t>
      </w:r>
      <w:r>
        <w:rPr>
          <w:rFonts w:ascii="Times New Roman" w:hAnsi="Times New Roman" w:cs="Times New Roman"/>
          <w:sz w:val="26"/>
          <w:szCs w:val="26"/>
        </w:rPr>
        <w:t>тот же раздражитель.</w:t>
      </w:r>
    </w:p>
    <w:p w:rsidR="003C1D50" w:rsidRDefault="00850819" w:rsidP="00A25140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>Обзор</w:t>
      </w:r>
      <w:r w:rsidRPr="00A25140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i/>
          <w:sz w:val="26"/>
          <w:szCs w:val="26"/>
        </w:rPr>
        <w:t>проблематики</w:t>
      </w:r>
      <w:r w:rsidRPr="00A25140">
        <w:rPr>
          <w:rFonts w:ascii="Times New Roman" w:hAnsi="Times New Roman" w:cs="Times New Roman"/>
          <w:b/>
          <w:i/>
          <w:sz w:val="26"/>
          <w:szCs w:val="26"/>
        </w:rPr>
        <w:t xml:space="preserve">. </w:t>
      </w:r>
      <w:r w:rsidR="00451A8E">
        <w:rPr>
          <w:rFonts w:ascii="Times New Roman" w:hAnsi="Times New Roman" w:cs="Times New Roman"/>
          <w:sz w:val="26"/>
          <w:szCs w:val="26"/>
        </w:rPr>
        <w:t xml:space="preserve">Существуют различные подходы изучения социальных конфликтов. До сих пор наиболее популярным является рассмотрение данной проблематики в контексте социологических и психологических исследований </w:t>
      </w:r>
      <w:r w:rsidR="00451A8E" w:rsidRPr="00451A8E">
        <w:rPr>
          <w:rFonts w:ascii="Times New Roman" w:hAnsi="Times New Roman" w:cs="Times New Roman"/>
          <w:sz w:val="26"/>
          <w:szCs w:val="26"/>
        </w:rPr>
        <w:t>[</w:t>
      </w:r>
      <w:r w:rsidR="00451A8E">
        <w:rPr>
          <w:rFonts w:ascii="Times New Roman" w:hAnsi="Times New Roman" w:cs="Times New Roman"/>
          <w:sz w:val="26"/>
          <w:szCs w:val="26"/>
        </w:rPr>
        <w:t>7, 8</w:t>
      </w:r>
      <w:r w:rsidR="00451A8E" w:rsidRPr="00451A8E">
        <w:rPr>
          <w:rFonts w:ascii="Times New Roman" w:hAnsi="Times New Roman" w:cs="Times New Roman"/>
          <w:sz w:val="26"/>
          <w:szCs w:val="26"/>
        </w:rPr>
        <w:t>]</w:t>
      </w:r>
      <w:r w:rsidR="00451A8E">
        <w:rPr>
          <w:rFonts w:ascii="Times New Roman" w:hAnsi="Times New Roman" w:cs="Times New Roman"/>
          <w:sz w:val="26"/>
          <w:szCs w:val="26"/>
        </w:rPr>
        <w:t>.</w:t>
      </w:r>
      <w:r w:rsidR="00451A8E" w:rsidRPr="00451A8E">
        <w:rPr>
          <w:rFonts w:ascii="Times New Roman" w:hAnsi="Times New Roman" w:cs="Times New Roman"/>
          <w:sz w:val="26"/>
          <w:szCs w:val="26"/>
        </w:rPr>
        <w:t xml:space="preserve"> </w:t>
      </w:r>
      <w:r w:rsidR="00451A8E">
        <w:rPr>
          <w:rFonts w:ascii="Times New Roman" w:hAnsi="Times New Roman" w:cs="Times New Roman"/>
          <w:sz w:val="26"/>
          <w:szCs w:val="26"/>
        </w:rPr>
        <w:t xml:space="preserve">Однако, необходимо отметить, что точность прогнозов, которые основаны только лишь на социологических данных, не демонстрируют высокую точность </w:t>
      </w:r>
      <w:r w:rsidR="00451A8E" w:rsidRPr="00451A8E">
        <w:rPr>
          <w:rFonts w:ascii="Times New Roman" w:hAnsi="Times New Roman" w:cs="Times New Roman"/>
          <w:sz w:val="26"/>
          <w:szCs w:val="26"/>
        </w:rPr>
        <w:t>[</w:t>
      </w:r>
      <w:r w:rsidR="00451A8E">
        <w:rPr>
          <w:rFonts w:ascii="Times New Roman" w:hAnsi="Times New Roman" w:cs="Times New Roman"/>
          <w:sz w:val="26"/>
          <w:szCs w:val="26"/>
        </w:rPr>
        <w:t>7</w:t>
      </w:r>
      <w:r w:rsidR="00451A8E" w:rsidRPr="00451A8E">
        <w:rPr>
          <w:rFonts w:ascii="Times New Roman" w:hAnsi="Times New Roman" w:cs="Times New Roman"/>
          <w:sz w:val="26"/>
          <w:szCs w:val="26"/>
        </w:rPr>
        <w:t>].</w:t>
      </w:r>
      <w:r w:rsidR="003C1D50">
        <w:rPr>
          <w:rFonts w:ascii="Times New Roman" w:hAnsi="Times New Roman" w:cs="Times New Roman"/>
          <w:sz w:val="26"/>
          <w:szCs w:val="26"/>
        </w:rPr>
        <w:t xml:space="preserve"> </w:t>
      </w:r>
    </w:p>
    <w:p w:rsidR="00DA0C6B" w:rsidRPr="00CD3259" w:rsidRDefault="00645065" w:rsidP="003C1D50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Также актуальным является подход, основанный на</w:t>
      </w:r>
      <w:r w:rsidR="003C1D50" w:rsidRPr="00645065">
        <w:rPr>
          <w:rFonts w:ascii="Times New Roman" w:hAnsi="Times New Roman" w:cs="Times New Roman"/>
          <w:sz w:val="26"/>
          <w:szCs w:val="26"/>
        </w:rPr>
        <w:t xml:space="preserve"> математическо</w:t>
      </w:r>
      <w:r>
        <w:rPr>
          <w:rFonts w:ascii="Times New Roman" w:hAnsi="Times New Roman" w:cs="Times New Roman"/>
          <w:sz w:val="26"/>
          <w:szCs w:val="26"/>
        </w:rPr>
        <w:t>м</w:t>
      </w:r>
      <w:r w:rsidR="003C1D50" w:rsidRPr="00645065">
        <w:rPr>
          <w:rFonts w:ascii="Times New Roman" w:hAnsi="Times New Roman" w:cs="Times New Roman"/>
          <w:sz w:val="26"/>
          <w:szCs w:val="26"/>
        </w:rPr>
        <w:t xml:space="preserve"> моделировани</w:t>
      </w:r>
      <w:r>
        <w:rPr>
          <w:rFonts w:ascii="Times New Roman" w:hAnsi="Times New Roman" w:cs="Times New Roman"/>
          <w:sz w:val="26"/>
          <w:szCs w:val="26"/>
        </w:rPr>
        <w:t>и</w:t>
      </w:r>
      <w:r w:rsidR="003C1D50" w:rsidRPr="00645065">
        <w:rPr>
          <w:rFonts w:ascii="Times New Roman" w:hAnsi="Times New Roman" w:cs="Times New Roman"/>
          <w:sz w:val="26"/>
          <w:szCs w:val="26"/>
        </w:rPr>
        <w:t xml:space="preserve"> коллективного поведения [8]. Разрабатываются различные </w:t>
      </w:r>
      <w:proofErr w:type="spellStart"/>
      <w:r w:rsidR="003C1D50" w:rsidRPr="00645065">
        <w:rPr>
          <w:rFonts w:ascii="Times New Roman" w:hAnsi="Times New Roman" w:cs="Times New Roman"/>
          <w:sz w:val="26"/>
          <w:szCs w:val="26"/>
        </w:rPr>
        <w:t>агентные</w:t>
      </w:r>
      <w:proofErr w:type="spellEnd"/>
      <w:r w:rsidR="003C1D50" w:rsidRPr="00645065">
        <w:rPr>
          <w:rFonts w:ascii="Times New Roman" w:hAnsi="Times New Roman" w:cs="Times New Roman"/>
          <w:sz w:val="26"/>
          <w:szCs w:val="26"/>
        </w:rPr>
        <w:t xml:space="preserve"> системы, позволяющие </w:t>
      </w:r>
      <w:r>
        <w:rPr>
          <w:rFonts w:ascii="Times New Roman" w:hAnsi="Times New Roman" w:cs="Times New Roman"/>
          <w:sz w:val="26"/>
          <w:szCs w:val="26"/>
        </w:rPr>
        <w:t xml:space="preserve">анализировать динамику протеста на основе процесса имитации. Например, популярен вариант представления протестных движений в контексте эпидемиологической модели </w:t>
      </w:r>
      <w:r w:rsidRPr="00645065">
        <w:rPr>
          <w:rFonts w:ascii="Times New Roman" w:hAnsi="Times New Roman" w:cs="Times New Roman"/>
          <w:sz w:val="26"/>
          <w:szCs w:val="26"/>
        </w:rPr>
        <w:t>[8].</w:t>
      </w:r>
      <w:r>
        <w:rPr>
          <w:rFonts w:ascii="Times New Roman" w:hAnsi="Times New Roman" w:cs="Times New Roman"/>
          <w:sz w:val="26"/>
          <w:szCs w:val="26"/>
        </w:rPr>
        <w:t xml:space="preserve">  </w:t>
      </w:r>
    </w:p>
    <w:p w:rsidR="00CD3259" w:rsidRDefault="006E1BD4" w:rsidP="00D351F6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Естественно, в</w:t>
      </w:r>
      <w:r w:rsidR="00CD3259">
        <w:rPr>
          <w:rFonts w:ascii="Times New Roman" w:hAnsi="Times New Roman" w:cs="Times New Roman"/>
          <w:sz w:val="26"/>
          <w:szCs w:val="26"/>
        </w:rPr>
        <w:t xml:space="preserve"> последн</w:t>
      </w:r>
      <w:r w:rsidR="00125EBA">
        <w:rPr>
          <w:rFonts w:ascii="Times New Roman" w:hAnsi="Times New Roman" w:cs="Times New Roman"/>
          <w:sz w:val="26"/>
          <w:szCs w:val="26"/>
        </w:rPr>
        <w:t xml:space="preserve">ие годы </w:t>
      </w:r>
      <w:r w:rsidR="00CD3259">
        <w:rPr>
          <w:rFonts w:ascii="Times New Roman" w:hAnsi="Times New Roman" w:cs="Times New Roman"/>
          <w:sz w:val="26"/>
          <w:szCs w:val="26"/>
        </w:rPr>
        <w:t xml:space="preserve">набирает популярность использование машинного обучения в вопросе исследования и прогноза социальных конфликтов </w:t>
      </w:r>
      <w:r w:rsidR="00CD3259" w:rsidRPr="00CD3259">
        <w:rPr>
          <w:rFonts w:ascii="Times New Roman" w:hAnsi="Times New Roman" w:cs="Times New Roman"/>
          <w:sz w:val="26"/>
          <w:szCs w:val="26"/>
        </w:rPr>
        <w:t>[</w:t>
      </w:r>
      <w:r w:rsidR="00CD3259">
        <w:rPr>
          <w:rFonts w:ascii="Times New Roman" w:hAnsi="Times New Roman" w:cs="Times New Roman"/>
          <w:sz w:val="26"/>
          <w:szCs w:val="26"/>
        </w:rPr>
        <w:t xml:space="preserve">9, 10, </w:t>
      </w:r>
      <w:r w:rsidR="00D351F6">
        <w:rPr>
          <w:rFonts w:ascii="Times New Roman" w:hAnsi="Times New Roman" w:cs="Times New Roman"/>
          <w:sz w:val="26"/>
          <w:szCs w:val="26"/>
        </w:rPr>
        <w:t xml:space="preserve">11]. </w:t>
      </w:r>
      <w:r w:rsidR="00CD3259">
        <w:rPr>
          <w:rFonts w:ascii="Times New Roman" w:hAnsi="Times New Roman" w:cs="Times New Roman"/>
          <w:sz w:val="26"/>
          <w:szCs w:val="26"/>
        </w:rPr>
        <w:t xml:space="preserve">Эти исследования, как правило, базируются на анализе общественных настроений, которое осуществляется путём мониторинга социальных сетей и СМИ </w:t>
      </w:r>
      <w:r w:rsidR="00CD3259" w:rsidRPr="00CD3259">
        <w:rPr>
          <w:rFonts w:ascii="Times New Roman" w:hAnsi="Times New Roman" w:cs="Times New Roman"/>
          <w:sz w:val="26"/>
          <w:szCs w:val="26"/>
        </w:rPr>
        <w:t>[</w:t>
      </w:r>
      <w:r w:rsidR="00CD3259">
        <w:rPr>
          <w:rFonts w:ascii="Times New Roman" w:hAnsi="Times New Roman" w:cs="Times New Roman"/>
          <w:sz w:val="26"/>
          <w:szCs w:val="26"/>
        </w:rPr>
        <w:t xml:space="preserve">9, 10, </w:t>
      </w:r>
      <w:r w:rsidR="00CD3259" w:rsidRPr="00CD3259">
        <w:rPr>
          <w:rFonts w:ascii="Times New Roman" w:hAnsi="Times New Roman" w:cs="Times New Roman"/>
          <w:sz w:val="26"/>
          <w:szCs w:val="26"/>
        </w:rPr>
        <w:t>11].</w:t>
      </w:r>
    </w:p>
    <w:p w:rsidR="00D351F6" w:rsidRDefault="00D351F6" w:rsidP="00D351F6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работе </w:t>
      </w:r>
      <w:r w:rsidRPr="00D351F6">
        <w:rPr>
          <w:rFonts w:ascii="Times New Roman" w:hAnsi="Times New Roman" w:cs="Times New Roman"/>
          <w:sz w:val="26"/>
          <w:szCs w:val="26"/>
        </w:rPr>
        <w:t xml:space="preserve">[9] </w:t>
      </w:r>
      <w:r>
        <w:rPr>
          <w:rFonts w:ascii="Times New Roman" w:hAnsi="Times New Roman" w:cs="Times New Roman"/>
          <w:sz w:val="26"/>
          <w:szCs w:val="26"/>
        </w:rPr>
        <w:t xml:space="preserve">протесты исследуются на основе анализа стилистики статей СМИ, освещавших рабочие забастовки, которые имели место в Румынии (2018-2025). В контексте текущего исследования особый интерес вызывает </w:t>
      </w:r>
      <w:r w:rsidR="00A8136D">
        <w:rPr>
          <w:rFonts w:ascii="Times New Roman" w:hAnsi="Times New Roman" w:cs="Times New Roman"/>
          <w:sz w:val="26"/>
          <w:szCs w:val="26"/>
        </w:rPr>
        <w:t>данные в пользу гипотезы</w:t>
      </w:r>
      <w:r>
        <w:rPr>
          <w:rFonts w:ascii="Times New Roman" w:hAnsi="Times New Roman" w:cs="Times New Roman"/>
          <w:sz w:val="26"/>
          <w:szCs w:val="26"/>
        </w:rPr>
        <w:t xml:space="preserve"> о «пространственно</w:t>
      </w:r>
      <w:r w:rsidR="00A8136D">
        <w:rPr>
          <w:rFonts w:ascii="Times New Roman" w:hAnsi="Times New Roman" w:cs="Times New Roman"/>
          <w:sz w:val="26"/>
          <w:szCs w:val="26"/>
        </w:rPr>
        <w:t>й-временной</w:t>
      </w:r>
      <w:r>
        <w:rPr>
          <w:rFonts w:ascii="Times New Roman" w:hAnsi="Times New Roman" w:cs="Times New Roman"/>
          <w:sz w:val="26"/>
          <w:szCs w:val="26"/>
        </w:rPr>
        <w:t xml:space="preserve">» связанности протестов, т.е. </w:t>
      </w:r>
      <w:r w:rsidR="00A8136D">
        <w:rPr>
          <w:rFonts w:ascii="Times New Roman" w:hAnsi="Times New Roman" w:cs="Times New Roman"/>
          <w:sz w:val="26"/>
          <w:szCs w:val="26"/>
        </w:rPr>
        <w:t xml:space="preserve">протест в одном месте повышает вероятность протестов в соседних территориях </w:t>
      </w:r>
      <w:r w:rsidR="00A8136D" w:rsidRPr="00A8136D">
        <w:rPr>
          <w:rFonts w:ascii="Times New Roman" w:hAnsi="Times New Roman" w:cs="Times New Roman"/>
          <w:sz w:val="26"/>
          <w:szCs w:val="26"/>
        </w:rPr>
        <w:t>[9]</w:t>
      </w:r>
      <w:r w:rsidR="00A8136D">
        <w:rPr>
          <w:rFonts w:ascii="Times New Roman" w:hAnsi="Times New Roman" w:cs="Times New Roman"/>
          <w:sz w:val="26"/>
          <w:szCs w:val="26"/>
        </w:rPr>
        <w:t>.</w:t>
      </w:r>
      <w:r w:rsidR="00A8136D" w:rsidRPr="00A8136D">
        <w:rPr>
          <w:rFonts w:ascii="Times New Roman" w:hAnsi="Times New Roman" w:cs="Times New Roman"/>
          <w:sz w:val="26"/>
          <w:szCs w:val="26"/>
        </w:rPr>
        <w:t xml:space="preserve"> </w:t>
      </w:r>
      <w:r w:rsidR="00A8136D">
        <w:rPr>
          <w:rFonts w:ascii="Times New Roman" w:hAnsi="Times New Roman" w:cs="Times New Roman"/>
          <w:sz w:val="26"/>
          <w:szCs w:val="26"/>
        </w:rPr>
        <w:t>Этот вывод перекликается с результативностью эпидемиологического подхода анализа динамики протестов. Однако, в работе предлагает</w:t>
      </w:r>
      <w:r w:rsidR="008D0801">
        <w:rPr>
          <w:rFonts w:ascii="Times New Roman" w:hAnsi="Times New Roman" w:cs="Times New Roman"/>
          <w:sz w:val="26"/>
          <w:szCs w:val="26"/>
        </w:rPr>
        <w:t>ся</w:t>
      </w:r>
      <w:r w:rsidR="00A8136D">
        <w:rPr>
          <w:rFonts w:ascii="Times New Roman" w:hAnsi="Times New Roman" w:cs="Times New Roman"/>
          <w:sz w:val="26"/>
          <w:szCs w:val="26"/>
        </w:rPr>
        <w:t xml:space="preserve"> </w:t>
      </w:r>
      <w:r w:rsidR="008D0801">
        <w:rPr>
          <w:rFonts w:ascii="Times New Roman" w:hAnsi="Times New Roman" w:cs="Times New Roman"/>
          <w:sz w:val="26"/>
          <w:szCs w:val="26"/>
        </w:rPr>
        <w:t>подход,</w:t>
      </w:r>
      <w:r w:rsidR="00A8136D">
        <w:rPr>
          <w:rFonts w:ascii="Times New Roman" w:hAnsi="Times New Roman" w:cs="Times New Roman"/>
          <w:sz w:val="26"/>
          <w:szCs w:val="26"/>
        </w:rPr>
        <w:t xml:space="preserve"> рассматривающий </w:t>
      </w:r>
      <w:r w:rsidR="008D0801">
        <w:rPr>
          <w:rFonts w:ascii="Times New Roman" w:hAnsi="Times New Roman" w:cs="Times New Roman"/>
          <w:sz w:val="26"/>
          <w:szCs w:val="26"/>
        </w:rPr>
        <w:t xml:space="preserve">как минимум </w:t>
      </w:r>
      <w:r w:rsidR="00A8136D">
        <w:rPr>
          <w:rFonts w:ascii="Times New Roman" w:hAnsi="Times New Roman" w:cs="Times New Roman"/>
          <w:sz w:val="26"/>
          <w:szCs w:val="26"/>
        </w:rPr>
        <w:t>пространственную часть с точки зрения похожести</w:t>
      </w:r>
      <w:r w:rsidR="008D0801">
        <w:rPr>
          <w:rFonts w:ascii="Times New Roman" w:hAnsi="Times New Roman" w:cs="Times New Roman"/>
          <w:sz w:val="26"/>
          <w:szCs w:val="26"/>
        </w:rPr>
        <w:t xml:space="preserve"> экономического и демографического пространства территорий, которая зачастую хоть и вызвана географической близостью, но при этом не определяется только </w:t>
      </w:r>
      <w:r w:rsidR="00B3170F">
        <w:rPr>
          <w:rFonts w:ascii="Times New Roman" w:hAnsi="Times New Roman" w:cs="Times New Roman"/>
          <w:sz w:val="26"/>
          <w:szCs w:val="26"/>
        </w:rPr>
        <w:t>локационной составляющей</w:t>
      </w:r>
      <w:r w:rsidR="008D0801">
        <w:rPr>
          <w:rFonts w:ascii="Times New Roman" w:hAnsi="Times New Roman" w:cs="Times New Roman"/>
          <w:sz w:val="26"/>
          <w:szCs w:val="26"/>
        </w:rPr>
        <w:t>.</w:t>
      </w:r>
    </w:p>
    <w:p w:rsidR="00190287" w:rsidRPr="00190287" w:rsidRDefault="00190287" w:rsidP="00190287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работе </w:t>
      </w:r>
      <w:r w:rsidRPr="006935E8">
        <w:rPr>
          <w:rFonts w:ascii="Times New Roman" w:hAnsi="Times New Roman" w:cs="Times New Roman"/>
          <w:sz w:val="26"/>
          <w:szCs w:val="26"/>
        </w:rPr>
        <w:t xml:space="preserve">[10] </w:t>
      </w:r>
      <w:r>
        <w:rPr>
          <w:rFonts w:ascii="Times New Roman" w:hAnsi="Times New Roman" w:cs="Times New Roman"/>
          <w:sz w:val="26"/>
          <w:szCs w:val="26"/>
        </w:rPr>
        <w:t xml:space="preserve">для прогноза социального конфликта использовались данные из социальных сетей. В рамках исследования была предложена модернизированная нейронная сеть, которая обучалась на данных из соц. сети </w:t>
      </w:r>
      <w:r>
        <w:rPr>
          <w:rFonts w:ascii="Times New Roman" w:hAnsi="Times New Roman" w:cs="Times New Roman"/>
          <w:sz w:val="26"/>
          <w:szCs w:val="26"/>
          <w:lang w:val="en-US"/>
        </w:rPr>
        <w:t>twitter</w:t>
      </w:r>
      <w:r w:rsidRPr="006935E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(ныне </w:t>
      </w:r>
      <w:r>
        <w:rPr>
          <w:rFonts w:ascii="Times New Roman" w:hAnsi="Times New Roman" w:cs="Times New Roman"/>
          <w:sz w:val="26"/>
          <w:szCs w:val="26"/>
          <w:lang w:val="en-US"/>
        </w:rPr>
        <w:t>X</w:t>
      </w:r>
      <w:r w:rsidRPr="006935E8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com</w:t>
      </w:r>
      <w:r w:rsidRPr="006935E8">
        <w:rPr>
          <w:rFonts w:ascii="Times New Roman" w:hAnsi="Times New Roman" w:cs="Times New Roman"/>
          <w:sz w:val="26"/>
          <w:szCs w:val="26"/>
        </w:rPr>
        <w:t xml:space="preserve">) </w:t>
      </w:r>
      <w:r>
        <w:rPr>
          <w:rFonts w:ascii="Times New Roman" w:hAnsi="Times New Roman" w:cs="Times New Roman"/>
          <w:sz w:val="26"/>
          <w:szCs w:val="26"/>
        </w:rPr>
        <w:t xml:space="preserve">на примере протестов в Гонконге 2019 года. Показана результативность данного подхода на примере исследуемых данных относительно других алгоритмов машинного обучения </w:t>
      </w:r>
      <w:r w:rsidRPr="00190287">
        <w:rPr>
          <w:rFonts w:ascii="Times New Roman" w:hAnsi="Times New Roman" w:cs="Times New Roman"/>
          <w:sz w:val="26"/>
          <w:szCs w:val="26"/>
        </w:rPr>
        <w:t>[10].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190287" w:rsidRPr="003459F7" w:rsidRDefault="00190287" w:rsidP="0049062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исследование </w:t>
      </w:r>
      <w:r w:rsidRPr="00190287">
        <w:rPr>
          <w:rFonts w:ascii="Times New Roman" w:hAnsi="Times New Roman" w:cs="Times New Roman"/>
          <w:sz w:val="26"/>
          <w:szCs w:val="26"/>
        </w:rPr>
        <w:t xml:space="preserve">[11] </w:t>
      </w:r>
      <w:r>
        <w:rPr>
          <w:rFonts w:ascii="Times New Roman" w:hAnsi="Times New Roman" w:cs="Times New Roman"/>
          <w:sz w:val="26"/>
          <w:szCs w:val="26"/>
        </w:rPr>
        <w:t xml:space="preserve">рассматривались протесты в Латинской Америке (2012 – 2014) и в качестве данных использовались не только данные социальности сети </w:t>
      </w:r>
      <w:r>
        <w:rPr>
          <w:rFonts w:ascii="Times New Roman" w:hAnsi="Times New Roman" w:cs="Times New Roman"/>
          <w:sz w:val="26"/>
          <w:szCs w:val="26"/>
          <w:lang w:val="en-US"/>
        </w:rPr>
        <w:t>twitter</w:t>
      </w:r>
      <w:r w:rsidRPr="00190287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 xml:space="preserve">ныне </w:t>
      </w:r>
      <w:r>
        <w:rPr>
          <w:rFonts w:ascii="Times New Roman" w:hAnsi="Times New Roman" w:cs="Times New Roman"/>
          <w:sz w:val="26"/>
          <w:szCs w:val="26"/>
          <w:lang w:val="en-US"/>
        </w:rPr>
        <w:t>X</w:t>
      </w:r>
      <w:r w:rsidRPr="00190287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com</w:t>
      </w:r>
      <w:r w:rsidRPr="00190287">
        <w:rPr>
          <w:rFonts w:ascii="Times New Roman" w:hAnsi="Times New Roman" w:cs="Times New Roman"/>
          <w:sz w:val="26"/>
          <w:szCs w:val="26"/>
        </w:rPr>
        <w:t xml:space="preserve">), </w:t>
      </w:r>
      <w:r>
        <w:rPr>
          <w:rFonts w:ascii="Times New Roman" w:hAnsi="Times New Roman" w:cs="Times New Roman"/>
          <w:sz w:val="26"/>
          <w:szCs w:val="26"/>
        </w:rPr>
        <w:t>но и из других источников (новостные, базы данных политических акций,</w:t>
      </w:r>
      <w:r w:rsidRPr="0019028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данные сети </w:t>
      </w:r>
      <w:r>
        <w:rPr>
          <w:rFonts w:ascii="Times New Roman" w:hAnsi="Times New Roman" w:cs="Times New Roman"/>
          <w:sz w:val="26"/>
          <w:szCs w:val="26"/>
          <w:lang w:val="en-US"/>
        </w:rPr>
        <w:t>TOR</w:t>
      </w:r>
      <w:r>
        <w:rPr>
          <w:rFonts w:ascii="Times New Roman" w:hAnsi="Times New Roman" w:cs="Times New Roman"/>
          <w:sz w:val="26"/>
          <w:szCs w:val="26"/>
        </w:rPr>
        <w:t xml:space="preserve">, а также экономическая составляющая). Важно отметить, что </w:t>
      </w:r>
      <w:r w:rsidR="00DB1D51">
        <w:rPr>
          <w:rFonts w:ascii="Times New Roman" w:hAnsi="Times New Roman" w:cs="Times New Roman"/>
          <w:sz w:val="26"/>
          <w:szCs w:val="26"/>
        </w:rPr>
        <w:t>в качестве экономического параметра использовалось только курс валюты, что хоть и является интересным параметром, тем не менее не является достаточным для отражения социально-экономического состояния некоторой территории внутри страны.</w:t>
      </w:r>
    </w:p>
    <w:p w:rsidR="00A82C0E" w:rsidRPr="007F6611" w:rsidRDefault="009061C5" w:rsidP="007F661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lastRenderedPageBreak/>
        <w:t>Общий набор данных</w:t>
      </w:r>
      <w:r w:rsidR="00A82C0E">
        <w:rPr>
          <w:rFonts w:ascii="Times New Roman" w:hAnsi="Times New Roman" w:cs="Times New Roman"/>
          <w:b/>
          <w:i/>
          <w:sz w:val="26"/>
          <w:szCs w:val="26"/>
        </w:rPr>
        <w:t xml:space="preserve">. </w:t>
      </w:r>
      <w:r w:rsidR="007F6611">
        <w:rPr>
          <w:rFonts w:ascii="Times New Roman" w:hAnsi="Times New Roman" w:cs="Times New Roman"/>
          <w:sz w:val="26"/>
          <w:szCs w:val="26"/>
        </w:rPr>
        <w:t xml:space="preserve">Исследуемый датасет включает в себя социально-экономические и демографические данные более 1800 муниципальных образований за период времени с 2014 по 2022 год. При этом данные </w:t>
      </w:r>
      <w:r w:rsidR="0002253B">
        <w:rPr>
          <w:rFonts w:ascii="Times New Roman" w:hAnsi="Times New Roman" w:cs="Times New Roman"/>
          <w:sz w:val="26"/>
          <w:szCs w:val="26"/>
        </w:rPr>
        <w:t>МО</w:t>
      </w:r>
      <w:r w:rsidR="007F6611">
        <w:rPr>
          <w:rFonts w:ascii="Times New Roman" w:hAnsi="Times New Roman" w:cs="Times New Roman"/>
          <w:sz w:val="26"/>
          <w:szCs w:val="26"/>
        </w:rPr>
        <w:t xml:space="preserve"> за отдельный год являются независимыми примерами в датасете</w:t>
      </w:r>
      <w:r w:rsidR="0002253B">
        <w:rPr>
          <w:rFonts w:ascii="Times New Roman" w:hAnsi="Times New Roman" w:cs="Times New Roman"/>
          <w:sz w:val="26"/>
          <w:szCs w:val="26"/>
        </w:rPr>
        <w:t>. Таким образом, итоговый</w:t>
      </w:r>
      <w:r w:rsidR="007F6611">
        <w:rPr>
          <w:rFonts w:ascii="Times New Roman" w:hAnsi="Times New Roman" w:cs="Times New Roman"/>
          <w:sz w:val="26"/>
          <w:szCs w:val="26"/>
        </w:rPr>
        <w:t xml:space="preserve"> набор включает в себя более 9000 примеров. </w:t>
      </w:r>
    </w:p>
    <w:p w:rsidR="00A82C0E" w:rsidRDefault="0002253B" w:rsidP="0002253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Все социально-экономические индикаторы, кроме показателей средних значений, нормированы на душу населения для лучшей оценки с точки зрения обеспеченности населения. Демографические данные также были нормированы как долевые значения конкретной когорты (возрастной группы) от общего числа </w:t>
      </w:r>
      <w:proofErr w:type="gramStart"/>
      <w:r>
        <w:rPr>
          <w:rFonts w:ascii="Times New Roman" w:hAnsi="Times New Roman" w:cs="Times New Roman"/>
          <w:sz w:val="26"/>
          <w:szCs w:val="26"/>
        </w:rPr>
        <w:t>населения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определенного МО, что позволяет оценивать человеческий капитал с позиции структуры, а не количества.</w:t>
      </w:r>
    </w:p>
    <w:p w:rsidR="00083C57" w:rsidRPr="00622848" w:rsidRDefault="00622848" w:rsidP="00083C57">
      <w:pPr>
        <w:pStyle w:val="a5"/>
        <w:spacing w:before="0" w:beforeAutospacing="0" w:after="160" w:afterAutospacing="0" w:line="360" w:lineRule="auto"/>
        <w:ind w:left="-567" w:firstLine="567"/>
        <w:jc w:val="both"/>
        <w:rPr>
          <w:sz w:val="26"/>
          <w:szCs w:val="26"/>
        </w:rPr>
      </w:pPr>
      <w:r>
        <w:rPr>
          <w:sz w:val="26"/>
          <w:szCs w:val="26"/>
        </w:rPr>
        <w:t>Отобранные социально-экономические индикаторы представлены таблице 1.</w:t>
      </w:r>
      <w:r w:rsidR="00083C57" w:rsidRPr="00622848">
        <w:rPr>
          <w:sz w:val="26"/>
          <w:szCs w:val="26"/>
        </w:rPr>
        <w:t xml:space="preserve"> </w:t>
      </w:r>
      <w:r>
        <w:rPr>
          <w:sz w:val="26"/>
          <w:szCs w:val="26"/>
        </w:rPr>
        <w:t>Этот набор факторов был выбран исходя из опыта их использования в задаче прогнозирования миграции, где была продемонстрирована их результативность. Таким образом, эти факторы позволяют адекватно оценивать социально-экономическое состояние муниципального образования.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1. Average number of employers in organizations - </w:t>
      </w:r>
      <w:proofErr w:type="spellStart"/>
      <w:r w:rsidRPr="00083C57">
        <w:rPr>
          <w:sz w:val="26"/>
          <w:szCs w:val="26"/>
          <w:lang w:val="en-US"/>
        </w:rPr>
        <w:t>avgemployers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ppl</w:t>
      </w:r>
      <w:proofErr w:type="spellEnd"/>
      <w:r w:rsidRPr="00083C57">
        <w:rPr>
          <w:sz w:val="26"/>
          <w:szCs w:val="26"/>
          <w:lang w:val="en-US"/>
        </w:rPr>
        <w:t>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2. Average salary - </w:t>
      </w:r>
      <w:proofErr w:type="spellStart"/>
      <w:r w:rsidRPr="00083C57">
        <w:rPr>
          <w:sz w:val="26"/>
          <w:szCs w:val="26"/>
          <w:lang w:val="en-US"/>
        </w:rPr>
        <w:t>avgsalary</w:t>
      </w:r>
      <w:proofErr w:type="spellEnd"/>
      <w:r w:rsidRPr="00083C57">
        <w:rPr>
          <w:sz w:val="26"/>
          <w:szCs w:val="26"/>
          <w:lang w:val="en-US"/>
        </w:rPr>
        <w:t xml:space="preserve"> (rub.)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3. Shopping area - </w:t>
      </w:r>
      <w:proofErr w:type="spellStart"/>
      <w:r w:rsidRPr="00083C57">
        <w:rPr>
          <w:sz w:val="26"/>
          <w:szCs w:val="26"/>
          <w:lang w:val="en-US"/>
        </w:rPr>
        <w:t>shoparea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sq.m</w:t>
      </w:r>
      <w:proofErr w:type="spellEnd"/>
      <w:r w:rsidRPr="00083C57">
        <w:rPr>
          <w:sz w:val="26"/>
          <w:szCs w:val="26"/>
          <w:lang w:val="en-US"/>
        </w:rPr>
        <w:t>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4. Number of seats in café, bars and restaurants - </w:t>
      </w:r>
      <w:proofErr w:type="spellStart"/>
      <w:r w:rsidRPr="00083C57">
        <w:rPr>
          <w:sz w:val="26"/>
          <w:szCs w:val="26"/>
          <w:lang w:val="en-US"/>
        </w:rPr>
        <w:t>foodseats</w:t>
      </w:r>
      <w:proofErr w:type="spellEnd"/>
      <w:r w:rsidRPr="00083C57">
        <w:rPr>
          <w:sz w:val="26"/>
          <w:szCs w:val="26"/>
          <w:lang w:val="en-US"/>
        </w:rPr>
        <w:t xml:space="preserve">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5. Retail turnover - </w:t>
      </w:r>
      <w:proofErr w:type="spellStart"/>
      <w:r w:rsidRPr="00083C57">
        <w:rPr>
          <w:sz w:val="26"/>
          <w:szCs w:val="26"/>
          <w:lang w:val="en-US"/>
        </w:rPr>
        <w:t>retailturnover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thnd</w:t>
      </w:r>
      <w:proofErr w:type="spellEnd"/>
      <w:r w:rsidRPr="00083C57">
        <w:rPr>
          <w:sz w:val="26"/>
          <w:szCs w:val="26"/>
          <w:lang w:val="en-US"/>
        </w:rPr>
        <w:t>. rub.)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6. Live area per capita - </w:t>
      </w:r>
      <w:proofErr w:type="spellStart"/>
      <w:r w:rsidRPr="00083C57">
        <w:rPr>
          <w:sz w:val="26"/>
          <w:szCs w:val="26"/>
          <w:lang w:val="en-US"/>
        </w:rPr>
        <w:t>livarea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sq.m</w:t>
      </w:r>
      <w:proofErr w:type="spellEnd"/>
      <w:r w:rsidRPr="00083C57">
        <w:rPr>
          <w:sz w:val="26"/>
          <w:szCs w:val="26"/>
          <w:lang w:val="en-US"/>
        </w:rPr>
        <w:t>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7. Number of sporting venues - </w:t>
      </w:r>
      <w:proofErr w:type="spellStart"/>
      <w:r w:rsidRPr="00083C57">
        <w:rPr>
          <w:sz w:val="26"/>
          <w:szCs w:val="26"/>
          <w:lang w:val="en-US"/>
        </w:rPr>
        <w:t>sportsvenue</w:t>
      </w:r>
      <w:proofErr w:type="spellEnd"/>
      <w:r w:rsidRPr="00083C57">
        <w:rPr>
          <w:sz w:val="26"/>
          <w:szCs w:val="26"/>
          <w:lang w:val="en-US"/>
        </w:rPr>
        <w:t xml:space="preserve">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8. Number of services (barbershops, repairs) - </w:t>
      </w:r>
      <w:proofErr w:type="spellStart"/>
      <w:r w:rsidRPr="00083C57">
        <w:rPr>
          <w:sz w:val="26"/>
          <w:szCs w:val="26"/>
          <w:lang w:val="en-US"/>
        </w:rPr>
        <w:t>servicesnum</w:t>
      </w:r>
      <w:proofErr w:type="spellEnd"/>
      <w:r w:rsidRPr="00083C57">
        <w:rPr>
          <w:sz w:val="26"/>
          <w:szCs w:val="26"/>
          <w:lang w:val="en-US"/>
        </w:rPr>
        <w:t xml:space="preserve">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9. Length of roads - </w:t>
      </w:r>
      <w:proofErr w:type="spellStart"/>
      <w:r w:rsidRPr="00083C57">
        <w:rPr>
          <w:sz w:val="26"/>
          <w:szCs w:val="26"/>
          <w:lang w:val="en-US"/>
        </w:rPr>
        <w:t>roadslen</w:t>
      </w:r>
      <w:proofErr w:type="spellEnd"/>
      <w:r w:rsidRPr="00083C57">
        <w:rPr>
          <w:sz w:val="26"/>
          <w:szCs w:val="26"/>
          <w:lang w:val="en-US"/>
        </w:rPr>
        <w:t xml:space="preserve"> (km.)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>10. Number of livestock - livestock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>11. Productivity of land (vegetables) - harvest (</w:t>
      </w:r>
      <w:proofErr w:type="spellStart"/>
      <w:r w:rsidRPr="00083C57">
        <w:rPr>
          <w:sz w:val="26"/>
          <w:szCs w:val="26"/>
          <w:lang w:val="en-US"/>
        </w:rPr>
        <w:t>centners</w:t>
      </w:r>
      <w:proofErr w:type="spellEnd"/>
      <w:r w:rsidRPr="00083C57">
        <w:rPr>
          <w:sz w:val="26"/>
          <w:szCs w:val="26"/>
          <w:lang w:val="en-US"/>
        </w:rPr>
        <w:t>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12. Agricultural production - </w:t>
      </w:r>
      <w:proofErr w:type="spellStart"/>
      <w:r w:rsidRPr="00083C57">
        <w:rPr>
          <w:sz w:val="26"/>
          <w:szCs w:val="26"/>
          <w:lang w:val="en-US"/>
        </w:rPr>
        <w:t>agrprod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thnd</w:t>
      </w:r>
      <w:proofErr w:type="spellEnd"/>
      <w:r w:rsidRPr="00083C57">
        <w:rPr>
          <w:sz w:val="26"/>
          <w:szCs w:val="26"/>
          <w:lang w:val="en-US"/>
        </w:rPr>
        <w:t>. rub.)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>13. Number of healthcare organizations - hospitals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>14. Number of places in preschool organizations - preschool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15. Volume of self-produced goods - </w:t>
      </w:r>
      <w:proofErr w:type="spellStart"/>
      <w:r w:rsidRPr="00083C57">
        <w:rPr>
          <w:sz w:val="26"/>
          <w:szCs w:val="26"/>
          <w:lang w:val="en-US"/>
        </w:rPr>
        <w:t>factoriescap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thnd</w:t>
      </w:r>
      <w:proofErr w:type="spellEnd"/>
      <w:r w:rsidRPr="00083C57">
        <w:rPr>
          <w:sz w:val="26"/>
          <w:szCs w:val="26"/>
          <w:lang w:val="en-US"/>
        </w:rPr>
        <w:t>. rub.)</w:t>
      </w:r>
    </w:p>
    <w:p w:rsidR="009061C5" w:rsidRDefault="009061C5" w:rsidP="00DD76F0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 xml:space="preserve">Набор социальных конфликтов. </w:t>
      </w:r>
      <w:r w:rsidR="00DD76F0">
        <w:rPr>
          <w:rFonts w:ascii="Times New Roman" w:hAnsi="Times New Roman" w:cs="Times New Roman"/>
          <w:sz w:val="26"/>
          <w:szCs w:val="26"/>
        </w:rPr>
        <w:t xml:space="preserve">Непосредственным </w:t>
      </w:r>
      <w:r w:rsidR="008C7386">
        <w:rPr>
          <w:rFonts w:ascii="Times New Roman" w:hAnsi="Times New Roman" w:cs="Times New Roman"/>
          <w:sz w:val="26"/>
          <w:szCs w:val="26"/>
        </w:rPr>
        <w:t>источником показателей</w:t>
      </w:r>
      <w:r w:rsidR="00DD76F0">
        <w:rPr>
          <w:rFonts w:ascii="Times New Roman" w:hAnsi="Times New Roman" w:cs="Times New Roman"/>
          <w:sz w:val="26"/>
          <w:szCs w:val="26"/>
        </w:rPr>
        <w:t>, характерных для социального конфликта,</w:t>
      </w:r>
      <w:r w:rsidR="008C7386">
        <w:rPr>
          <w:rFonts w:ascii="Times New Roman" w:hAnsi="Times New Roman" w:cs="Times New Roman"/>
          <w:sz w:val="26"/>
          <w:szCs w:val="26"/>
        </w:rPr>
        <w:t xml:space="preserve"> является состояние определенного МО в </w:t>
      </w:r>
      <w:r w:rsidR="008C7386">
        <w:rPr>
          <w:rFonts w:ascii="Times New Roman" w:hAnsi="Times New Roman" w:cs="Times New Roman"/>
          <w:sz w:val="26"/>
          <w:szCs w:val="26"/>
        </w:rPr>
        <w:lastRenderedPageBreak/>
        <w:t>пер</w:t>
      </w:r>
      <w:r w:rsidR="00DD76F0">
        <w:rPr>
          <w:rFonts w:ascii="Times New Roman" w:hAnsi="Times New Roman" w:cs="Times New Roman"/>
          <w:sz w:val="26"/>
          <w:szCs w:val="26"/>
        </w:rPr>
        <w:t>иод возникновения конфликтной ситуации</w:t>
      </w:r>
      <w:r w:rsidR="008C7386">
        <w:rPr>
          <w:rFonts w:ascii="Times New Roman" w:hAnsi="Times New Roman" w:cs="Times New Roman"/>
          <w:sz w:val="26"/>
          <w:szCs w:val="26"/>
        </w:rPr>
        <w:t>.</w:t>
      </w:r>
      <w:r w:rsidR="00DD76F0">
        <w:rPr>
          <w:rFonts w:ascii="Times New Roman" w:hAnsi="Times New Roman" w:cs="Times New Roman"/>
          <w:sz w:val="26"/>
          <w:szCs w:val="26"/>
        </w:rPr>
        <w:t xml:space="preserve"> Таким образом, фундаментальной составляющей рассматр</w:t>
      </w:r>
      <w:r w:rsidR="00C96081">
        <w:rPr>
          <w:rFonts w:ascii="Times New Roman" w:hAnsi="Times New Roman" w:cs="Times New Roman"/>
          <w:sz w:val="26"/>
          <w:szCs w:val="26"/>
        </w:rPr>
        <w:t>иваемого подхода является набор МО (конфликтов)</w:t>
      </w:r>
      <w:r w:rsidR="00522F41">
        <w:rPr>
          <w:rFonts w:ascii="Times New Roman" w:hAnsi="Times New Roman" w:cs="Times New Roman"/>
          <w:sz w:val="26"/>
          <w:szCs w:val="26"/>
        </w:rPr>
        <w:t>, относительно которых и будет оцениваться похожесть.</w:t>
      </w:r>
    </w:p>
    <w:p w:rsidR="00C779DF" w:rsidRDefault="0010042F" w:rsidP="00EB26B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настоящий момент сформирован набор наиболее резонансных социальных конфликтов в РФ в период с 2013 по 2023 год. Набор включает в себя 21 конфликт в различных муниципальных образованиях, которые сопровождались массовым собранием людей и широкой оглаской в СМИ. </w:t>
      </w:r>
    </w:p>
    <w:p w:rsidR="009C5E81" w:rsidRDefault="0010042F" w:rsidP="00EB26B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Отбор </w:t>
      </w:r>
      <w:r w:rsidR="00EB26BE">
        <w:rPr>
          <w:rFonts w:ascii="Times New Roman" w:hAnsi="Times New Roman" w:cs="Times New Roman"/>
          <w:sz w:val="26"/>
          <w:szCs w:val="26"/>
        </w:rPr>
        <w:t>именно острых</w:t>
      </w:r>
      <w:r>
        <w:rPr>
          <w:rFonts w:ascii="Times New Roman" w:hAnsi="Times New Roman" w:cs="Times New Roman"/>
          <w:sz w:val="26"/>
          <w:szCs w:val="26"/>
        </w:rPr>
        <w:t xml:space="preserve"> конфликтов связан с тем, что их анализ</w:t>
      </w:r>
      <w:r w:rsidR="00EB26BE">
        <w:rPr>
          <w:rFonts w:ascii="Times New Roman" w:hAnsi="Times New Roman" w:cs="Times New Roman"/>
          <w:sz w:val="26"/>
          <w:szCs w:val="26"/>
        </w:rPr>
        <w:t xml:space="preserve"> имеет потенциал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EB26BE">
        <w:rPr>
          <w:rFonts w:ascii="Times New Roman" w:hAnsi="Times New Roman" w:cs="Times New Roman"/>
          <w:sz w:val="26"/>
          <w:szCs w:val="26"/>
        </w:rPr>
        <w:t xml:space="preserve">ярко </w:t>
      </w:r>
      <w:r>
        <w:rPr>
          <w:rFonts w:ascii="Times New Roman" w:hAnsi="Times New Roman" w:cs="Times New Roman"/>
          <w:sz w:val="26"/>
          <w:szCs w:val="26"/>
        </w:rPr>
        <w:t xml:space="preserve">продемонстрировать </w:t>
      </w:r>
      <w:r w:rsidR="00EB26BE">
        <w:rPr>
          <w:rFonts w:ascii="Times New Roman" w:hAnsi="Times New Roman" w:cs="Times New Roman"/>
          <w:sz w:val="26"/>
          <w:szCs w:val="26"/>
        </w:rPr>
        <w:t>тенденции социально-экономических и демографических индикаторов, предрасполагающих к возникновению социальной напряжённости. То есть эти примеры можно рассматривать в качестве локальных «экстремумов» абстрактной функции, отражающей социальный конфликт.</w:t>
      </w:r>
    </w:p>
    <w:p w:rsidR="00BC00D6" w:rsidRPr="009061C5" w:rsidRDefault="0045205D" w:rsidP="0045205D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На рисунке ниже проиллюстрированы демографические данные этих МО на момент социального конфликта (см. рис. 1). Отобранные конфликты были классифицированы по трём группам: «анти-мусорные», «этнические» и «анти-промышленные». Так, на рисунке 1 наблюдаются некоторые отличительные особенности конфликтов. Например, мун. образования, в которых имели место этнические конфликты, отличаются наибольшей долей молодежи среди населения (возрастные группы 20-24, 25-29 и 30-34, см. рис. 1). </w:t>
      </w:r>
    </w:p>
    <w:p w:rsidR="00BA18D5" w:rsidRDefault="00C25934" w:rsidP="00AD3EFC">
      <w:pPr>
        <w:spacing w:after="0"/>
        <w:ind w:left="-567"/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9.95pt;height:220.75pt">
            <v:imagedata r:id="rId4" o:title="Снимок1"/>
          </v:shape>
        </w:pict>
      </w:r>
    </w:p>
    <w:p w:rsidR="0017643F" w:rsidRPr="0017643F" w:rsidRDefault="0017643F" w:rsidP="0017643F">
      <w:pPr>
        <w:ind w:left="-567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 1. Сравнительный анализ демографической структуры на момент возникновения социального конфликта определенного типа</w:t>
      </w:r>
    </w:p>
    <w:p w:rsidR="0017643F" w:rsidRDefault="005F0A02" w:rsidP="005F0A02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муниципальных образованиях с «анти-мусорными» конфликтами наблюдается иная картина, а именно наименьшая доля молодежи в населении (см. рис. 1). При этом эти МО также отличаются высокой долей возрастного населения (группы 60-64, 65-69).</w:t>
      </w:r>
    </w:p>
    <w:p w:rsidR="005F0A02" w:rsidRPr="00C06C6A" w:rsidRDefault="00072CCF" w:rsidP="005F0A02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При рассмотрение социально-экономического состояния также можно наблюдать некоторые тенденции. Так, на рисунке 2 видно, что в развлекательной и сельскохозяйственной сфере МО, отличившееся этническим конфликтом, имеют наихудшие показатели</w:t>
      </w:r>
      <w:r w:rsidR="00EF569D">
        <w:rPr>
          <w:rFonts w:ascii="Times New Roman" w:hAnsi="Times New Roman" w:cs="Times New Roman"/>
          <w:sz w:val="26"/>
          <w:szCs w:val="26"/>
        </w:rPr>
        <w:t xml:space="preserve"> (множество красных зон, низкое значение индикатора)</w:t>
      </w:r>
      <w:r>
        <w:rPr>
          <w:rFonts w:ascii="Times New Roman" w:hAnsi="Times New Roman" w:cs="Times New Roman"/>
          <w:sz w:val="26"/>
          <w:szCs w:val="26"/>
        </w:rPr>
        <w:t xml:space="preserve">, тогда как </w:t>
      </w:r>
      <w:r w:rsidR="00C06C6A">
        <w:rPr>
          <w:rFonts w:ascii="Times New Roman" w:hAnsi="Times New Roman" w:cs="Times New Roman"/>
          <w:sz w:val="26"/>
          <w:szCs w:val="26"/>
        </w:rPr>
        <w:t xml:space="preserve">в МО с другими конфликтами </w:t>
      </w:r>
      <w:r>
        <w:rPr>
          <w:rFonts w:ascii="Times New Roman" w:hAnsi="Times New Roman" w:cs="Times New Roman"/>
          <w:sz w:val="26"/>
          <w:szCs w:val="26"/>
        </w:rPr>
        <w:t xml:space="preserve">по этим показателям </w:t>
      </w:r>
      <w:r w:rsidR="00C06C6A">
        <w:rPr>
          <w:rFonts w:ascii="Times New Roman" w:hAnsi="Times New Roman" w:cs="Times New Roman"/>
          <w:sz w:val="26"/>
          <w:szCs w:val="26"/>
        </w:rPr>
        <w:t>более благоприятная ситуация. В особенности это касается МО с «анти-мусорными» конфликтами, которые, суд</w:t>
      </w:r>
      <w:r w:rsidR="00EF569D">
        <w:rPr>
          <w:rFonts w:ascii="Times New Roman" w:hAnsi="Times New Roman" w:cs="Times New Roman"/>
          <w:sz w:val="26"/>
          <w:szCs w:val="26"/>
        </w:rPr>
        <w:t>я по данным, наиболее сбалансированы</w:t>
      </w:r>
      <w:r w:rsidR="00C06C6A" w:rsidRPr="00C06C6A">
        <w:rPr>
          <w:rFonts w:ascii="Times New Roman" w:hAnsi="Times New Roman" w:cs="Times New Roman"/>
          <w:sz w:val="26"/>
          <w:szCs w:val="26"/>
        </w:rPr>
        <w:t xml:space="preserve"> (</w:t>
      </w:r>
      <w:r w:rsidR="00C06C6A">
        <w:rPr>
          <w:rFonts w:ascii="Times New Roman" w:hAnsi="Times New Roman" w:cs="Times New Roman"/>
          <w:sz w:val="26"/>
          <w:szCs w:val="26"/>
        </w:rPr>
        <w:t>см. рис. 2).</w:t>
      </w:r>
    </w:p>
    <w:p w:rsidR="0017643F" w:rsidRDefault="00C25934" w:rsidP="00AD3EFC">
      <w:pPr>
        <w:spacing w:after="0"/>
        <w:ind w:left="-567"/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pict>
          <v:shape id="_x0000_i1026" type="#_x0000_t75" style="width:418.4pt;height:291.4pt">
            <v:imagedata r:id="rId5" o:title="Снимок"/>
          </v:shape>
        </w:pict>
      </w:r>
    </w:p>
    <w:p w:rsidR="006D18C5" w:rsidRDefault="0017643F" w:rsidP="000613DB">
      <w:pPr>
        <w:ind w:left="-567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 2. Сравнительный анализ социально-экономических факторов </w:t>
      </w:r>
      <w:r w:rsidR="00A71D5D">
        <w:rPr>
          <w:rFonts w:ascii="Times New Roman" w:hAnsi="Times New Roman" w:cs="Times New Roman"/>
          <w:sz w:val="26"/>
          <w:szCs w:val="26"/>
        </w:rPr>
        <w:t>в год</w:t>
      </w:r>
      <w:r>
        <w:rPr>
          <w:rFonts w:ascii="Times New Roman" w:hAnsi="Times New Roman" w:cs="Times New Roman"/>
          <w:sz w:val="26"/>
          <w:szCs w:val="26"/>
        </w:rPr>
        <w:t xml:space="preserve"> возникновения социального конфликта определенного типа</w:t>
      </w:r>
    </w:p>
    <w:p w:rsidR="00BA18D5" w:rsidRPr="002C759F" w:rsidRDefault="002C759F" w:rsidP="006F4137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Таким образом, отличительные особенности между определенными конфликтами наблюдаются как с точки зрения социально-экономических показателей, так и демографической структуры. Несомненно, это является весомым доводом в пользу потенциала использования похожести этих компонент как меры риска возникновения социального конфликта.</w:t>
      </w:r>
    </w:p>
    <w:p w:rsidR="00C64B65" w:rsidRDefault="00A82C0E" w:rsidP="00044A91">
      <w:pPr>
        <w:spacing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 w:rsidRPr="00A82C0E">
        <w:rPr>
          <w:rFonts w:ascii="Times New Roman" w:hAnsi="Times New Roman" w:cs="Times New Roman"/>
          <w:b/>
          <w:i/>
          <w:sz w:val="26"/>
          <w:szCs w:val="26"/>
        </w:rPr>
        <w:t xml:space="preserve">Критерий похожести. </w:t>
      </w:r>
      <w:r w:rsidR="00334DAA">
        <w:rPr>
          <w:rFonts w:ascii="Times New Roman" w:hAnsi="Times New Roman" w:cs="Times New Roman"/>
          <w:sz w:val="26"/>
          <w:szCs w:val="26"/>
        </w:rPr>
        <w:t>Каждое муниципальное образование в наборе данных определяется социально-экономической и демографической компонентой. Так, социально-экономическую составляющую можно представить в виде кортежа:</w:t>
      </w:r>
    </w:p>
    <w:p w:rsidR="00334DAA" w:rsidRPr="009F7C34" w:rsidRDefault="00334DAA" w:rsidP="00334DAA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m:oMath>
        <m:r>
          <w:rPr>
            <w:rFonts w:ascii="Cambria Math" w:hAnsi="Cambria Math" w:cs="Times New Roman"/>
            <w:sz w:val="26"/>
            <w:szCs w:val="26"/>
            <w:lang w:val="en-US"/>
          </w:rPr>
          <m:t>s</m:t>
        </m:r>
        <m:r>
          <w:rPr>
            <w:rFonts w:ascii="Cambria Math" w:hAnsi="Cambria Math" w:cs="Times New Roman"/>
            <w:sz w:val="26"/>
            <w:szCs w:val="26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sc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sc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>,…,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sc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>,…,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sc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n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 xml:space="preserve"> </m:t>
            </m:r>
          </m:e>
        </m:d>
      </m:oMath>
      <w:r w:rsidR="009F7C34">
        <w:rPr>
          <w:rFonts w:ascii="Times New Roman" w:eastAsiaTheme="minorEastAsia" w:hAnsi="Times New Roman" w:cs="Times New Roman"/>
          <w:sz w:val="26"/>
          <w:szCs w:val="26"/>
        </w:rPr>
        <w:t>,</w:t>
      </w:r>
    </w:p>
    <w:p w:rsidR="00334DAA" w:rsidRDefault="009F7C34" w:rsidP="009F7C34">
      <w:pPr>
        <w:spacing w:line="360" w:lineRule="auto"/>
        <w:ind w:left="-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sc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6"/>
          <w:szCs w:val="26"/>
        </w:rPr>
        <w:t xml:space="preserve"> это значение определенного социально-экономического индикатора (см. табл. 1).</w:t>
      </w:r>
    </w:p>
    <w:p w:rsidR="009F7C34" w:rsidRDefault="009F7C34" w:rsidP="009F7C34">
      <w:pPr>
        <w:spacing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t>Демографическая структура в свою очередь может быть представлена как два отдельных кортежа, отражающих долю людей определенного пола, следующего вида:</w:t>
      </w:r>
    </w:p>
    <w:p w:rsidR="009F7C34" w:rsidRPr="009F7C34" w:rsidRDefault="009F7C34" w:rsidP="009F7C34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m:oMath>
        <m:r>
          <w:rPr>
            <w:rFonts w:ascii="Cambria Math" w:hAnsi="Cambria Math" w:cs="Times New Roman"/>
            <w:sz w:val="26"/>
            <w:szCs w:val="26"/>
            <w:lang w:val="en-US"/>
          </w:rPr>
          <m:t>f</m:t>
        </m:r>
        <m:r>
          <w:rPr>
            <w:rFonts w:ascii="Cambria Math" w:hAnsi="Cambria Math" w:cs="Times New Roman"/>
            <w:sz w:val="26"/>
            <w:szCs w:val="26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hAnsi="Cambria Math" w:cs="Times New Roman"/>
                <w:sz w:val="26"/>
                <w:szCs w:val="26"/>
              </w:rPr>
              <m:t>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hAnsi="Cambria Math" w:cs="Times New Roman"/>
                <w:sz w:val="26"/>
                <w:szCs w:val="26"/>
              </w:rPr>
              <m:t>,…,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eastAsiaTheme="minorEastAsia" w:hAnsi="Cambria Math"/>
                <w:sz w:val="26"/>
                <w:szCs w:val="26"/>
              </w:rPr>
              <m:t>…,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k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</m:e>
        </m:d>
      </m:oMath>
      <w:r>
        <w:rPr>
          <w:rFonts w:ascii="Times New Roman" w:eastAsiaTheme="minorEastAsia" w:hAnsi="Times New Roman" w:cs="Times New Roman"/>
          <w:sz w:val="26"/>
          <w:szCs w:val="26"/>
        </w:rPr>
        <w:t>.</w:t>
      </w:r>
    </w:p>
    <w:p w:rsidR="009F7C34" w:rsidRPr="0027388F" w:rsidRDefault="009F7C34" w:rsidP="009F7C34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</w:t>
      </w:r>
      <w:r w:rsidRPr="009F7C34">
        <w:rPr>
          <w:rFonts w:ascii="Times New Roman" w:hAnsi="Times New Roman" w:cs="Times New Roman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i</m:t>
            </m:r>
          </m:sub>
        </m:sSub>
      </m:oMath>
      <w:r w:rsidRPr="009F7C34"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число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женщин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в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определенной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когорте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, </w:t>
      </w:r>
      <m:oMath>
        <m:r>
          <w:rPr>
            <w:rFonts w:ascii="Cambria Math" w:eastAsiaTheme="minorEastAsia" w:hAnsi="Cambria Math"/>
            <w:sz w:val="26"/>
            <w:szCs w:val="26"/>
          </w:rPr>
          <m:t>n</m:t>
        </m:r>
      </m:oMath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общее количество женщин в населении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и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k</w:t>
      </w:r>
      <w:r w:rsidRPr="009F7C34">
        <w:rPr>
          <w:rFonts w:ascii="Times New Roman" w:eastAsiaTheme="minorEastAsia" w:hAnsi="Times New Roman" w:cs="Times New Roman"/>
          <w:i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количество когорт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>.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Представленное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деление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i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6"/>
                <w:szCs w:val="26"/>
              </w:rPr>
              <m:t>n</m:t>
            </m:r>
          </m:den>
        </m:f>
      </m:oMath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позволяет получить значение процентной доли женщин относительно всей популяции. Идентичное выражение используется и для представления мужчин:</w:t>
      </w:r>
    </w:p>
    <w:p w:rsidR="009F7C34" w:rsidRDefault="0027388F" w:rsidP="0027388F">
      <w:pPr>
        <w:spacing w:after="0" w:line="360" w:lineRule="auto"/>
        <w:ind w:left="-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m:oMath>
        <m:r>
          <w:rPr>
            <w:rFonts w:ascii="Cambria Math" w:hAnsi="Cambria Math" w:cs="Times New Roman"/>
            <w:sz w:val="26"/>
            <w:szCs w:val="26"/>
            <w:lang w:val="en-US"/>
          </w:rPr>
          <m:t>m</m:t>
        </m:r>
        <m:r>
          <w:rPr>
            <w:rFonts w:ascii="Cambria Math" w:hAnsi="Cambria Math" w:cs="Times New Roman"/>
            <w:sz w:val="26"/>
            <w:szCs w:val="26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hAnsi="Cambria Math" w:cs="Times New Roman"/>
                <w:sz w:val="26"/>
                <w:szCs w:val="26"/>
              </w:rPr>
              <m:t>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hAnsi="Cambria Math" w:cs="Times New Roman"/>
                <w:sz w:val="26"/>
                <w:szCs w:val="26"/>
              </w:rPr>
              <m:t>,…,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eastAsiaTheme="minorEastAsia" w:hAnsi="Cambria Math"/>
                <w:sz w:val="26"/>
                <w:szCs w:val="26"/>
              </w:rPr>
              <m:t>…,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k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</m:e>
        </m:d>
      </m:oMath>
      <w:r w:rsidRPr="0027388F">
        <w:rPr>
          <w:rFonts w:ascii="Times New Roman" w:eastAsiaTheme="minorEastAsia" w:hAnsi="Times New Roman" w:cs="Times New Roman"/>
          <w:sz w:val="26"/>
          <w:szCs w:val="26"/>
        </w:rPr>
        <w:t>,</w:t>
      </w:r>
    </w:p>
    <w:p w:rsidR="0027388F" w:rsidRDefault="0027388F" w:rsidP="0027388F">
      <w:pPr>
        <w:spacing w:after="0" w:line="360" w:lineRule="auto"/>
        <w:ind w:left="-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m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6"/>
          <w:szCs w:val="26"/>
        </w:rPr>
        <w:t xml:space="preserve"> – число мужчин в определенной когорте, а </w:t>
      </w:r>
      <m:oMath>
        <m:r>
          <w:rPr>
            <w:rFonts w:ascii="Cambria Math" w:eastAsiaTheme="minorEastAsia" w:hAnsi="Cambria Math"/>
            <w:sz w:val="26"/>
            <w:szCs w:val="26"/>
          </w:rPr>
          <m:t>n</m:t>
        </m:r>
      </m:oMath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общее количество мужчин в населении.</w:t>
      </w:r>
    </w:p>
    <w:p w:rsidR="00A82C0E" w:rsidRDefault="00044A91" w:rsidP="00044A91">
      <w:pPr>
        <w:spacing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Для оценки подобия между двумя муниципальными образованиями предлагается использовать </w:t>
      </w:r>
      <w:r w:rsidR="00434629">
        <w:rPr>
          <w:rFonts w:ascii="Times New Roman" w:hAnsi="Times New Roman" w:cs="Times New Roman"/>
          <w:sz w:val="26"/>
          <w:szCs w:val="26"/>
        </w:rPr>
        <w:t xml:space="preserve">совокупную </w:t>
      </w:r>
      <w:r>
        <w:rPr>
          <w:rFonts w:ascii="Times New Roman" w:hAnsi="Times New Roman" w:cs="Times New Roman"/>
          <w:sz w:val="26"/>
          <w:szCs w:val="26"/>
        </w:rPr>
        <w:t>сум</w:t>
      </w:r>
      <w:r w:rsidR="005A4C13">
        <w:rPr>
          <w:rFonts w:ascii="Times New Roman" w:hAnsi="Times New Roman" w:cs="Times New Roman"/>
          <w:sz w:val="26"/>
          <w:szCs w:val="26"/>
        </w:rPr>
        <w:t>му среднеквадратического отклонения социально-э</w:t>
      </w:r>
      <w:r>
        <w:rPr>
          <w:rFonts w:ascii="Times New Roman" w:hAnsi="Times New Roman" w:cs="Times New Roman"/>
          <w:sz w:val="26"/>
          <w:szCs w:val="26"/>
        </w:rPr>
        <w:t>кономических и демографических показателей:</w:t>
      </w:r>
    </w:p>
    <w:p w:rsidR="00A82C0E" w:rsidRPr="004935B8" w:rsidRDefault="00A82C0E" w:rsidP="00A82C0E">
      <w:pPr>
        <w:ind w:left="-567" w:firstLine="567"/>
        <w:rPr>
          <w:rFonts w:ascii="Times New Roman" w:eastAsiaTheme="minorEastAsia" w:hAnsi="Times New Roman" w:cs="Times New Roman"/>
          <w:sz w:val="26"/>
          <w:szCs w:val="26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6"/>
              <w:szCs w:val="26"/>
            </w:rPr>
            <m:t xml:space="preserve">Similarity= 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ω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s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x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y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nary>
            </m:e>
          </m:d>
          <m:r>
            <w:rPr>
              <w:rFonts w:ascii="Cambria Math" w:hAnsi="Cambria Math"/>
              <w:sz w:val="26"/>
              <w:szCs w:val="26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ω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d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k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-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y</m:t>
                                  </m:r>
                                </m:sup>
                              </m:sSub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e>
                  </m:nary>
                  <m:r>
                    <w:rPr>
                      <w:rFonts w:ascii="Cambria Math" w:hAnsi="Cambria Math"/>
                      <w:sz w:val="26"/>
                      <w:szCs w:val="26"/>
                    </w:rPr>
                    <m:t>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-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y</m:t>
                                  </m:r>
                                </m:sup>
                              </m:sSub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e>
                  </m:nary>
                </m:e>
              </m:d>
            </m:e>
          </m:d>
          <m:r>
            <w:rPr>
              <w:rFonts w:ascii="Cambria Math" w:hAnsi="Cambria Math"/>
              <w:sz w:val="26"/>
              <w:szCs w:val="26"/>
            </w:rPr>
            <m:t>(1)</m:t>
          </m:r>
        </m:oMath>
      </m:oMathPara>
    </w:p>
    <w:p w:rsidR="00A82C0E" w:rsidRDefault="00044A91" w:rsidP="005A4C13">
      <w:pPr>
        <w:spacing w:after="0" w:line="360" w:lineRule="auto"/>
        <w:ind w:left="-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где </w:t>
      </w:r>
      <m:oMath>
        <m:sSubSup>
          <m:sSub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</w:rPr>
              <m:t>s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i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x</m:t>
            </m:r>
          </m:sup>
        </m:sSubSup>
      </m:oMath>
      <w:r w:rsidR="00A82C0E" w:rsidRPr="00A82C0E">
        <w:rPr>
          <w:rFonts w:eastAsiaTheme="minorEastAsia"/>
          <w:sz w:val="26"/>
          <w:szCs w:val="26"/>
        </w:rPr>
        <w:t xml:space="preserve">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>– значение соци</w:t>
      </w:r>
      <w:r w:rsidR="00A82C0E">
        <w:rPr>
          <w:rFonts w:ascii="Times New Roman" w:eastAsiaTheme="minorEastAsia" w:hAnsi="Times New Roman" w:cs="Times New Roman"/>
          <w:sz w:val="26"/>
          <w:szCs w:val="26"/>
        </w:rPr>
        <w:t>ально-экономического фактора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 мун. образования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x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</w:rPr>
        <w:t xml:space="preserve">,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n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 – количество факторов, </w:t>
      </w:r>
      <m:oMath>
        <m:sSubSup>
          <m:sSub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i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x</m:t>
            </m:r>
          </m:sup>
        </m:sSubSup>
      </m:oMath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 – </w:t>
      </w:r>
      <w:r w:rsidR="0002253B">
        <w:rPr>
          <w:rFonts w:ascii="Times New Roman" w:eastAsiaTheme="minorEastAsia" w:hAnsi="Times New Roman" w:cs="Times New Roman"/>
          <w:sz w:val="26"/>
          <w:szCs w:val="26"/>
        </w:rPr>
        <w:t>доля</w:t>
      </w:r>
      <w:r w:rsidR="00A82C0E">
        <w:rPr>
          <w:rFonts w:ascii="Times New Roman" w:eastAsiaTheme="minorEastAsia" w:hAnsi="Times New Roman" w:cs="Times New Roman"/>
          <w:sz w:val="26"/>
          <w:szCs w:val="26"/>
        </w:rPr>
        <w:t xml:space="preserve"> человек в когорте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мун. образования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x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</w:rPr>
        <w:t xml:space="preserve">,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k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</w:rPr>
        <w:t xml:space="preserve"> –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количество когорт и </w:t>
      </w:r>
      <m:oMath>
        <m:r>
          <w:rPr>
            <w:rFonts w:ascii="Cambria Math" w:hAnsi="Cambria Math"/>
            <w:sz w:val="26"/>
            <w:szCs w:val="26"/>
          </w:rPr>
          <m:t>ω</m:t>
        </m:r>
      </m:oMath>
      <w:r w:rsidR="00A82C0E" w:rsidRPr="00A82C0E">
        <w:rPr>
          <w:rFonts w:ascii="Cambria Math" w:eastAsiaTheme="minorEastAsia" w:hAnsi="Cambria Math"/>
          <w:sz w:val="26"/>
          <w:szCs w:val="26"/>
        </w:rPr>
        <w:t xml:space="preserve"> –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>коэффициенты значимости для каждой компоненты</w:t>
      </w:r>
      <w:r w:rsidR="00A82C0E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:rsidR="009D5FF0" w:rsidRDefault="009D5FF0" w:rsidP="00622211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9D5FF0">
        <w:rPr>
          <w:rFonts w:ascii="Times New Roman" w:eastAsiaTheme="minorEastAsia" w:hAnsi="Times New Roman" w:cs="Times New Roman"/>
          <w:sz w:val="26"/>
          <w:szCs w:val="26"/>
        </w:rPr>
        <w:t xml:space="preserve">В качестве примера рассмотрим использование этого критерия для поиска наиболее похожих МО на Красноармейский муниципальный район, где в станице Полтавской в 2022 году произошли широкие протесты против мусорного полигона </w:t>
      </w:r>
      <w:r w:rsidRPr="009D5FF0">
        <w:rPr>
          <w:rFonts w:ascii="Times New Roman" w:eastAsiaTheme="minorEastAsia" w:hAnsi="Times New Roman" w:cs="Times New Roman"/>
          <w:b/>
          <w:sz w:val="26"/>
          <w:szCs w:val="26"/>
        </w:rPr>
        <w:t xml:space="preserve">[ссылка на данные из СМИ]. </w:t>
      </w:r>
      <w:r>
        <w:rPr>
          <w:rFonts w:ascii="Times New Roman" w:eastAsiaTheme="minorEastAsia" w:hAnsi="Times New Roman" w:cs="Times New Roman"/>
          <w:sz w:val="26"/>
          <w:szCs w:val="26"/>
        </w:rPr>
        <w:t>Для этого необходимо провести оценку отклонения по критерию (1) всех МО из исследуемого датасета относительно Красноармейского муниципального района (МР) образца 2022 года.</w:t>
      </w:r>
    </w:p>
    <w:p w:rsidR="009D5FF0" w:rsidRPr="009D5FF0" w:rsidRDefault="009D5FF0" w:rsidP="00622211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color w:val="FF0000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Результаты оценки 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>критерия представлены на рисунке 3 (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>слева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 xml:space="preserve">), где все МО отсортированы по возрастанию их отклонения (непохожести) от Красноармейского МР. При этом значение критерия (1) было нормализовано в диапазоне от 0 до 1. Из таблицы видно, что второе место по похожести занимает Красноармейский МР, но образца 2017 года. Это подтверждает адекватность критерия, поскольку очевидно, что среди наиболее похожих 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>ожидаемо наблюдать</w:t>
      </w:r>
      <w:r w:rsidR="00511FD2">
        <w:rPr>
          <w:rFonts w:ascii="Times New Roman" w:eastAsiaTheme="minorEastAsia" w:hAnsi="Times New Roman" w:cs="Times New Roman"/>
          <w:sz w:val="26"/>
          <w:szCs w:val="26"/>
        </w:rPr>
        <w:t xml:space="preserve"> исследуемое МО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 xml:space="preserve">, но за разные периоды времени. На 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lastRenderedPageBreak/>
        <w:t>рисунке 3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 xml:space="preserve"> (справа)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 xml:space="preserve"> также представлен график, демонстрирующий значение критерия (1) для всех МО.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 xml:space="preserve"> Из графика видно, что диапазон отклонения критерия от 0 до 0,1 достигается к </w:t>
      </w:r>
      <w:r w:rsidR="00A71D5D" w:rsidRPr="00A71D5D">
        <w:rPr>
          <w:rFonts w:ascii="Times New Roman" w:eastAsiaTheme="minorEastAsia" w:hAnsi="Times New Roman" w:cs="Times New Roman"/>
          <w:sz w:val="26"/>
          <w:szCs w:val="26"/>
        </w:rPr>
        <w:t>~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 xml:space="preserve">300 примеру, тогда </w:t>
      </w:r>
      <w:r w:rsidR="00A71D5D">
        <w:rPr>
          <w:rFonts w:ascii="Times New Roman" w:eastAsiaTheme="minorEastAsia" w:hAnsi="Times New Roman" w:cs="Times New Roman"/>
          <w:sz w:val="26"/>
          <w:szCs w:val="26"/>
        </w:rPr>
        <w:t xml:space="preserve">как диапазон от 0,1 до 0,2 пересекается уже приблизительно к </w:t>
      </w:r>
      <w:r w:rsidR="00A71D5D" w:rsidRPr="00A71D5D">
        <w:rPr>
          <w:rFonts w:ascii="Times New Roman" w:eastAsiaTheme="minorEastAsia" w:hAnsi="Times New Roman" w:cs="Times New Roman"/>
          <w:sz w:val="26"/>
          <w:szCs w:val="26"/>
        </w:rPr>
        <w:t>~</w:t>
      </w:r>
      <w:r w:rsidR="00A71D5D">
        <w:rPr>
          <w:rFonts w:ascii="Times New Roman" w:eastAsiaTheme="minorEastAsia" w:hAnsi="Times New Roman" w:cs="Times New Roman"/>
          <w:sz w:val="26"/>
          <w:szCs w:val="26"/>
        </w:rPr>
        <w:t>5000 примеру. Это говорит о том, что с точки зрения душевых показателей в РФ наблюдается однородность</w:t>
      </w:r>
      <w:r w:rsidR="00E23273">
        <w:rPr>
          <w:rFonts w:ascii="Times New Roman" w:eastAsiaTheme="minorEastAsia" w:hAnsi="Times New Roman" w:cs="Times New Roman"/>
          <w:sz w:val="26"/>
          <w:szCs w:val="26"/>
        </w:rPr>
        <w:t xml:space="preserve">, т.е. </w:t>
      </w:r>
      <w:r w:rsidR="00511FD2">
        <w:rPr>
          <w:rFonts w:ascii="Times New Roman" w:eastAsiaTheme="minorEastAsia" w:hAnsi="Times New Roman" w:cs="Times New Roman"/>
          <w:sz w:val="26"/>
          <w:szCs w:val="26"/>
        </w:rPr>
        <w:t xml:space="preserve">существует </w:t>
      </w:r>
      <w:r w:rsidR="00E23273">
        <w:rPr>
          <w:rFonts w:ascii="Times New Roman" w:eastAsiaTheme="minorEastAsia" w:hAnsi="Times New Roman" w:cs="Times New Roman"/>
          <w:sz w:val="26"/>
          <w:szCs w:val="26"/>
        </w:rPr>
        <w:t>большое количество МО не с</w:t>
      </w:r>
      <w:r w:rsidR="00511FD2">
        <w:rPr>
          <w:rFonts w:ascii="Times New Roman" w:eastAsiaTheme="minorEastAsia" w:hAnsi="Times New Roman" w:cs="Times New Roman"/>
          <w:sz w:val="26"/>
          <w:szCs w:val="26"/>
        </w:rPr>
        <w:t>ильно отличных</w:t>
      </w:r>
      <w:r w:rsidR="00E23273">
        <w:rPr>
          <w:rFonts w:ascii="Times New Roman" w:eastAsiaTheme="minorEastAsia" w:hAnsi="Times New Roman" w:cs="Times New Roman"/>
          <w:sz w:val="26"/>
          <w:szCs w:val="26"/>
        </w:rPr>
        <w:t xml:space="preserve"> друг от друга с точки зрения экономического и демографического состояния, что в целом является нормальным в рамках одной страны. Данный графический анализ может также являться показателем уникальности исследуемого МО, поскольку чем более выпуклым будет начало кривой, тем меньше существует похожи МО.</w:t>
      </w:r>
    </w:p>
    <w:p w:rsidR="005A4C13" w:rsidRDefault="00C25934" w:rsidP="005A4C13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pict>
          <v:shape id="_x0000_i1027" type="#_x0000_t75" style="width:467.3pt;height:141.3pt">
            <v:imagedata r:id="rId6" o:title="Снимок5"/>
          </v:shape>
        </w:pict>
      </w:r>
    </w:p>
    <w:p w:rsidR="005A4C13" w:rsidRDefault="005A4C13" w:rsidP="005A4C13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Рис. 3. </w:t>
      </w:r>
      <w:r w:rsidR="00622211">
        <w:rPr>
          <w:rFonts w:ascii="Times New Roman" w:eastAsiaTheme="minorEastAsia" w:hAnsi="Times New Roman" w:cs="Times New Roman"/>
          <w:sz w:val="26"/>
          <w:szCs w:val="26"/>
        </w:rPr>
        <w:t xml:space="preserve">Оценка </w:t>
      </w:r>
      <w:r>
        <w:rPr>
          <w:rFonts w:ascii="Times New Roman" w:eastAsiaTheme="minorEastAsia" w:hAnsi="Times New Roman" w:cs="Times New Roman"/>
          <w:sz w:val="26"/>
          <w:szCs w:val="26"/>
        </w:rPr>
        <w:t>похожести</w:t>
      </w:r>
      <w:r w:rsidR="00622211">
        <w:rPr>
          <w:rFonts w:ascii="Times New Roman" w:eastAsiaTheme="minorEastAsia" w:hAnsi="Times New Roman" w:cs="Times New Roman"/>
          <w:sz w:val="26"/>
          <w:szCs w:val="26"/>
        </w:rPr>
        <w:t xml:space="preserve"> на </w:t>
      </w:r>
      <w:r w:rsidR="005019E8">
        <w:rPr>
          <w:rFonts w:ascii="Times New Roman" w:eastAsiaTheme="minorEastAsia" w:hAnsi="Times New Roman" w:cs="Times New Roman"/>
          <w:sz w:val="26"/>
          <w:szCs w:val="26"/>
        </w:rPr>
        <w:t xml:space="preserve">Красноармейский </w:t>
      </w:r>
      <w:r w:rsidR="00A62A72">
        <w:rPr>
          <w:rFonts w:ascii="Times New Roman" w:eastAsiaTheme="minorEastAsia" w:hAnsi="Times New Roman" w:cs="Times New Roman"/>
          <w:sz w:val="26"/>
          <w:szCs w:val="26"/>
        </w:rPr>
        <w:t>МР за 202</w:t>
      </w:r>
      <w:r w:rsidR="005019E8">
        <w:rPr>
          <w:rFonts w:ascii="Times New Roman" w:eastAsiaTheme="minorEastAsia" w:hAnsi="Times New Roman" w:cs="Times New Roman"/>
          <w:sz w:val="26"/>
          <w:szCs w:val="26"/>
        </w:rPr>
        <w:t>2</w:t>
      </w:r>
      <w:r w:rsidR="00622211">
        <w:rPr>
          <w:rFonts w:ascii="Times New Roman" w:eastAsiaTheme="minorEastAsia" w:hAnsi="Times New Roman" w:cs="Times New Roman"/>
          <w:sz w:val="26"/>
          <w:szCs w:val="26"/>
        </w:rPr>
        <w:t xml:space="preserve"> год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по критерию (1)</w:t>
      </w:r>
    </w:p>
    <w:p w:rsidR="00973A9A" w:rsidRDefault="005019E8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В качестве следующего шага необходимо проанализировать полученные результаты похожести </w:t>
      </w:r>
      <w:r w:rsidR="00BE4DD5">
        <w:rPr>
          <w:rFonts w:ascii="Times New Roman" w:eastAsiaTheme="minorEastAsia" w:hAnsi="Times New Roman" w:cs="Times New Roman"/>
          <w:sz w:val="26"/>
          <w:szCs w:val="26"/>
        </w:rPr>
        <w:t xml:space="preserve">социально-экономической и демографический среды 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в контексте идентификации потенциальных социальных конфликтов, что и является главной целью текущего исследования. </w:t>
      </w:r>
      <w:r w:rsidR="00BE4DD5">
        <w:rPr>
          <w:rFonts w:ascii="Times New Roman" w:eastAsiaTheme="minorEastAsia" w:hAnsi="Times New Roman" w:cs="Times New Roman"/>
          <w:sz w:val="26"/>
          <w:szCs w:val="26"/>
        </w:rPr>
        <w:t>К сожалению, в Курганинском МР (1-е место по похожести, см. рис. 3) не удалось найти значимых конфликтов в рамках анализа СМИ. Здесь важно отметить, что с точки зрения идеи метода важна не только похожесть, но и наличие схожего раздражителя.</w:t>
      </w:r>
    </w:p>
    <w:p w:rsidR="009A3877" w:rsidRDefault="00BE4DD5" w:rsidP="009A3877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При анализе Тихорецкого МР образца 2022 года (3-е место по похожести) удалось найти довольно масштабный социальный протест (см. рис. 4, слева), который произошел станице Алексеевской на фоне отключения водопроводной воды. На митинге </w:t>
      </w:r>
      <w:r w:rsidR="009A3877">
        <w:rPr>
          <w:rFonts w:ascii="Times New Roman" w:eastAsiaTheme="minorEastAsia" w:hAnsi="Times New Roman" w:cs="Times New Roman"/>
          <w:sz w:val="26"/>
          <w:szCs w:val="26"/>
        </w:rPr>
        <w:t>приняли участие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более 200 человек. </w:t>
      </w:r>
      <w:r w:rsidR="009A3877">
        <w:rPr>
          <w:rFonts w:ascii="Times New Roman" w:eastAsiaTheme="minorEastAsia" w:hAnsi="Times New Roman" w:cs="Times New Roman"/>
          <w:sz w:val="26"/>
          <w:szCs w:val="26"/>
        </w:rPr>
        <w:t>Это существенное число участников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как для протестных акций в России, так и для самой станицы, которая насчитывает чуть более 3000 человек.</w:t>
      </w:r>
    </w:p>
    <w:p w:rsidR="009A3877" w:rsidRPr="00BE4DD5" w:rsidRDefault="009A3877" w:rsidP="009A3877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Однако, в данном случае можно лишь говорить о совпадение социального напряжения в контексте похожести соц-эко</w:t>
      </w:r>
      <w:proofErr w:type="gramStart"/>
      <w:r>
        <w:rPr>
          <w:rFonts w:ascii="Times New Roman" w:eastAsiaTheme="minorEastAsia" w:hAnsi="Times New Roman" w:cs="Times New Roman"/>
          <w:sz w:val="26"/>
          <w:szCs w:val="26"/>
        </w:rPr>
        <w:t>.</w:t>
      </w:r>
      <w:proofErr w:type="gramEnd"/>
      <w:r>
        <w:rPr>
          <w:rFonts w:ascii="Times New Roman" w:eastAsiaTheme="minorEastAsia" w:hAnsi="Times New Roman" w:cs="Times New Roman"/>
          <w:sz w:val="26"/>
          <w:szCs w:val="26"/>
        </w:rPr>
        <w:t xml:space="preserve"> и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демо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. состояния, тогда как в первую очередь представляет интерес возможность похожей реакции на одинаковый раздражитель. И подобный случай произошел в пос. Каменный (население </w:t>
      </w:r>
      <w:r w:rsidRPr="009A3877">
        <w:rPr>
          <w:rFonts w:ascii="Times New Roman" w:eastAsiaTheme="minorEastAsia" w:hAnsi="Times New Roman" w:cs="Times New Roman"/>
          <w:sz w:val="26"/>
          <w:szCs w:val="26"/>
        </w:rPr>
        <w:t>~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1000 человек, </w:t>
      </w:r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t xml:space="preserve">Тихорецком МР, см. рис. 4), где местные жители </w:t>
      </w:r>
      <w:r w:rsidR="00C218CF">
        <w:rPr>
          <w:rFonts w:ascii="Times New Roman" w:eastAsiaTheme="minorEastAsia" w:hAnsi="Times New Roman" w:cs="Times New Roman"/>
          <w:sz w:val="26"/>
          <w:szCs w:val="26"/>
        </w:rPr>
        <w:t>записал</w:t>
      </w:r>
      <w:r w:rsidR="00782300">
        <w:rPr>
          <w:rFonts w:ascii="Times New Roman" w:eastAsiaTheme="minorEastAsia" w:hAnsi="Times New Roman" w:cs="Times New Roman"/>
          <w:sz w:val="26"/>
          <w:szCs w:val="26"/>
        </w:rPr>
        <w:t>и</w:t>
      </w:r>
      <w:r w:rsidR="00C218CF">
        <w:rPr>
          <w:rFonts w:ascii="Times New Roman" w:eastAsiaTheme="minorEastAsia" w:hAnsi="Times New Roman" w:cs="Times New Roman"/>
          <w:sz w:val="26"/>
          <w:szCs w:val="26"/>
        </w:rPr>
        <w:t xml:space="preserve"> видеообращени</w:t>
      </w:r>
      <w:r w:rsidR="00782300">
        <w:rPr>
          <w:rFonts w:ascii="Times New Roman" w:eastAsiaTheme="minorEastAsia" w:hAnsi="Times New Roman" w:cs="Times New Roman"/>
          <w:sz w:val="26"/>
          <w:szCs w:val="26"/>
        </w:rPr>
        <w:t>е</w:t>
      </w:r>
      <w:r w:rsidR="00C218CF">
        <w:rPr>
          <w:rFonts w:ascii="Times New Roman" w:eastAsiaTheme="minorEastAsia" w:hAnsi="Times New Roman" w:cs="Times New Roman"/>
          <w:sz w:val="26"/>
          <w:szCs w:val="26"/>
        </w:rPr>
        <w:t xml:space="preserve"> с требованием разобраться с работой мусорного полигона. Тем не менее это произошло в Тихорецком МР образца 2024 года, которого нет в датасете.</w:t>
      </w:r>
    </w:p>
    <w:p w:rsidR="00D67CEC" w:rsidRDefault="00C25934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pict>
          <v:shape id="_x0000_i1028" type="#_x0000_t75" style="width:466.65pt;height:122.95pt">
            <v:imagedata r:id="rId7" o:title="Снимок 2022"/>
          </v:shape>
        </w:pict>
      </w:r>
    </w:p>
    <w:p w:rsidR="00D67CEC" w:rsidRDefault="00D67CEC" w:rsidP="00D67CEC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Рис. 4. Митинги в Тихорецком муниципальном районе в 2022 году (слева) и 2024 (справа)</w:t>
      </w:r>
    </w:p>
    <w:p w:rsidR="00C218CF" w:rsidRPr="00D74F7D" w:rsidRDefault="00686BA7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pacing w:val="-8"/>
          <w:sz w:val="26"/>
          <w:szCs w:val="26"/>
        </w:rPr>
      </w:pPr>
      <w:r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При анализе </w:t>
      </w:r>
      <w:proofErr w:type="spellStart"/>
      <w:r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>Белореченского</w:t>
      </w:r>
      <w:proofErr w:type="spellEnd"/>
      <w:r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МР за 2019</w:t>
      </w:r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год (26-е место, см. рис. 3)</w:t>
      </w:r>
      <w:r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был обнаружен</w:t>
      </w:r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социальный </w:t>
      </w:r>
      <w:r w:rsidR="00D74F7D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>протест</w:t>
      </w:r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вокруг мусорного полиго</w:t>
      </w:r>
      <w:r w:rsidR="00D74F7D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>на, но в 2021 году (см. рис. 5). В митинге учувствовали около 500 человек.</w:t>
      </w:r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</w:t>
      </w:r>
      <w:proofErr w:type="spellStart"/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>Белореченский</w:t>
      </w:r>
      <w:proofErr w:type="spellEnd"/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МР образца 2021 также присутствует в датасете и занимает 50 место по похожести. Таким образом, от похожих МО в действительности можно ожидать схожей реакции на определенные социальные раздражители.</w:t>
      </w:r>
    </w:p>
    <w:p w:rsidR="00C218CF" w:rsidRDefault="00C25934" w:rsidP="00C218CF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b/>
          <w:i/>
          <w:sz w:val="26"/>
          <w:szCs w:val="26"/>
        </w:rPr>
      </w:pPr>
      <w:r>
        <w:rPr>
          <w:rFonts w:ascii="Times New Roman" w:eastAsiaTheme="minorEastAsia" w:hAnsi="Times New Roman" w:cs="Times New Roman"/>
          <w:b/>
          <w:i/>
          <w:sz w:val="26"/>
          <w:szCs w:val="26"/>
        </w:rPr>
        <w:pict>
          <v:shape id="_x0000_i1029" type="#_x0000_t75" style="width:389.9pt;height:216.7pt">
            <v:imagedata r:id="rId8" o:title="Снимок 2021"/>
          </v:shape>
        </w:pict>
      </w:r>
    </w:p>
    <w:p w:rsidR="00C218CF" w:rsidRPr="00C218CF" w:rsidRDefault="00C218CF" w:rsidP="00C218CF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Рис. 5. Митинг в Белореченске за закрытие мусорного полигона в 2021 году</w:t>
      </w:r>
    </w:p>
    <w:p w:rsidR="0074170F" w:rsidRDefault="00CC5EEC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Как видно из примера, оценка похожести по даже по одному конфликту представляет интерес, поскольку даёт возможность оценить близость МО к какому-либо специфическому социальному конфликту. Однако, </w:t>
      </w:r>
      <w:r w:rsidR="0074170F">
        <w:rPr>
          <w:rFonts w:ascii="Times New Roman" w:eastAsiaTheme="minorEastAsia" w:hAnsi="Times New Roman" w:cs="Times New Roman"/>
          <w:sz w:val="26"/>
          <w:szCs w:val="26"/>
        </w:rPr>
        <w:t>такой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подход не позволяет проанализировать МО с точки зрения их потенциальной похожести на индикаторы, характерные большинству социальных конфликтов, что в свою очередь можно рассматривать как оценку социальной напряженности.</w:t>
      </w:r>
    </w:p>
    <w:p w:rsidR="00CC5EEC" w:rsidRPr="00C25934" w:rsidRDefault="0074170F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t>Таким образом, используя оценку похожести в качестве базиса, существует возможность реализовать подход, позволяющий оценить наличие муниципальных образований похожих сразу на несколько социальных конфликтов как одного типа, так и различного.</w:t>
      </w:r>
    </w:p>
    <w:p w:rsidR="00C25934" w:rsidRPr="00F833D2" w:rsidRDefault="00D427E9" w:rsidP="00F833D2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D427E9">
        <w:rPr>
          <w:rFonts w:ascii="Times New Roman" w:eastAsiaTheme="minorEastAsia" w:hAnsi="Times New Roman" w:cs="Times New Roman"/>
          <w:b/>
          <w:i/>
          <w:sz w:val="26"/>
          <w:szCs w:val="26"/>
        </w:rPr>
        <w:t>Метод оценки относительной вероятности риска социального конфликта.</w:t>
      </w:r>
      <w:r w:rsidR="009870F9">
        <w:rPr>
          <w:rFonts w:ascii="Times New Roman" w:eastAsiaTheme="minorEastAsia" w:hAnsi="Times New Roman" w:cs="Times New Roman"/>
          <w:b/>
          <w:i/>
          <w:sz w:val="26"/>
          <w:szCs w:val="26"/>
        </w:rPr>
        <w:t xml:space="preserve"> </w:t>
      </w:r>
      <w:r w:rsidR="00F833D2">
        <w:rPr>
          <w:rFonts w:ascii="Times New Roman" w:eastAsiaTheme="minorEastAsia" w:hAnsi="Times New Roman" w:cs="Times New Roman"/>
          <w:sz w:val="26"/>
          <w:szCs w:val="26"/>
        </w:rPr>
        <w:t>В качестве основы для реализации совокупной оценки потенциала к социальному конфликту предлагается использовать систему ранжирования. Подобная система позволит осуществить некоторую рейтинговую оценку похожести всех муниципальных образований датасета относительно каждого социального конфликта по-отдельности. Сумму этих оценок в контексте критерия похожести будет являться мерой так называемого социального риска.</w:t>
      </w:r>
    </w:p>
    <w:p w:rsidR="00DA77FE" w:rsidRDefault="00A6348B" w:rsidP="00DA77FE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Упрощенная схема предлагаемого метода представлена на рисунке 6. Очевидно, что теперь наряду с полнотой и точностью критерия похожести, используемых факторов, а также качества самих данных, фундаментальное значение на результативность будет оказывать и принцип ранжиров</w:t>
      </w:r>
      <w:bookmarkStart w:id="0" w:name="_GoBack"/>
      <w:bookmarkEnd w:id="0"/>
      <w:r>
        <w:rPr>
          <w:rFonts w:ascii="Times New Roman" w:eastAsiaTheme="minorEastAsia" w:hAnsi="Times New Roman" w:cs="Times New Roman"/>
          <w:sz w:val="26"/>
          <w:szCs w:val="26"/>
        </w:rPr>
        <w:t xml:space="preserve">ания. </w:t>
      </w:r>
      <w:r w:rsidR="00027B5E">
        <w:rPr>
          <w:rFonts w:ascii="Times New Roman" w:eastAsiaTheme="minorEastAsia" w:hAnsi="Times New Roman" w:cs="Times New Roman"/>
          <w:sz w:val="26"/>
          <w:szCs w:val="26"/>
        </w:rPr>
        <w:t>Существует множество способов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выполнения ранжирования согласно уровню подобия. Так, наиболее простой вариант – выполнять прогрессивное ранжировани</w:t>
      </w:r>
      <w:r w:rsidR="00027B5E">
        <w:rPr>
          <w:rFonts w:ascii="Times New Roman" w:eastAsiaTheme="minorEastAsia" w:hAnsi="Times New Roman" w:cs="Times New Roman"/>
          <w:sz w:val="26"/>
          <w:szCs w:val="26"/>
        </w:rPr>
        <w:t>е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исходя из занятого места </w:t>
      </w:r>
      <w:r w:rsidR="00027B5E">
        <w:rPr>
          <w:rFonts w:ascii="Times New Roman" w:eastAsiaTheme="minorEastAsia" w:hAnsi="Times New Roman" w:cs="Times New Roman"/>
          <w:sz w:val="26"/>
          <w:szCs w:val="26"/>
        </w:rPr>
        <w:t>по похожести на основе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шк</w:t>
      </w:r>
      <w:r w:rsidR="00027B5E">
        <w:rPr>
          <w:rFonts w:ascii="Times New Roman" w:eastAsiaTheme="minorEastAsia" w:hAnsi="Times New Roman" w:cs="Times New Roman"/>
          <w:sz w:val="26"/>
          <w:szCs w:val="26"/>
        </w:rPr>
        <w:t>алы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от 1 (наиболее похожее, 1-е место) до 0 (наименее похожее, последнее место). </w:t>
      </w:r>
    </w:p>
    <w:p w:rsidR="008E5B17" w:rsidRDefault="00CC5EEC" w:rsidP="00CC5EEC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Анализ графиков с критерием похожести демонстрирует, что к более или менее близким можно отнести первые 300 похожих примеров </w:t>
      </w:r>
      <w:r w:rsidRPr="00CC5EEC">
        <w:rPr>
          <w:rFonts w:ascii="Times New Roman" w:eastAsiaTheme="minorEastAsia" w:hAnsi="Times New Roman" w:cs="Times New Roman"/>
          <w:sz w:val="26"/>
          <w:szCs w:val="26"/>
        </w:rPr>
        <w:t>(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см. рис. 3</w:t>
      </w:r>
      <w:r>
        <w:rPr>
          <w:rFonts w:ascii="Times New Roman" w:eastAsiaTheme="minorEastAsia" w:hAnsi="Times New Roman" w:cs="Times New Roman"/>
          <w:sz w:val="26"/>
          <w:szCs w:val="26"/>
        </w:rPr>
        <w:t>)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. Таким образом,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предлагается использовать ранжирование на основе топ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-300, который заключается в следующей системе оценивания: 1 балл – оценка для МО с 1 по 100 место по похожести</w:t>
      </w:r>
      <w:r w:rsidR="008E5B17" w:rsidRPr="008E5B17">
        <w:rPr>
          <w:rFonts w:ascii="Times New Roman" w:eastAsiaTheme="minorEastAsia" w:hAnsi="Times New Roman" w:cs="Times New Roman"/>
          <w:sz w:val="26"/>
          <w:szCs w:val="26"/>
        </w:rPr>
        <w:t xml:space="preserve">; 0.5 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балл – за 100 по 200 место; 0.2 – балла за близость на уровне с 200 по 300 место.</w:t>
      </w:r>
    </w:p>
    <w:p w:rsidR="00DA5E6C" w:rsidRDefault="00C25934" w:rsidP="00A82C0E">
      <w:pPr>
        <w:ind w:left="-567" w:firstLine="567"/>
        <w:rPr>
          <w:rFonts w:ascii="Times New Roman" w:eastAsiaTheme="minorEastAsia" w:hAnsi="Times New Roman" w:cs="Times New Roman"/>
          <w:i/>
        </w:rPr>
      </w:pPr>
      <w:r>
        <w:rPr>
          <w:rFonts w:ascii="Times New Roman" w:eastAsiaTheme="minorEastAsia" w:hAnsi="Times New Roman" w:cs="Times New Roman"/>
          <w:i/>
        </w:rPr>
        <w:lastRenderedPageBreak/>
        <w:pict>
          <v:shape id="_x0000_i1030" type="#_x0000_t75" style="width:467.3pt;height:419.75pt">
            <v:imagedata r:id="rId9" o:title="Снимок"/>
          </v:shape>
        </w:pict>
      </w:r>
    </w:p>
    <w:p w:rsidR="007F73D9" w:rsidRDefault="008E5B17" w:rsidP="007F73D9">
      <w:pPr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Рис. 6</w:t>
      </w:r>
      <w:r w:rsidR="0097717F">
        <w:rPr>
          <w:rFonts w:ascii="Times New Roman" w:eastAsiaTheme="minorEastAsia" w:hAnsi="Times New Roman" w:cs="Times New Roman"/>
          <w:sz w:val="26"/>
          <w:szCs w:val="26"/>
        </w:rPr>
        <w:t>. Упрощенная схема подхода по оценке социального риска</w:t>
      </w:r>
    </w:p>
    <w:p w:rsidR="0097717F" w:rsidRDefault="0073199F" w:rsidP="0073199F">
      <w:pPr>
        <w:spacing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В результате реализации данного подхода формируется файл с МО из исследуемого датасета, который отсортирован согласно средней оценке ранжирования, т.е. показателем относительного потенциала к социальному конфликту.</w:t>
      </w:r>
      <w:r w:rsidR="000647A9">
        <w:rPr>
          <w:rFonts w:ascii="Times New Roman" w:eastAsiaTheme="minorEastAsia" w:hAnsi="Times New Roman" w:cs="Times New Roman"/>
          <w:sz w:val="26"/>
          <w:szCs w:val="26"/>
        </w:rPr>
        <w:t xml:space="preserve"> На рисунке 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7</w:t>
      </w:r>
      <w:r w:rsidR="000647A9">
        <w:rPr>
          <w:rFonts w:ascii="Times New Roman" w:eastAsiaTheme="minorEastAsia" w:hAnsi="Times New Roman" w:cs="Times New Roman"/>
          <w:sz w:val="26"/>
          <w:szCs w:val="26"/>
        </w:rPr>
        <w:t xml:space="preserve"> показана неполная таблица с оценкой всех МО РФ (см. рис. 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7</w:t>
      </w:r>
      <w:r w:rsidR="000647A9">
        <w:rPr>
          <w:rFonts w:ascii="Times New Roman" w:eastAsiaTheme="minorEastAsia" w:hAnsi="Times New Roman" w:cs="Times New Roman"/>
          <w:sz w:val="26"/>
          <w:szCs w:val="26"/>
        </w:rPr>
        <w:t>)</w:t>
      </w:r>
    </w:p>
    <w:p w:rsidR="007F73D9" w:rsidRPr="0073199F" w:rsidRDefault="007F73D9" w:rsidP="0073199F">
      <w:pPr>
        <w:spacing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97717F" w:rsidRDefault="00C25934" w:rsidP="00D427E9">
      <w:pPr>
        <w:ind w:left="-567"/>
        <w:jc w:val="center"/>
        <w:rPr>
          <w:rFonts w:ascii="Times New Roman" w:eastAsiaTheme="minorEastAsia" w:hAnsi="Times New Roman" w:cs="Times New Roman"/>
          <w:i/>
        </w:rPr>
      </w:pPr>
      <w:r>
        <w:rPr>
          <w:rFonts w:ascii="Times New Roman" w:eastAsiaTheme="minorEastAsia" w:hAnsi="Times New Roman" w:cs="Times New Roman"/>
          <w:i/>
        </w:rPr>
        <w:lastRenderedPageBreak/>
        <w:pict>
          <v:shape id="_x0000_i1031" type="#_x0000_t75" style="width:467.3pt;height:167.75pt">
            <v:imagedata r:id="rId10" o:title="Снимок"/>
          </v:shape>
        </w:pict>
      </w:r>
    </w:p>
    <w:p w:rsidR="0073199F" w:rsidRPr="0073199F" w:rsidRDefault="0073199F" w:rsidP="00D427E9">
      <w:pPr>
        <w:ind w:left="-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73199F">
        <w:rPr>
          <w:rFonts w:ascii="Times New Roman" w:eastAsiaTheme="minorEastAsia" w:hAnsi="Times New Roman" w:cs="Times New Roman"/>
          <w:sz w:val="26"/>
          <w:szCs w:val="26"/>
        </w:rPr>
        <w:t xml:space="preserve">Рис. 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7</w:t>
      </w:r>
      <w:r w:rsidRPr="0073199F">
        <w:rPr>
          <w:rFonts w:ascii="Times New Roman" w:eastAsiaTheme="minorEastAsia" w:hAnsi="Times New Roman" w:cs="Times New Roman"/>
          <w:sz w:val="26"/>
          <w:szCs w:val="26"/>
        </w:rPr>
        <w:t xml:space="preserve">. </w:t>
      </w:r>
      <w:r>
        <w:rPr>
          <w:rFonts w:ascii="Times New Roman" w:eastAsiaTheme="minorEastAsia" w:hAnsi="Times New Roman" w:cs="Times New Roman"/>
          <w:sz w:val="26"/>
          <w:szCs w:val="26"/>
        </w:rPr>
        <w:t>Оценка относительного потенциала к социальному конфликту</w:t>
      </w:r>
    </w:p>
    <w:p w:rsidR="0097717F" w:rsidRDefault="0097717F" w:rsidP="00A82C0E">
      <w:pPr>
        <w:ind w:left="-567" w:firstLine="567"/>
        <w:rPr>
          <w:rFonts w:ascii="Times New Roman" w:eastAsiaTheme="minorEastAsia" w:hAnsi="Times New Roman" w:cs="Times New Roman"/>
          <w:i/>
        </w:rPr>
      </w:pPr>
    </w:p>
    <w:p w:rsidR="009C5E81" w:rsidRPr="00EF569D" w:rsidRDefault="009C5E81" w:rsidP="00A82C0E">
      <w:pPr>
        <w:ind w:left="-567" w:firstLine="567"/>
        <w:rPr>
          <w:rFonts w:ascii="Times New Roman" w:eastAsiaTheme="minorEastAsia" w:hAnsi="Times New Roman" w:cs="Times New Roman"/>
          <w:b/>
          <w:lang w:val="en-US"/>
        </w:rPr>
      </w:pPr>
      <w:r>
        <w:rPr>
          <w:rFonts w:ascii="Times New Roman" w:eastAsiaTheme="minorEastAsia" w:hAnsi="Times New Roman" w:cs="Times New Roman"/>
          <w:b/>
        </w:rPr>
        <w:t>Источники</w:t>
      </w:r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[1]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Similarity</w:t>
      </w: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Approach</w:t>
      </w: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to</w:t>
      </w: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Cities</w:t>
      </w: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Features</w:t>
      </w:r>
      <w:r w:rsidRPr="00672E15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2143A3">
        <w:rPr>
          <w:rFonts w:ascii="Times New Roman" w:hAnsi="Times New Roman" w:cs="Times New Roman"/>
          <w:sz w:val="24"/>
          <w:szCs w:val="24"/>
          <w:lang w:val="en-US"/>
        </w:rPr>
        <w:t xml:space="preserve">2022.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2143A3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hyperlink r:id="rId11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https://www.researchgate.net/publication/358646626_A_Similarity_Approach_to_Cities_and_Features</w:t>
        </w:r>
      </w:hyperlink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1A34">
        <w:rPr>
          <w:rFonts w:ascii="Times New Roman" w:hAnsi="Times New Roman" w:cs="Times New Roman"/>
          <w:sz w:val="24"/>
          <w:szCs w:val="24"/>
          <w:lang w:val="en-US"/>
        </w:rPr>
        <w:t xml:space="preserve">[2] Analysis of the Uniqueness and Similarity of City Landscapes Based on Deep Style Learning. 2021. URL: </w:t>
      </w:r>
      <w:hyperlink r:id="rId12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https://doi.org/10.3390/ijgi10110734</w:t>
        </w:r>
      </w:hyperlink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1A34">
        <w:rPr>
          <w:rFonts w:ascii="Times New Roman" w:hAnsi="Times New Roman" w:cs="Times New Roman"/>
          <w:sz w:val="24"/>
          <w:szCs w:val="24"/>
          <w:lang w:val="en-US"/>
        </w:rPr>
        <w:t>[3]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 xml:space="preserve">Exploring venue-based city-to-city similarity measures. 2013. URL: </w:t>
      </w:r>
      <w:hyperlink r:id="rId13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https://www.researchgate.net/publication/257212810_Exploring_venue-based_city-to-city_similarity_measures</w:t>
        </w:r>
      </w:hyperlink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1A34">
        <w:rPr>
          <w:rFonts w:ascii="Times New Roman" w:hAnsi="Times New Roman" w:cs="Times New Roman"/>
          <w:sz w:val="24"/>
          <w:szCs w:val="24"/>
          <w:lang w:val="en-US"/>
        </w:rPr>
        <w:t>[4]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 xml:space="preserve">The scenario method in urban planning. 2022. URL: </w:t>
      </w:r>
      <w:hyperlink r:id="rId14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https://www.researchgate.net/publication/276321581_The_scenario_method_in_urban_planning</w:t>
        </w:r>
      </w:hyperlink>
    </w:p>
    <w:p w:rsidR="009C5E81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[5] </w:t>
      </w:r>
      <w:r w:rsidRPr="00F24FA1">
        <w:rPr>
          <w:rFonts w:ascii="Times New Roman" w:hAnsi="Times New Roman" w:cs="Times New Roman"/>
          <w:sz w:val="24"/>
          <w:szCs w:val="24"/>
          <w:lang w:val="en-US"/>
        </w:rPr>
        <w:t xml:space="preserve">Are land use conflicts a barrier to sustainable city development? Evidence from </w:t>
      </w:r>
      <w:proofErr w:type="spellStart"/>
      <w:r w:rsidRPr="00F24FA1">
        <w:rPr>
          <w:rFonts w:ascii="Times New Roman" w:hAnsi="Times New Roman" w:cs="Times New Roman"/>
          <w:sz w:val="24"/>
          <w:szCs w:val="24"/>
          <w:lang w:val="en-US"/>
        </w:rPr>
        <w:t>Chattogram</w:t>
      </w:r>
      <w:proofErr w:type="spellEnd"/>
      <w:r w:rsidRPr="00F24FA1">
        <w:rPr>
          <w:rFonts w:ascii="Times New Roman" w:hAnsi="Times New Roman" w:cs="Times New Roman"/>
          <w:sz w:val="24"/>
          <w:szCs w:val="24"/>
          <w:lang w:val="en-US"/>
        </w:rPr>
        <w:t xml:space="preserve"> District of Bangladesh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2025. URL: </w:t>
      </w:r>
      <w:hyperlink r:id="rId15" w:history="1">
        <w:r w:rsidRPr="00DF7F79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https://www.researchgate.net/publication/388926768_Are_land_use_conflicts_a_barrier_to_sustainable_city_development_Evidence_from_Chattogram_District_of_Bangladesh</w:t>
        </w:r>
      </w:hyperlink>
    </w:p>
    <w:p w:rsidR="009C5E81" w:rsidRDefault="009C5E81" w:rsidP="00881BF9">
      <w:pPr>
        <w:spacing w:after="0" w:line="360" w:lineRule="auto"/>
        <w:ind w:left="-567" w:firstLine="567"/>
        <w:jc w:val="both"/>
        <w:rPr>
          <w:rStyle w:val="a3"/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[6] </w:t>
      </w:r>
      <w:r w:rsidRPr="00F24FA1">
        <w:rPr>
          <w:rFonts w:ascii="Times New Roman" w:hAnsi="Times New Roman" w:cs="Times New Roman"/>
          <w:sz w:val="24"/>
          <w:szCs w:val="24"/>
          <w:lang w:val="en-US"/>
        </w:rPr>
        <w:t>Conflicts in urban peripheries in Europe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2023. URL: </w:t>
      </w:r>
      <w:hyperlink r:id="rId16" w:history="1">
        <w:r w:rsidRPr="00DF7F79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https://www.researchgate.net/publication/373236871_Conflicts_in_urban_peripheries_in_Europe</w:t>
        </w:r>
      </w:hyperlink>
    </w:p>
    <w:p w:rsidR="000C3B89" w:rsidRPr="000C3B89" w:rsidRDefault="000C3B89" w:rsidP="00881BF9">
      <w:pPr>
        <w:spacing w:after="0" w:line="360" w:lineRule="auto"/>
        <w:ind w:left="-567" w:firstLine="567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[7] </w:t>
      </w:r>
      <w:proofErr w:type="spellStart"/>
      <w:r w:rsidRPr="000C3B89">
        <w:rPr>
          <w:rFonts w:ascii="Times New Roman" w:hAnsi="Times New Roman" w:cs="Times New Roman"/>
          <w:sz w:val="24"/>
          <w:szCs w:val="24"/>
          <w:lang w:val="en-US"/>
        </w:rPr>
        <w:t>Davydov</w:t>
      </w:r>
      <w:proofErr w:type="spellEnd"/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D. A. (2022) Dynamics of Mass Protest Actions in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Modern Russia: An Event Study.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Monitoring of Public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Opinion: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Economic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and Social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Changes.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No.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5. P. 72–93. https:// doi.org/10.14515/monitoring.2022.5.2199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(In Russ.)</w:t>
      </w:r>
    </w:p>
    <w:p w:rsidR="00A93A1F" w:rsidRDefault="00A93A1F" w:rsidP="00A93A1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[8] </w:t>
      </w:r>
      <w:proofErr w:type="spellStart"/>
      <w:r w:rsidRPr="00661234">
        <w:rPr>
          <w:rFonts w:ascii="Times New Roman" w:hAnsi="Times New Roman" w:cs="Times New Roman"/>
          <w:sz w:val="24"/>
          <w:szCs w:val="24"/>
          <w:lang w:val="en-US"/>
        </w:rPr>
        <w:t>Petrovskii</w:t>
      </w:r>
      <w:proofErr w:type="spellEnd"/>
      <w:r w:rsidRPr="00661234">
        <w:rPr>
          <w:rFonts w:ascii="Times New Roman" w:hAnsi="Times New Roman" w:cs="Times New Roman"/>
          <w:sz w:val="24"/>
          <w:szCs w:val="24"/>
          <w:lang w:val="en-US"/>
        </w:rPr>
        <w:t xml:space="preserve"> S, </w:t>
      </w:r>
      <w:proofErr w:type="spellStart"/>
      <w:r w:rsidRPr="00661234">
        <w:rPr>
          <w:rFonts w:ascii="Times New Roman" w:hAnsi="Times New Roman" w:cs="Times New Roman"/>
          <w:sz w:val="24"/>
          <w:szCs w:val="24"/>
          <w:lang w:val="en-US"/>
        </w:rPr>
        <w:t>Shishlenin</w:t>
      </w:r>
      <w:proofErr w:type="spellEnd"/>
      <w:r w:rsidRPr="00661234">
        <w:rPr>
          <w:rFonts w:ascii="Times New Roman" w:hAnsi="Times New Roman" w:cs="Times New Roman"/>
          <w:sz w:val="24"/>
          <w:szCs w:val="24"/>
          <w:lang w:val="en-US"/>
        </w:rPr>
        <w:t xml:space="preserve"> M, </w:t>
      </w:r>
      <w:proofErr w:type="spellStart"/>
      <w:r w:rsidRPr="00661234">
        <w:rPr>
          <w:rFonts w:ascii="Times New Roman" w:hAnsi="Times New Roman" w:cs="Times New Roman"/>
          <w:sz w:val="24"/>
          <w:szCs w:val="24"/>
          <w:lang w:val="en-US"/>
        </w:rPr>
        <w:t>GlukhovA</w:t>
      </w:r>
      <w:proofErr w:type="spellEnd"/>
      <w:r w:rsidRPr="00661234">
        <w:rPr>
          <w:rFonts w:ascii="Times New Roman" w:hAnsi="Times New Roman" w:cs="Times New Roman"/>
          <w:sz w:val="24"/>
          <w:szCs w:val="24"/>
          <w:lang w:val="en-US"/>
        </w:rPr>
        <w:t xml:space="preserve"> (2025) Understanding stre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et protests: from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amathematical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61234">
        <w:rPr>
          <w:rFonts w:ascii="Times New Roman" w:hAnsi="Times New Roman" w:cs="Times New Roman"/>
          <w:sz w:val="24"/>
          <w:szCs w:val="24"/>
          <w:lang w:val="en-US"/>
        </w:rPr>
        <w:t>model to protest manag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ement.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PLoS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ONE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20(4): e0319837. </w:t>
      </w:r>
      <w:hyperlink r:id="rId17" w:history="1">
        <w:r w:rsidRPr="00F67CF6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https://doi.org/10.1371/journal.pone.0319837</w:t>
        </w:r>
      </w:hyperlink>
    </w:p>
    <w:p w:rsidR="00A93A1F" w:rsidRDefault="004872CF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0C2D48" w:rsidRDefault="000C2D48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[</w:t>
      </w:r>
      <w:r w:rsidR="00A93A1F">
        <w:rPr>
          <w:rFonts w:ascii="Times New Roman" w:hAnsi="Times New Roman" w:cs="Times New Roman"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Nicula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Alexandru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-Sabin and Cretan, Remus and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Simionescu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Mihaela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Oancea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Bogdan and Dragan,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Alexandru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gramStart"/>
      <w:r w:rsidRPr="000C2D48">
        <w:rPr>
          <w:rFonts w:ascii="Times New Roman" w:hAnsi="Times New Roman" w:cs="Times New Roman"/>
          <w:sz w:val="24"/>
          <w:szCs w:val="24"/>
          <w:lang w:val="en-US"/>
        </w:rPr>
        <w:t>The</w:t>
      </w:r>
      <w:proofErr w:type="gram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 City as Stage: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Labour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 Protest, Sentiment, and Machine Learning. </w:t>
      </w:r>
      <w:r>
        <w:rPr>
          <w:rFonts w:ascii="Times New Roman" w:hAnsi="Times New Roman" w:cs="Times New Roman"/>
          <w:sz w:val="24"/>
          <w:szCs w:val="24"/>
          <w:lang w:val="en-US"/>
        </w:rPr>
        <w:t>DOI</w:t>
      </w:r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hyperlink r:id="rId18" w:history="1">
        <w:r w:rsidRPr="00F67CF6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http://dx.doi.org/10.2139/ssrn.5357390</w:t>
        </w:r>
      </w:hyperlink>
    </w:p>
    <w:p w:rsidR="00661234" w:rsidRPr="00661234" w:rsidRDefault="00A93A1F" w:rsidP="00661234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255F5">
        <w:rPr>
          <w:rFonts w:ascii="Times New Roman" w:hAnsi="Times New Roman" w:cs="Times New Roman"/>
          <w:sz w:val="24"/>
          <w:szCs w:val="24"/>
          <w:lang w:val="en-US"/>
        </w:rPr>
        <w:t>[1</w:t>
      </w:r>
      <w:r w:rsidR="004872CF">
        <w:rPr>
          <w:rFonts w:ascii="Times New Roman" w:hAnsi="Times New Roman" w:cs="Times New Roman"/>
          <w:sz w:val="24"/>
          <w:szCs w:val="24"/>
          <w:lang w:val="en-US"/>
        </w:rPr>
        <w:t>0</w:t>
      </w:r>
      <w:r w:rsidR="00B255F5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Iyda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, J.J.,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Geetha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, P. An improved deep belief neural network based civil unrest event forecasting in twitter.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Appl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Intell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 53, 5714–5731 (2023). https://doi.org/10.1007/s10489-022-03746-3</w:t>
      </w:r>
    </w:p>
    <w:p w:rsidR="00A82C0E" w:rsidRPr="009C5E81" w:rsidRDefault="00B255F5" w:rsidP="00A82C0E">
      <w:pPr>
        <w:ind w:left="-567" w:firstLine="567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[1</w:t>
      </w:r>
      <w:r w:rsidR="004872CF">
        <w:rPr>
          <w:rFonts w:ascii="Times New Roman" w:hAnsi="Times New Roman" w:cs="Times New Roman"/>
          <w:sz w:val="26"/>
          <w:szCs w:val="26"/>
          <w:lang w:val="en-US"/>
        </w:rPr>
        <w:t>1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] </w:t>
      </w:r>
      <w:proofErr w:type="spellStart"/>
      <w:r w:rsidRPr="00B255F5">
        <w:rPr>
          <w:rFonts w:ascii="Times New Roman" w:hAnsi="Times New Roman" w:cs="Times New Roman"/>
          <w:sz w:val="26"/>
          <w:szCs w:val="26"/>
          <w:lang w:val="en-US"/>
        </w:rPr>
        <w:t>Korkmaz</w:t>
      </w:r>
      <w:proofErr w:type="spellEnd"/>
      <w:r w:rsidRPr="00B255F5">
        <w:rPr>
          <w:rFonts w:ascii="Times New Roman" w:hAnsi="Times New Roman" w:cs="Times New Roman"/>
          <w:sz w:val="26"/>
          <w:szCs w:val="26"/>
          <w:lang w:val="en-US"/>
        </w:rPr>
        <w:t xml:space="preserve">, G., Cadena, J., Kuhlman, C.J. et al. Multi-source models for civil unrest forecasting. Soc. </w:t>
      </w:r>
      <w:proofErr w:type="spellStart"/>
      <w:r w:rsidRPr="00B255F5">
        <w:rPr>
          <w:rFonts w:ascii="Times New Roman" w:hAnsi="Times New Roman" w:cs="Times New Roman"/>
          <w:sz w:val="26"/>
          <w:szCs w:val="26"/>
          <w:lang w:val="en-US"/>
        </w:rPr>
        <w:t>Netw</w:t>
      </w:r>
      <w:proofErr w:type="spellEnd"/>
      <w:r w:rsidRPr="00B255F5">
        <w:rPr>
          <w:rFonts w:ascii="Times New Roman" w:hAnsi="Times New Roman" w:cs="Times New Roman"/>
          <w:sz w:val="26"/>
          <w:szCs w:val="26"/>
          <w:lang w:val="en-US"/>
        </w:rPr>
        <w:t>. Anal. Min. 6, 50 (2016). https://doi.org/10.1007/s13278-016-0355-8</w:t>
      </w:r>
    </w:p>
    <w:sectPr w:rsidR="00A82C0E" w:rsidRPr="009C5E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2C0E"/>
    <w:rsid w:val="0002253B"/>
    <w:rsid w:val="00027B5E"/>
    <w:rsid w:val="00044A91"/>
    <w:rsid w:val="000613DB"/>
    <w:rsid w:val="000647A9"/>
    <w:rsid w:val="00072CCF"/>
    <w:rsid w:val="00083C57"/>
    <w:rsid w:val="00087875"/>
    <w:rsid w:val="000B6661"/>
    <w:rsid w:val="000C2D48"/>
    <w:rsid w:val="000C3B89"/>
    <w:rsid w:val="000D081A"/>
    <w:rsid w:val="0010042F"/>
    <w:rsid w:val="001102A8"/>
    <w:rsid w:val="00125EBA"/>
    <w:rsid w:val="0017643F"/>
    <w:rsid w:val="00190287"/>
    <w:rsid w:val="00203D58"/>
    <w:rsid w:val="00215158"/>
    <w:rsid w:val="002219CA"/>
    <w:rsid w:val="00222DBB"/>
    <w:rsid w:val="00226A3F"/>
    <w:rsid w:val="00230FDC"/>
    <w:rsid w:val="002375BA"/>
    <w:rsid w:val="0027388F"/>
    <w:rsid w:val="002A0C99"/>
    <w:rsid w:val="002C759F"/>
    <w:rsid w:val="002E1E89"/>
    <w:rsid w:val="00334DAA"/>
    <w:rsid w:val="003459F7"/>
    <w:rsid w:val="003576A6"/>
    <w:rsid w:val="00383293"/>
    <w:rsid w:val="003942E1"/>
    <w:rsid w:val="00397964"/>
    <w:rsid w:val="003A08CA"/>
    <w:rsid w:val="003A1D81"/>
    <w:rsid w:val="003C1D50"/>
    <w:rsid w:val="00434629"/>
    <w:rsid w:val="00451A8E"/>
    <w:rsid w:val="0045205D"/>
    <w:rsid w:val="004872CF"/>
    <w:rsid w:val="00490621"/>
    <w:rsid w:val="004935B8"/>
    <w:rsid w:val="004B4A55"/>
    <w:rsid w:val="005019E8"/>
    <w:rsid w:val="00505551"/>
    <w:rsid w:val="00511FD2"/>
    <w:rsid w:val="00522F41"/>
    <w:rsid w:val="0053118D"/>
    <w:rsid w:val="00562F30"/>
    <w:rsid w:val="00572CD8"/>
    <w:rsid w:val="005A4C13"/>
    <w:rsid w:val="005D0A40"/>
    <w:rsid w:val="005F0A02"/>
    <w:rsid w:val="00617647"/>
    <w:rsid w:val="00622211"/>
    <w:rsid w:val="00622848"/>
    <w:rsid w:val="00645065"/>
    <w:rsid w:val="00661234"/>
    <w:rsid w:val="006630BF"/>
    <w:rsid w:val="00686BA7"/>
    <w:rsid w:val="006935E8"/>
    <w:rsid w:val="006D18C5"/>
    <w:rsid w:val="006E1BD4"/>
    <w:rsid w:val="006E4F63"/>
    <w:rsid w:val="006F4137"/>
    <w:rsid w:val="00701428"/>
    <w:rsid w:val="0073199F"/>
    <w:rsid w:val="0074170F"/>
    <w:rsid w:val="00760864"/>
    <w:rsid w:val="00765A9C"/>
    <w:rsid w:val="00766551"/>
    <w:rsid w:val="00782300"/>
    <w:rsid w:val="007C5E22"/>
    <w:rsid w:val="007E3759"/>
    <w:rsid w:val="007F6611"/>
    <w:rsid w:val="007F73D9"/>
    <w:rsid w:val="00844305"/>
    <w:rsid w:val="00850819"/>
    <w:rsid w:val="00862AE2"/>
    <w:rsid w:val="00881BF9"/>
    <w:rsid w:val="008C4937"/>
    <w:rsid w:val="008C7386"/>
    <w:rsid w:val="008D0801"/>
    <w:rsid w:val="008E5B17"/>
    <w:rsid w:val="009061C5"/>
    <w:rsid w:val="00970B08"/>
    <w:rsid w:val="0097243B"/>
    <w:rsid w:val="00973A9A"/>
    <w:rsid w:val="0097717F"/>
    <w:rsid w:val="009870F9"/>
    <w:rsid w:val="00997FC7"/>
    <w:rsid w:val="009A3877"/>
    <w:rsid w:val="009C5E81"/>
    <w:rsid w:val="009D5FF0"/>
    <w:rsid w:val="009F7C34"/>
    <w:rsid w:val="00A0063D"/>
    <w:rsid w:val="00A25140"/>
    <w:rsid w:val="00A26BFA"/>
    <w:rsid w:val="00A44132"/>
    <w:rsid w:val="00A5493D"/>
    <w:rsid w:val="00A62A72"/>
    <w:rsid w:val="00A6348B"/>
    <w:rsid w:val="00A71D5D"/>
    <w:rsid w:val="00A75CA9"/>
    <w:rsid w:val="00A8136D"/>
    <w:rsid w:val="00A82C0E"/>
    <w:rsid w:val="00A93A1F"/>
    <w:rsid w:val="00AA6BC8"/>
    <w:rsid w:val="00AD3EFC"/>
    <w:rsid w:val="00B255F5"/>
    <w:rsid w:val="00B3170F"/>
    <w:rsid w:val="00B44BD8"/>
    <w:rsid w:val="00B537C6"/>
    <w:rsid w:val="00B57B39"/>
    <w:rsid w:val="00B66416"/>
    <w:rsid w:val="00BA18D5"/>
    <w:rsid w:val="00BC00D6"/>
    <w:rsid w:val="00BE4DD5"/>
    <w:rsid w:val="00BE6C36"/>
    <w:rsid w:val="00BF18AF"/>
    <w:rsid w:val="00C06C6A"/>
    <w:rsid w:val="00C16F09"/>
    <w:rsid w:val="00C218CF"/>
    <w:rsid w:val="00C25934"/>
    <w:rsid w:val="00C509B9"/>
    <w:rsid w:val="00C63803"/>
    <w:rsid w:val="00C64B65"/>
    <w:rsid w:val="00C779DF"/>
    <w:rsid w:val="00C96081"/>
    <w:rsid w:val="00CC5EEC"/>
    <w:rsid w:val="00CD3259"/>
    <w:rsid w:val="00CD55EB"/>
    <w:rsid w:val="00D07145"/>
    <w:rsid w:val="00D26A36"/>
    <w:rsid w:val="00D33E61"/>
    <w:rsid w:val="00D351F6"/>
    <w:rsid w:val="00D427E9"/>
    <w:rsid w:val="00D67CEC"/>
    <w:rsid w:val="00D74F7D"/>
    <w:rsid w:val="00DA0C6B"/>
    <w:rsid w:val="00DA4653"/>
    <w:rsid w:val="00DA5E6C"/>
    <w:rsid w:val="00DA6470"/>
    <w:rsid w:val="00DA77FE"/>
    <w:rsid w:val="00DB1D51"/>
    <w:rsid w:val="00DB2AAE"/>
    <w:rsid w:val="00DB4432"/>
    <w:rsid w:val="00DD76F0"/>
    <w:rsid w:val="00E23273"/>
    <w:rsid w:val="00E45A17"/>
    <w:rsid w:val="00EB26BE"/>
    <w:rsid w:val="00EF569D"/>
    <w:rsid w:val="00F771D2"/>
    <w:rsid w:val="00F833D2"/>
    <w:rsid w:val="00FB2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E8DF92"/>
  <w15:chartTrackingRefBased/>
  <w15:docId w15:val="{75693EA1-FCFB-40C8-89AC-1566FFA4B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C5E81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6E1BD4"/>
    <w:rPr>
      <w:color w:val="954F72" w:themeColor="followedHyperlink"/>
      <w:u w:val="single"/>
    </w:rPr>
  </w:style>
  <w:style w:type="paragraph" w:styleId="a5">
    <w:name w:val="Normal (Web)"/>
    <w:basedOn w:val="a"/>
    <w:uiPriority w:val="99"/>
    <w:unhideWhenUsed/>
    <w:rsid w:val="00083C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Placeholder Text"/>
    <w:basedOn w:val="a0"/>
    <w:uiPriority w:val="99"/>
    <w:semiHidden/>
    <w:rsid w:val="00970B0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820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9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www.researchgate.net/publication/257212810_Exploring_venue-based_city-to-city_similarity_measures" TargetMode="External"/><Relationship Id="rId18" Type="http://schemas.openxmlformats.org/officeDocument/2006/relationships/hyperlink" Target="http://dx.doi.org/10.2139/ssrn.5357390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doi.org/10.3390/ijgi10110734" TargetMode="External"/><Relationship Id="rId17" Type="http://schemas.openxmlformats.org/officeDocument/2006/relationships/hyperlink" Target="https://doi.org/10.1371/journal.pone.0319837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researchgate.net/publication/373236871_Conflicts_in_urban_peripheries_in_Europe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ww.researchgate.net/publication/358646626_A_Similarity_Approach_to_Cities_and_Features" TargetMode="External"/><Relationship Id="rId5" Type="http://schemas.openxmlformats.org/officeDocument/2006/relationships/image" Target="media/image2.png"/><Relationship Id="rId15" Type="http://schemas.openxmlformats.org/officeDocument/2006/relationships/hyperlink" Target="https://www.researchgate.net/publication/388926768_Are_land_use_conflicts_a_barrier_to_sustainable_city_development_Evidence_from_Chattogram_District_of_Bangladesh" TargetMode="External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www.researchgate.net/publication/276321581_The_scenario_method_in_urban_plannin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3126</TotalTime>
  <Pages>12</Pages>
  <Words>2985</Words>
  <Characters>17016</Characters>
  <Application>Microsoft Office Word</Application>
  <DocSecurity>0</DocSecurity>
  <Lines>141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</dc:creator>
  <cp:keywords/>
  <dc:description/>
  <cp:lastModifiedBy>Albert</cp:lastModifiedBy>
  <cp:revision>72</cp:revision>
  <dcterms:created xsi:type="dcterms:W3CDTF">2025-08-24T07:13:00Z</dcterms:created>
  <dcterms:modified xsi:type="dcterms:W3CDTF">2025-09-19T14:33:00Z</dcterms:modified>
</cp:coreProperties>
</file>