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BF16FE" w:rsidRPr="00BF16FE" w:rsidRDefault="00BF16FE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spacing w:val="-6"/>
          <w:sz w:val="26"/>
          <w:szCs w:val="26"/>
        </w:rPr>
        <w:t xml:space="preserve">В разделе 2 выполнен обзор существующих подходов к прогнозу и оценке социальных конфликтов. В разделе 3 проведено описание и анализ наборов данных для решения поставленной задачи. В разделе 4 предложен критерий оценки похожести и анализ её результативности. В разделе 5 предложен метод оценки общего потенциала муниципального образования к социальному конфликту, а в разделе 6 исследуется дополнительная </w:t>
      </w:r>
      <w:r>
        <w:rPr>
          <w:rFonts w:ascii="Times New Roman" w:hAnsi="Times New Roman" w:cs="Times New Roman"/>
          <w:spacing w:val="-6"/>
          <w:sz w:val="26"/>
          <w:szCs w:val="26"/>
        </w:rPr>
        <w:lastRenderedPageBreak/>
        <w:t>возможность прогноза изменения потенциала во времени. Раздел 7 посвящен заключению по проведенному исследованию.</w:t>
      </w:r>
    </w:p>
    <w:bookmarkEnd w:id="0"/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</w:t>
      </w:r>
      <w:r>
        <w:rPr>
          <w:sz w:val="26"/>
          <w:szCs w:val="26"/>
        </w:rPr>
        <w:lastRenderedPageBreak/>
        <w:t>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BF16FE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BF16FE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BF16FE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BF16FE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BF16FE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BF16FE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высокую совокупную оценку более 3 баллов получили 44 примера.  </w:t>
      </w:r>
    </w:p>
    <w:p w:rsidR="005D7982" w:rsidRDefault="00BF16FE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1" type="#_x0000_t75" style="width:282.55pt;height:155.5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7107C0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2" type="#_x0000_t75" style="width:467.3pt;height:167.75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393D67" w:rsidRDefault="00ED268F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730808"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Значимость факторов и прогноз динамики</w:t>
      </w:r>
      <w:r w:rsid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.</w:t>
      </w:r>
      <w:r w:rsidR="00730808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93D67">
        <w:rPr>
          <w:rFonts w:ascii="Times New Roman" w:eastAsiaTheme="minorEastAsia" w:hAnsi="Times New Roman" w:cs="Times New Roman"/>
          <w:sz w:val="26"/>
          <w:szCs w:val="26"/>
        </w:rPr>
        <w:t xml:space="preserve">Разработанный метод осуществляет детерминированное вычисление оценки социального риска по социально-экономическим и демографическим показателям за конкретный момент времени. Соответственно, нельзя вычислить оценку, например, за будущий год (или за тот по которому нет данных).  </w:t>
      </w:r>
    </w:p>
    <w:p w:rsidR="0097717F" w:rsidRDefault="00730808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условиях распространения использования машинного обучения как в целом, так и в прогнозе социальных конфликтов, следует рассмотреть возможность применения данного подхода в контексте реализованного метода оценки потенциала социального конфликта. Использование машинного обучения позволит, с одной стороны, оценить значимость набора факторов, а с другой, сделать прогноз динамики изменения оценки социального риска.</w:t>
      </w:r>
    </w:p>
    <w:p w:rsidR="008F6365" w:rsidRDefault="00730808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Поскольку датасет содержат данные по муниципальным образованиям за определенные годы, то простым вариантом имплементации машинного обучения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 является прогноз социального риска на следующий год, используя при этом социально-экономическим и/или демографическим данные за предыдущий год.</w:t>
      </w:r>
      <w:r w:rsidR="0052666E" w:rsidRPr="005266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Здесь важно отметить, что приятая система оценок ранжирования является простой и понятной для человека, но при этом будет малоэффективной для обучения прогностической модели. В связи с этим вместо принятых оценок, топ-300 следует 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>представить шкалой от 1 до 0, где 1 место получает 1 балл, а 301 –</w:t>
      </w:r>
      <w:r w:rsidR="003C3D48">
        <w:rPr>
          <w:rFonts w:ascii="Times New Roman" w:eastAsiaTheme="minorEastAsia" w:hAnsi="Times New Roman" w:cs="Times New Roman"/>
          <w:sz w:val="26"/>
          <w:szCs w:val="26"/>
        </w:rPr>
        <w:t xml:space="preserve"> 0, что сделает оценки более гладкими.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 xml:space="preserve"> Данный решение внесет несущественные изменения с точки зрения оценки муниципальных образований, но при этом повысит качество обучения моделей.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Предлагается разработать две независимые модели, предполагающие прогноз оценки потенциала отдельно на основе социально-экономических факторов и отдельно на основе демографических данных. Это сделано с целью сфокусировать внимание на значимости факторов, тогда как их совместное использование может перекрывать уровень значимости друг друга.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Итоговый датасет для обучения модели содержит приблизительно 7000 примеров. Сокращение количество примеров вызвано тем, что для обучения модели необходимо знать оценку потенциала социального конфликта за следующий год. Таким образом, все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примеры 2022 года исключатся из датасета, поскольку нельзя рассчитать оценку за 2023 год. Это касается и определенных примеров, не имеющих данных за следующий год, даже за принятый период времени.</w:t>
      </w:r>
    </w:p>
    <w:p w:rsidR="001648E7" w:rsidRDefault="00B70279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Для начальных исследований было при</w:t>
      </w:r>
      <w:r w:rsidR="008019EB">
        <w:rPr>
          <w:rFonts w:ascii="Times New Roman" w:eastAsiaTheme="minorEastAsia" w:hAnsi="Times New Roman" w:cs="Times New Roman"/>
          <w:sz w:val="26"/>
          <w:szCs w:val="26"/>
        </w:rPr>
        <w:t>н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ято решения использовать метод случайного леса. Это простой и популярный подход, который еще и позволяет определить значимость факторов на основе критерия Джини. </w:t>
      </w:r>
      <w:r w:rsidR="001648E7">
        <w:rPr>
          <w:rFonts w:ascii="Times New Roman" w:eastAsiaTheme="minorEastAsia" w:hAnsi="Times New Roman" w:cs="Times New Roman"/>
          <w:sz w:val="26"/>
          <w:szCs w:val="26"/>
        </w:rPr>
        <w:t xml:space="preserve">С целью усилить надежность полученных оценок значимости факторов, а также точности модели, было реализовано 50 циклов обучения с вычислением средних оценок.  </w:t>
      </w:r>
    </w:p>
    <w:p w:rsidR="0052666E" w:rsidRPr="003844A3" w:rsidRDefault="002C56A6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На рисунке визуализирована точность прогноза модели на тестовой выборке. Как видно из диаграммы, при использовании социально-экономическим факторов (слева) прогноз хоть и не идеален, но в первом приближении может считаться удовлетворительным. Так, средняя оценка на тестовой выборке по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Pr="002C56A6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метрике составила 0,</w:t>
      </w:r>
      <w:r>
        <w:rPr>
          <w:rFonts w:ascii="Times New Roman" w:eastAsiaTheme="minorEastAsia" w:hAnsi="Times New Roman" w:cs="Times New Roman"/>
          <w:sz w:val="26"/>
          <w:szCs w:val="26"/>
        </w:rPr>
        <w:t>65 (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 0,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02), что также указывает на достаточную адекватность модели. Справа же на рисунке представлена модель, осуществляющая прогноз только при использовании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демографической структуры. На иллюстрации чётка заметна большая удаленность точек (тестовых примеров) от диагонали, что свидетельствует о большем отклонении прогнозных значений от реальных. Это подтверждается и средней оценкой 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для тестовой выборки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на уровне 0,33 (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0,02)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Такой результат скорее всего вызван тем, что в критерии (4) переменная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</m:oMath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была задана на уровне 0.5. Это решение было принято с целью нивелировать демографические тренды, которые характерны для всей страны, что позволит оценивать похожесть сквозь время.  </w:t>
      </w:r>
    </w:p>
    <w:p w:rsidR="0080793D" w:rsidRDefault="007B2FD5" w:rsidP="00EE57C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Рассмотрим уровни значимости факторов для каждой из модели. 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На рисунке показана гистограмма значимости признаков модели, прогнозирующей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на основе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только соц-эко факторы. Наиболее значимыми факторами являются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риэтйл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фудситс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лечеб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Орган и длина дорог.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Следует отметить, что э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>ти индикаторы позволяют определить не только развитость муниципального образования, но и являются косвенными показателями профиля территории. Например, длина дорог на человека говорит не только об уровне инфраструктуры, но и топологию городских путей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F424DD">
        <w:rPr>
          <w:rFonts w:ascii="Times New Roman" w:eastAsiaTheme="minorEastAsia" w:hAnsi="Times New Roman" w:cs="Times New Roman"/>
          <w:sz w:val="26"/>
          <w:szCs w:val="26"/>
        </w:rPr>
        <w:t>Мун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образ. с одним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градообразующим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предприятием могут иметь ко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роткую длину дорог, тогда как места с большим количества сельхоз полей наоборот скорее будут характеризоваться увеличенной длиной дорожных путей. Большой же уровень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ритэёла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фудситсов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может указывать урбанистический профиль мун. образования, а также большую склонность к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lastRenderedPageBreak/>
        <w:t>потреблению и отдыху определенного вида. Таким образом, эти факторы формируют связь протестного потенциала не только с чисто материальными показателями, но и профилем территории как таковой, что и повышает их значимость в контексте прогноза.</w:t>
      </w:r>
    </w:p>
    <w:p w:rsidR="00EE57C9" w:rsidRPr="00EE57C9" w:rsidRDefault="00EE57C9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связи с низкой точностью демографической модели прогноза, значимости факторов следует рассматривать с осторожностью. На гистограмме видно, что наиболее значимыми являются доли мужчин. молодые группы от 20 до 39 лет. В России в протестах доля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участников мужского пола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действительно превосходит долю жен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ского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однако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последние годы эти доли стремятся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всё к большему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равенству.</w:t>
      </w: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C5E81" w:rsidRPr="00BF16FE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. 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BF16F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148E9"/>
    <w:rsid w:val="0002253B"/>
    <w:rsid w:val="00027B5E"/>
    <w:rsid w:val="00044A91"/>
    <w:rsid w:val="00052F74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648E7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56A6"/>
    <w:rsid w:val="002C759F"/>
    <w:rsid w:val="002E1E89"/>
    <w:rsid w:val="00304942"/>
    <w:rsid w:val="00334DAA"/>
    <w:rsid w:val="003459F7"/>
    <w:rsid w:val="003576A6"/>
    <w:rsid w:val="00383293"/>
    <w:rsid w:val="003844A3"/>
    <w:rsid w:val="00393D67"/>
    <w:rsid w:val="003942E1"/>
    <w:rsid w:val="00397964"/>
    <w:rsid w:val="003A08CA"/>
    <w:rsid w:val="003A1D81"/>
    <w:rsid w:val="003C1D50"/>
    <w:rsid w:val="003C3D48"/>
    <w:rsid w:val="00401EB5"/>
    <w:rsid w:val="00434629"/>
    <w:rsid w:val="00451A8E"/>
    <w:rsid w:val="0045205D"/>
    <w:rsid w:val="004872AE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2666E"/>
    <w:rsid w:val="0053118D"/>
    <w:rsid w:val="005332CA"/>
    <w:rsid w:val="00562F30"/>
    <w:rsid w:val="00572CD8"/>
    <w:rsid w:val="005A4C13"/>
    <w:rsid w:val="005D0A40"/>
    <w:rsid w:val="005D7982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A2C8E"/>
    <w:rsid w:val="006D18C5"/>
    <w:rsid w:val="006E1BD4"/>
    <w:rsid w:val="006E4F63"/>
    <w:rsid w:val="006E7638"/>
    <w:rsid w:val="006F4137"/>
    <w:rsid w:val="006F5408"/>
    <w:rsid w:val="00701428"/>
    <w:rsid w:val="007107C0"/>
    <w:rsid w:val="00726603"/>
    <w:rsid w:val="00730808"/>
    <w:rsid w:val="0073199F"/>
    <w:rsid w:val="0074170F"/>
    <w:rsid w:val="00760864"/>
    <w:rsid w:val="00765A9C"/>
    <w:rsid w:val="00766551"/>
    <w:rsid w:val="00782300"/>
    <w:rsid w:val="007B2FD5"/>
    <w:rsid w:val="007C5E22"/>
    <w:rsid w:val="007E3759"/>
    <w:rsid w:val="007F2D39"/>
    <w:rsid w:val="007F6611"/>
    <w:rsid w:val="007F73D9"/>
    <w:rsid w:val="008019EB"/>
    <w:rsid w:val="0080793D"/>
    <w:rsid w:val="00844305"/>
    <w:rsid w:val="00846BA1"/>
    <w:rsid w:val="00850819"/>
    <w:rsid w:val="00862AE2"/>
    <w:rsid w:val="00881BF9"/>
    <w:rsid w:val="008C4937"/>
    <w:rsid w:val="008C7386"/>
    <w:rsid w:val="008D0801"/>
    <w:rsid w:val="008E5B17"/>
    <w:rsid w:val="008F6365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70279"/>
    <w:rsid w:val="00B9275F"/>
    <w:rsid w:val="00BA18D5"/>
    <w:rsid w:val="00BC00D6"/>
    <w:rsid w:val="00BC029A"/>
    <w:rsid w:val="00BE4DD5"/>
    <w:rsid w:val="00BE6C36"/>
    <w:rsid w:val="00BF16FE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9AD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DE3EAA"/>
    <w:rsid w:val="00DF0391"/>
    <w:rsid w:val="00E10366"/>
    <w:rsid w:val="00E23273"/>
    <w:rsid w:val="00E45A17"/>
    <w:rsid w:val="00EB26BE"/>
    <w:rsid w:val="00EC02FC"/>
    <w:rsid w:val="00ED268F"/>
    <w:rsid w:val="00EE57C9"/>
    <w:rsid w:val="00EF569D"/>
    <w:rsid w:val="00F12A7A"/>
    <w:rsid w:val="00F424DD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0BA6F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4168</TotalTime>
  <Pages>1</Pages>
  <Words>4673</Words>
  <Characters>26641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90</cp:revision>
  <dcterms:created xsi:type="dcterms:W3CDTF">2025-08-24T07:13:00Z</dcterms:created>
  <dcterms:modified xsi:type="dcterms:W3CDTF">2025-10-02T14:15:00Z</dcterms:modified>
</cp:coreProperties>
</file>