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93A1F" w:rsidRDefault="00A93A1F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pacing w:val="-6"/>
          <w:sz w:val="26"/>
          <w:szCs w:val="26"/>
        </w:rPr>
      </w:pPr>
    </w:p>
    <w:p w:rsidR="009C5E81" w:rsidRPr="00881BF9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pacing w:val="-6"/>
          <w:sz w:val="26"/>
          <w:szCs w:val="26"/>
        </w:rPr>
      </w:pPr>
      <w:r w:rsidRPr="00881BF9">
        <w:rPr>
          <w:rFonts w:ascii="Times New Roman" w:hAnsi="Times New Roman" w:cs="Times New Roman"/>
          <w:b/>
          <w:i/>
          <w:spacing w:val="-6"/>
          <w:sz w:val="26"/>
          <w:szCs w:val="26"/>
        </w:rPr>
        <w:t>Актуальность.</w:t>
      </w:r>
      <w:r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В настоящий момент оценка похожести городов (муниципальных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 [1, 2, 3, 4].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[4]. В свою очередь в градостроительной сфере большое значение уделяется социальным конфликтам, возникающим в рамках реализации тех или иных проектов [5, 6]. </w:t>
      </w:r>
      <w:r w:rsidR="008C7386"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Таким образом, </w:t>
      </w:r>
      <w:r w:rsidR="00850819" w:rsidRPr="00881BF9">
        <w:rPr>
          <w:rFonts w:ascii="Times New Roman" w:hAnsi="Times New Roman" w:cs="Times New Roman"/>
          <w:spacing w:val="-6"/>
          <w:sz w:val="26"/>
          <w:szCs w:val="26"/>
        </w:rPr>
        <w:t>прогноз</w:t>
      </w:r>
      <w:r w:rsidR="00522F41"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социальных рисков</w:t>
      </w:r>
      <w:r w:rsidRPr="00881BF9">
        <w:rPr>
          <w:rFonts w:ascii="Times New Roman" w:hAnsi="Times New Roman" w:cs="Times New Roman"/>
          <w:spacing w:val="-6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C63803" w:rsidRPr="00AA6BC8" w:rsidRDefault="0085081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Обзор проблематики. </w:t>
      </w:r>
      <w:r w:rsidR="002375BA">
        <w:rPr>
          <w:rFonts w:ascii="Times New Roman" w:hAnsi="Times New Roman" w:cs="Times New Roman"/>
          <w:sz w:val="26"/>
          <w:szCs w:val="26"/>
        </w:rPr>
        <w:t>Мотивы и факторы современных социальных конфликтов являются предметом серьезного изучения в связи с их большой значимостью на общественно-политическое состояние, которое в свою очередь</w:t>
      </w:r>
      <w:r w:rsidR="00505551">
        <w:rPr>
          <w:rFonts w:ascii="Times New Roman" w:hAnsi="Times New Roman" w:cs="Times New Roman"/>
          <w:sz w:val="26"/>
          <w:szCs w:val="26"/>
        </w:rPr>
        <w:t xml:space="preserve"> неразрывно</w:t>
      </w:r>
      <w:r w:rsidR="00A93A1F">
        <w:rPr>
          <w:rFonts w:ascii="Times New Roman" w:hAnsi="Times New Roman" w:cs="Times New Roman"/>
          <w:sz w:val="26"/>
          <w:szCs w:val="26"/>
        </w:rPr>
        <w:t xml:space="preserve"> взаимосвязано</w:t>
      </w:r>
      <w:r w:rsidR="002375BA">
        <w:rPr>
          <w:rFonts w:ascii="Times New Roman" w:hAnsi="Times New Roman" w:cs="Times New Roman"/>
          <w:sz w:val="26"/>
          <w:szCs w:val="26"/>
        </w:rPr>
        <w:t xml:space="preserve"> с социально-экономическими процессами </w:t>
      </w:r>
      <w:r w:rsidR="002375BA" w:rsidRPr="002375BA">
        <w:rPr>
          <w:rFonts w:ascii="Times New Roman" w:hAnsi="Times New Roman" w:cs="Times New Roman"/>
          <w:sz w:val="26"/>
          <w:szCs w:val="26"/>
        </w:rPr>
        <w:t>[7-11].</w:t>
      </w:r>
      <w:r w:rsidR="002375BA">
        <w:rPr>
          <w:rFonts w:ascii="Times New Roman" w:hAnsi="Times New Roman" w:cs="Times New Roman"/>
          <w:sz w:val="26"/>
          <w:szCs w:val="26"/>
        </w:rPr>
        <w:t xml:space="preserve"> </w:t>
      </w:r>
      <w:r w:rsidR="00A93A1F">
        <w:rPr>
          <w:rFonts w:ascii="Times New Roman" w:hAnsi="Times New Roman" w:cs="Times New Roman"/>
          <w:sz w:val="26"/>
          <w:szCs w:val="26"/>
        </w:rPr>
        <w:t xml:space="preserve">Поскольку множество </w:t>
      </w:r>
      <w:r w:rsidR="00CD3259">
        <w:rPr>
          <w:rFonts w:ascii="Times New Roman" w:hAnsi="Times New Roman" w:cs="Times New Roman"/>
          <w:sz w:val="26"/>
          <w:szCs w:val="26"/>
        </w:rPr>
        <w:t>механизмов</w:t>
      </w:r>
      <w:r w:rsidR="00AA6BC8">
        <w:rPr>
          <w:rFonts w:ascii="Times New Roman" w:hAnsi="Times New Roman" w:cs="Times New Roman"/>
          <w:sz w:val="26"/>
          <w:szCs w:val="26"/>
        </w:rPr>
        <w:t xml:space="preserve"> данной сфер</w:t>
      </w:r>
      <w:r w:rsidR="00CD3259">
        <w:rPr>
          <w:rFonts w:ascii="Times New Roman" w:hAnsi="Times New Roman" w:cs="Times New Roman"/>
          <w:sz w:val="26"/>
          <w:szCs w:val="26"/>
        </w:rPr>
        <w:t>ы</w:t>
      </w:r>
      <w:r w:rsidR="00AA6BC8">
        <w:rPr>
          <w:rFonts w:ascii="Times New Roman" w:hAnsi="Times New Roman" w:cs="Times New Roman"/>
          <w:sz w:val="26"/>
          <w:szCs w:val="26"/>
        </w:rPr>
        <w:t xml:space="preserve"> остаются</w:t>
      </w:r>
      <w:r w:rsidR="00A93A1F">
        <w:rPr>
          <w:rFonts w:ascii="Times New Roman" w:hAnsi="Times New Roman" w:cs="Times New Roman"/>
          <w:sz w:val="26"/>
          <w:szCs w:val="26"/>
        </w:rPr>
        <w:t xml:space="preserve"> неизвестными, дискуссионными либо же плохо изученными, актуальность </w:t>
      </w:r>
      <w:r w:rsidR="00AA6BC8">
        <w:rPr>
          <w:rFonts w:ascii="Times New Roman" w:hAnsi="Times New Roman" w:cs="Times New Roman"/>
          <w:sz w:val="26"/>
          <w:szCs w:val="26"/>
        </w:rPr>
        <w:t xml:space="preserve">исследований не вызывает сомнений, что также отражается в увеличении количества современных работе по рассматриваемой тематике </w:t>
      </w:r>
      <w:r w:rsidR="00AA6BC8" w:rsidRPr="00AA6BC8">
        <w:rPr>
          <w:rFonts w:ascii="Times New Roman" w:hAnsi="Times New Roman" w:cs="Times New Roman"/>
          <w:sz w:val="26"/>
          <w:szCs w:val="26"/>
        </w:rPr>
        <w:t>[</w:t>
      </w:r>
      <w:r w:rsidR="00AA6BC8">
        <w:rPr>
          <w:rFonts w:ascii="Times New Roman" w:hAnsi="Times New Roman" w:cs="Times New Roman"/>
          <w:sz w:val="26"/>
          <w:szCs w:val="26"/>
        </w:rPr>
        <w:t>7, 8</w:t>
      </w:r>
      <w:r w:rsidR="00AA6BC8" w:rsidRPr="00AA6BC8">
        <w:rPr>
          <w:rFonts w:ascii="Times New Roman" w:hAnsi="Times New Roman" w:cs="Times New Roman"/>
          <w:sz w:val="26"/>
          <w:szCs w:val="26"/>
        </w:rPr>
        <w:t>].</w:t>
      </w:r>
    </w:p>
    <w:p w:rsidR="003C1D50" w:rsidRDefault="00451A8E" w:rsidP="003C1D5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Существуют различные подходы изучения социальных конфликтов. До сих пор наиболее популярным является рассмотрение данной проблематики в контексте социологических и психологических исследований </w:t>
      </w:r>
      <w:r w:rsidRPr="00451A8E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7, 8</w:t>
      </w:r>
      <w:r w:rsidRPr="00451A8E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451A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Однако, необходимо отметить, что точность прогнозов, которые основаны только лишь на социологических данных, не демонстрируют высокую точность </w:t>
      </w:r>
      <w:r w:rsidRPr="00451A8E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451A8E">
        <w:rPr>
          <w:rFonts w:ascii="Times New Roman" w:hAnsi="Times New Roman" w:cs="Times New Roman"/>
          <w:sz w:val="26"/>
          <w:szCs w:val="26"/>
        </w:rPr>
        <w:t>].</w:t>
      </w:r>
      <w:r w:rsidR="003C1D5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0C6B" w:rsidRPr="00CD3259" w:rsidRDefault="003C1D50" w:rsidP="003C1D5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D3259">
        <w:rPr>
          <w:rFonts w:ascii="Times New Roman" w:hAnsi="Times New Roman" w:cs="Times New Roman"/>
          <w:sz w:val="26"/>
          <w:szCs w:val="26"/>
          <w:highlight w:val="cyan"/>
        </w:rPr>
        <w:t xml:space="preserve">К менее традиционному подходу, но всё же актуальному, можно отнести математическое моделирование коллективного поведения [8]. Разрабатываются различные </w:t>
      </w:r>
      <w:proofErr w:type="spellStart"/>
      <w:r w:rsidRPr="00CD3259">
        <w:rPr>
          <w:rFonts w:ascii="Times New Roman" w:hAnsi="Times New Roman" w:cs="Times New Roman"/>
          <w:sz w:val="26"/>
          <w:szCs w:val="26"/>
          <w:highlight w:val="cyan"/>
        </w:rPr>
        <w:t>агентные</w:t>
      </w:r>
      <w:proofErr w:type="spellEnd"/>
      <w:r w:rsidRPr="00CD3259">
        <w:rPr>
          <w:rFonts w:ascii="Times New Roman" w:hAnsi="Times New Roman" w:cs="Times New Roman"/>
          <w:sz w:val="26"/>
          <w:szCs w:val="26"/>
          <w:highlight w:val="cyan"/>
        </w:rPr>
        <w:t xml:space="preserve"> системы, позволяющие </w:t>
      </w:r>
      <w:r w:rsidR="00CD3259" w:rsidRPr="00CD3259">
        <w:rPr>
          <w:rFonts w:ascii="Times New Roman" w:hAnsi="Times New Roman" w:cs="Times New Roman"/>
          <w:sz w:val="26"/>
          <w:szCs w:val="26"/>
          <w:highlight w:val="cyan"/>
        </w:rPr>
        <w:t>изучить и сымитировать динамику протестов.</w:t>
      </w:r>
      <w:r w:rsidR="00CD3259" w:rsidRPr="00CD32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4F63" w:rsidRPr="00CD3259" w:rsidRDefault="00CD325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последн</w:t>
      </w:r>
      <w:r w:rsidR="00125EBA">
        <w:rPr>
          <w:rFonts w:ascii="Times New Roman" w:hAnsi="Times New Roman" w:cs="Times New Roman"/>
          <w:sz w:val="26"/>
          <w:szCs w:val="26"/>
        </w:rPr>
        <w:t xml:space="preserve">ие годы </w:t>
      </w:r>
      <w:r>
        <w:rPr>
          <w:rFonts w:ascii="Times New Roman" w:hAnsi="Times New Roman" w:cs="Times New Roman"/>
          <w:sz w:val="26"/>
          <w:szCs w:val="26"/>
        </w:rPr>
        <w:t xml:space="preserve">набирает популярность использование машинного обучения в вопросе исследования и прогноза социальных конфликтов </w:t>
      </w:r>
      <w:r w:rsidRPr="00CD3259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9, 10, </w:t>
      </w:r>
      <w:r w:rsidRPr="00CD3259">
        <w:rPr>
          <w:rFonts w:ascii="Times New Roman" w:hAnsi="Times New Roman" w:cs="Times New Roman"/>
          <w:sz w:val="26"/>
          <w:szCs w:val="26"/>
        </w:rPr>
        <w:t xml:space="preserve">11]. </w:t>
      </w:r>
      <w:r>
        <w:rPr>
          <w:rFonts w:ascii="Times New Roman" w:hAnsi="Times New Roman" w:cs="Times New Roman"/>
          <w:sz w:val="26"/>
          <w:szCs w:val="26"/>
        </w:rPr>
        <w:t xml:space="preserve">Эти исследования, как правило, базируются на анализе общественных настроений, которое осуществляется путём мониторинга социальных сетей и СМИ </w:t>
      </w:r>
      <w:r w:rsidRPr="00CD3259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 xml:space="preserve">9, 10, </w:t>
      </w:r>
      <w:r w:rsidRPr="00CD3259">
        <w:rPr>
          <w:rFonts w:ascii="Times New Roman" w:hAnsi="Times New Roman" w:cs="Times New Roman"/>
          <w:sz w:val="26"/>
          <w:szCs w:val="26"/>
        </w:rPr>
        <w:t>11]</w:t>
      </w:r>
      <w:r w:rsidRPr="00CD325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CD3259" w:rsidRPr="002375BA" w:rsidRDefault="00CD3259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50819" w:rsidRPr="00850819" w:rsidRDefault="009C5E81" w:rsidP="008508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Отобранные конфликты были классифицированы по трём группам: «анти-мусорные», «этнические» и «анти-промышленные». Так, на рисунке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0C2D48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20.5pt">
            <v:imagedata r:id="rId4" o:title="Снимок1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рассмотрение социально-экономического состояния также можно наблюдать некоторые тенденции. Так, на рисунке 2 видно, что в развлекательной и сельскохозяйственной сфере МО, отличившееся этническим конфликтом, имеют наихудшие показатели</w:t>
      </w:r>
      <w:r w:rsidR="00EF569D">
        <w:rPr>
          <w:rFonts w:ascii="Times New Roman" w:hAnsi="Times New Roman" w:cs="Times New Roman"/>
          <w:sz w:val="26"/>
          <w:szCs w:val="26"/>
        </w:rPr>
        <w:t xml:space="preserve"> (множество красных зон, низкое значение индикатора)</w:t>
      </w:r>
      <w:r>
        <w:rPr>
          <w:rFonts w:ascii="Times New Roman" w:hAnsi="Times New Roman" w:cs="Times New Roman"/>
          <w:sz w:val="26"/>
          <w:szCs w:val="26"/>
        </w:rPr>
        <w:t xml:space="preserve">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</w:t>
      </w:r>
      <w:r w:rsidR="00EF569D">
        <w:rPr>
          <w:rFonts w:ascii="Times New Roman" w:hAnsi="Times New Roman" w:cs="Times New Roman"/>
          <w:sz w:val="26"/>
          <w:szCs w:val="26"/>
        </w:rPr>
        <w:t>я по данным, наиболее сбалансированы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0C2D48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pict>
          <v:shape id="_x0000_i1026" type="#_x0000_t75" style="width:363.75pt;height:279.75pt">
            <v:imagedata r:id="rId5" o:title="Снимок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82C0E" w:rsidRDefault="00A82C0E" w:rsidP="00044A9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r w:rsidR="00044A91">
        <w:rPr>
          <w:rFonts w:ascii="Times New Roman" w:hAnsi="Times New Roman" w:cs="Times New Roman"/>
          <w:sz w:val="26"/>
          <w:szCs w:val="26"/>
        </w:rPr>
        <w:t xml:space="preserve">Для оценки подобия между двумя муниципальными образованиями предлагается использовать </w:t>
      </w:r>
      <w:r w:rsidR="00434629">
        <w:rPr>
          <w:rFonts w:ascii="Times New Roman" w:hAnsi="Times New Roman" w:cs="Times New Roman"/>
          <w:sz w:val="26"/>
          <w:szCs w:val="26"/>
        </w:rPr>
        <w:t xml:space="preserve">совокупную </w:t>
      </w:r>
      <w:r w:rsidR="00044A91">
        <w:rPr>
          <w:rFonts w:ascii="Times New Roman" w:hAnsi="Times New Roman" w:cs="Times New Roman"/>
          <w:sz w:val="26"/>
          <w:szCs w:val="26"/>
        </w:rPr>
        <w:t>сум</w:t>
      </w:r>
      <w:r w:rsidR="005A4C13">
        <w:rPr>
          <w:rFonts w:ascii="Times New Roman" w:hAnsi="Times New Roman" w:cs="Times New Roman"/>
          <w:sz w:val="26"/>
          <w:szCs w:val="26"/>
        </w:rPr>
        <w:t>му среднеквадратического отклонения социально-э</w:t>
      </w:r>
      <w:r w:rsidR="00044A91">
        <w:rPr>
          <w:rFonts w:ascii="Times New Roman" w:hAnsi="Times New Roman" w:cs="Times New Roman"/>
          <w:sz w:val="26"/>
          <w:szCs w:val="26"/>
        </w:rPr>
        <w:t>кономических и демографических показателей:</w:t>
      </w:r>
    </w:p>
    <w:p w:rsidR="00A82C0E" w:rsidRPr="004935B8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(1)</m:t>
          </m:r>
        </m:oMath>
      </m:oMathPara>
    </w:p>
    <w:p w:rsidR="00A82C0E" w:rsidRDefault="00044A91" w:rsidP="005A4C13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22211" w:rsidRDefault="00622211" w:rsidP="0062221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качестве примера рассмотрим использование данного критерия для поиска наиболее похожих МО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муниципальный район, где в 20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20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году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произошла эскалация конфликта против разработки у месторождения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Крыктытау</w:t>
      </w:r>
      <w:proofErr w:type="spellEnd"/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Для этого необходимо провести оценку отклонения по критерию (1) всех МО из исследуемого датасета относительно </w:t>
      </w:r>
      <w:proofErr w:type="spellStart"/>
      <w:r w:rsidR="00FB2E43">
        <w:rPr>
          <w:rFonts w:ascii="Times New Roman" w:eastAsiaTheme="minorEastAsia" w:hAnsi="Times New Roman" w:cs="Times New Roman"/>
          <w:sz w:val="26"/>
          <w:szCs w:val="26"/>
        </w:rPr>
        <w:t>Абзелиловского</w:t>
      </w:r>
      <w:proofErr w:type="spellEnd"/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муниципального района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(МР)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5493D" w:rsidRDefault="00FB2E43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На рисунке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отсортированном порядке продемонстрированы 15 наиболее похожих МО на </w:t>
      </w:r>
      <w:proofErr w:type="spellStart"/>
      <w:r w:rsidR="00D33E61">
        <w:rPr>
          <w:rFonts w:ascii="Times New Roman" w:eastAsiaTheme="minorEastAsia" w:hAnsi="Times New Roman" w:cs="Times New Roman"/>
          <w:sz w:val="26"/>
          <w:szCs w:val="26"/>
        </w:rPr>
        <w:t>Абзелиловскский</w:t>
      </w:r>
      <w:proofErr w:type="spellEnd"/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муниципального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район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образца 2020 года, т.е. показавших по критерию (1) наименьшее отклонение. 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И в первую очередь следует отметить, что среди первых в списке всё- также </w:t>
      </w:r>
      <w:proofErr w:type="spellStart"/>
      <w:r w:rsidR="005D0A40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МР, но образца других моментов времени. </w:t>
      </w:r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Этот результат явно демонстрирует адекватность используемого критерия, поскольку подтверждает похожесть района на самого себя. Также в пользу адекватности критерия (1) указывает наличие среди похожих МО –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Гафурийский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Мечетлинский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Калтасинский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районы, которые также находятся в Республике Башкортостан.</w:t>
      </w:r>
    </w:p>
    <w:p w:rsidR="005A4C13" w:rsidRDefault="000C2D48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7" type="#_x0000_t75" style="width:357.75pt;height:228.75pt">
            <v:imagedata r:id="rId6" o:title="sim3 (Крыкытау, Абзелиловский МР)"/>
          </v:shape>
        </w:pict>
      </w:r>
    </w:p>
    <w:p w:rsidR="005A4C13" w:rsidRDefault="005A4C13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Рис. 3. 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Оценка </w:t>
      </w:r>
      <w:r>
        <w:rPr>
          <w:rFonts w:ascii="Times New Roman" w:eastAsiaTheme="minorEastAsia" w:hAnsi="Times New Roman" w:cs="Times New Roman"/>
          <w:sz w:val="26"/>
          <w:szCs w:val="26"/>
        </w:rPr>
        <w:t>похожести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>МР за 2020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год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 критерию (1)</w:t>
      </w:r>
    </w:p>
    <w:p w:rsidR="00A5493D" w:rsidRDefault="00A5493D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в данном списке есть</w:t>
      </w:r>
      <w:r w:rsidR="002E1E89" w:rsidRPr="002E1E8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Ярковский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МР, который находится в Тюменской области, а также Переволоцкий МР, находящийся в Оренбургской области (см. рис. 3). Таким образом, среди похожих муниципальных районов есть не только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 xml:space="preserve"> соседние муниципальные районы, что вызывает особый интерес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контексте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исследуемой задачи, так как существуют похожие МО, которые находятся в разных частях РФ.</w:t>
      </w:r>
    </w:p>
    <w:p w:rsidR="009870F9" w:rsidRDefault="00D427E9" w:rsidP="009870F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27E9">
        <w:rPr>
          <w:rFonts w:ascii="Times New Roman" w:eastAsiaTheme="minorEastAsia" w:hAnsi="Times New Roman" w:cs="Times New Roman"/>
          <w:b/>
          <w:i/>
          <w:sz w:val="26"/>
          <w:szCs w:val="26"/>
        </w:rPr>
        <w:t>Метод оценки относительной вероятности риска социального конфликта.</w:t>
      </w:r>
      <w:r w:rsidR="009870F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>Независимая оценка похожести по одному конфликту хоть и представляет интерес, тем не менее не даёт возможности выявить потенциал МО к социальному конфликту в целом, то есть проанализировать МО с точки зрения их принципиальной близости к индикаторам, характерным любым социальным конфликтам.</w:t>
      </w:r>
    </w:p>
    <w:p w:rsidR="009870F9" w:rsidRDefault="009870F9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A82C0E" w:rsidRPr="0073199F" w:rsidRDefault="009870F9" w:rsidP="0073199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 условиях наличия данных по 21 социальному конфликту, возникает возможность </w:t>
      </w:r>
      <w:r w:rsidR="0073199F">
        <w:rPr>
          <w:rFonts w:ascii="Times New Roman" w:eastAsiaTheme="minorEastAsia" w:hAnsi="Times New Roman" w:cs="Times New Roman"/>
          <w:sz w:val="26"/>
          <w:szCs w:val="26"/>
        </w:rPr>
        <w:t xml:space="preserve">совокупной оценки потенциала к социальному конфликту. Для этого предлагается реализовать следующий подход на основе ранжирования (см. рис. 4). В рассматриваемом исследовании реализована простая система ранжирования всех МО РФ по похожести к отдельному конфликтному МО, которая предполагает оценку по шкале от 1 (первое место, наиболее похожий) до 0 (последнее место, наименее похожий). Несомненно, существует возможность реализации различных методик ранжирования, что само по себе является отдельной исследовательской задачей. </w:t>
      </w:r>
    </w:p>
    <w:p w:rsidR="00DA5E6C" w:rsidRDefault="000C2D48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28" type="#_x0000_t75" style="width:467.25pt;height:420pt">
            <v:imagedata r:id="rId7" o:title="Схема метода соц-риска"/>
          </v:shape>
        </w:pict>
      </w:r>
    </w:p>
    <w:p w:rsidR="0097717F" w:rsidRPr="0097717F" w:rsidRDefault="0097717F" w:rsidP="0097717F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Рис. 4. Упрощенная схема подхода по оценке социального риска</w:t>
      </w:r>
    </w:p>
    <w:p w:rsidR="0097717F" w:rsidRPr="0073199F" w:rsidRDefault="0073199F" w:rsidP="0073199F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результате реализации данного подхода формируется файл с МО из исследуемого датасета, который отсортирован согласно средней оценке ранжирования, т.е. показателем относительного потенциала к социальному конфликту.</w:t>
      </w:r>
      <w:r w:rsidR="000647A9">
        <w:rPr>
          <w:rFonts w:ascii="Times New Roman" w:eastAsiaTheme="minorEastAsia" w:hAnsi="Times New Roman" w:cs="Times New Roman"/>
          <w:sz w:val="26"/>
          <w:szCs w:val="26"/>
        </w:rPr>
        <w:t xml:space="preserve"> На рисунке 5 показана неполная таблица с оценкой всех МО РФ (см. рис. 5)</w:t>
      </w:r>
    </w:p>
    <w:p w:rsidR="0097717F" w:rsidRDefault="00125EBA" w:rsidP="00D427E9">
      <w:pPr>
        <w:ind w:left="-567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lastRenderedPageBreak/>
        <w:pict>
          <v:shape id="_x0000_i1029" type="#_x0000_t75" style="width:467.25pt;height:201pt">
            <v:imagedata r:id="rId8" o:title="Снимок"/>
          </v:shape>
        </w:pict>
      </w:r>
    </w:p>
    <w:p w:rsidR="0073199F" w:rsidRPr="0073199F" w:rsidRDefault="0073199F" w:rsidP="00D427E9">
      <w:pPr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73199F">
        <w:rPr>
          <w:rFonts w:ascii="Times New Roman" w:eastAsiaTheme="minorEastAsia" w:hAnsi="Times New Roman" w:cs="Times New Roman"/>
          <w:sz w:val="26"/>
          <w:szCs w:val="26"/>
        </w:rPr>
        <w:t xml:space="preserve">Рис. 5. </w:t>
      </w:r>
      <w:r>
        <w:rPr>
          <w:rFonts w:ascii="Times New Roman" w:eastAsiaTheme="minorEastAsia" w:hAnsi="Times New Roman" w:cs="Times New Roman"/>
          <w:sz w:val="26"/>
          <w:szCs w:val="26"/>
        </w:rPr>
        <w:t>Оценка относительного потенциала к социальному конфликту</w:t>
      </w:r>
    </w:p>
    <w:p w:rsidR="0097717F" w:rsidRDefault="0097717F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EF569D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10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11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12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3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881BF9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4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0C3B89" w:rsidRPr="000C3B89" w:rsidRDefault="000C3B89" w:rsidP="00881BF9">
      <w:pPr>
        <w:spacing w:after="0" w:line="360" w:lineRule="auto"/>
        <w:ind w:left="-567" w:firstLine="567"/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[7] </w:t>
      </w:r>
      <w:proofErr w:type="spellStart"/>
      <w:r w:rsidRPr="000C3B89">
        <w:rPr>
          <w:rFonts w:ascii="Times New Roman" w:hAnsi="Times New Roman" w:cs="Times New Roman"/>
          <w:sz w:val="24"/>
          <w:szCs w:val="24"/>
          <w:lang w:val="en-US"/>
        </w:rPr>
        <w:t>Davydov</w:t>
      </w:r>
      <w:proofErr w:type="spellEnd"/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D. A. (2022) Dynamics of Mass Protest Actions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Modern Russia: An Event Study.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Monitoring of Public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Opinion: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Economic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Social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Changes.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No.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5. P. 72–93. https:// doi.org/10.14515/monitoring.2022.5.2199</w:t>
      </w:r>
      <w:r w:rsidRPr="000C3B89">
        <w:rPr>
          <w:rFonts w:ascii="Times New Roman" w:hAnsi="Times New Roman" w:cs="Times New Roman"/>
          <w:sz w:val="24"/>
          <w:szCs w:val="24"/>
          <w:lang w:val="en-US"/>
        </w:rPr>
        <w:t xml:space="preserve"> (In Russ.)</w:t>
      </w:r>
    </w:p>
    <w:p w:rsidR="00A93A1F" w:rsidRDefault="00A93A1F" w:rsidP="00A93A1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Petrovskii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Shishlenin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661234">
        <w:rPr>
          <w:rFonts w:ascii="Times New Roman" w:hAnsi="Times New Roman" w:cs="Times New Roman"/>
          <w:sz w:val="24"/>
          <w:szCs w:val="24"/>
          <w:lang w:val="en-US"/>
        </w:rPr>
        <w:t>GlukhovA</w:t>
      </w:r>
      <w:proofErr w:type="spellEnd"/>
      <w:r w:rsidRPr="00661234">
        <w:rPr>
          <w:rFonts w:ascii="Times New Roman" w:hAnsi="Times New Roman" w:cs="Times New Roman"/>
          <w:sz w:val="24"/>
          <w:szCs w:val="24"/>
          <w:lang w:val="en-US"/>
        </w:rPr>
        <w:t xml:space="preserve"> (2025) Understanding stre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 protests: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amathematical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1234">
        <w:rPr>
          <w:rFonts w:ascii="Times New Roman" w:hAnsi="Times New Roman" w:cs="Times New Roman"/>
          <w:sz w:val="24"/>
          <w:szCs w:val="24"/>
          <w:lang w:val="en-US"/>
        </w:rPr>
        <w:t>model to protest manag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20(4): e0319837. </w:t>
      </w:r>
      <w:hyperlink r:id="rId15" w:history="1">
        <w:r w:rsidRPr="00F67CF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https://doi.org/10.1371/journal.pone.0319837</w:t>
        </w:r>
      </w:hyperlink>
    </w:p>
    <w:p w:rsidR="00A93A1F" w:rsidRDefault="004872CF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2D48" w:rsidRDefault="000C2D48" w:rsidP="00881BF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A93A1F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Nicula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-Sabin and Cretan, Remus and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Simionescu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Mihaela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Oancea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Bogdan and Dragan,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0C2D48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City as Stage: </w:t>
      </w:r>
      <w:proofErr w:type="spellStart"/>
      <w:r w:rsidRPr="000C2D48"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 Protest, Sentiment, and Machine Learning. </w:t>
      </w:r>
      <w:r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0C2D4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6" w:history="1">
        <w:r w:rsidRPr="00F67CF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http://dx.doi.org/10.2139/ssrn.5357390</w:t>
        </w:r>
      </w:hyperlink>
    </w:p>
    <w:p w:rsidR="00661234" w:rsidRPr="00661234" w:rsidRDefault="00A93A1F" w:rsidP="0066123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5F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255F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872C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255F5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Iyda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, J.J.,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Geetha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, P. An improved deep belief neural network based civil unrest event forecasting in twitter.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Appl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>Intell</w:t>
      </w:r>
      <w:proofErr w:type="spellEnd"/>
      <w:r w:rsidR="00B255F5" w:rsidRPr="00B255F5">
        <w:rPr>
          <w:rFonts w:ascii="Times New Roman" w:hAnsi="Times New Roman" w:cs="Times New Roman"/>
          <w:sz w:val="24"/>
          <w:szCs w:val="24"/>
          <w:lang w:val="en-US"/>
        </w:rPr>
        <w:t xml:space="preserve"> 53, 5714–5731 (2023). https://doi.org/10.1007/s10489-022-03746-3</w:t>
      </w:r>
    </w:p>
    <w:p w:rsidR="00A82C0E" w:rsidRPr="009C5E81" w:rsidRDefault="00B255F5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[1</w:t>
      </w:r>
      <w:r w:rsidR="004872CF"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] </w:t>
      </w:r>
      <w:proofErr w:type="spellStart"/>
      <w:r w:rsidRPr="00B255F5">
        <w:rPr>
          <w:rFonts w:ascii="Times New Roman" w:hAnsi="Times New Roman" w:cs="Times New Roman"/>
          <w:sz w:val="26"/>
          <w:szCs w:val="26"/>
          <w:lang w:val="en-US"/>
        </w:rPr>
        <w:t>Korkmaz</w:t>
      </w:r>
      <w:proofErr w:type="spellEnd"/>
      <w:r w:rsidRPr="00B255F5">
        <w:rPr>
          <w:rFonts w:ascii="Times New Roman" w:hAnsi="Times New Roman" w:cs="Times New Roman"/>
          <w:sz w:val="26"/>
          <w:szCs w:val="26"/>
          <w:lang w:val="en-US"/>
        </w:rPr>
        <w:t xml:space="preserve">, G., Cadena, J., Kuhlman, C.J. et al. Multi-source models for civil unrest forecasting. Soc. </w:t>
      </w:r>
      <w:proofErr w:type="spellStart"/>
      <w:r w:rsidRPr="00B255F5">
        <w:rPr>
          <w:rFonts w:ascii="Times New Roman" w:hAnsi="Times New Roman" w:cs="Times New Roman"/>
          <w:sz w:val="26"/>
          <w:szCs w:val="26"/>
          <w:lang w:val="en-US"/>
        </w:rPr>
        <w:t>Netw</w:t>
      </w:r>
      <w:proofErr w:type="spellEnd"/>
      <w:r w:rsidRPr="00B255F5">
        <w:rPr>
          <w:rFonts w:ascii="Times New Roman" w:hAnsi="Times New Roman" w:cs="Times New Roman"/>
          <w:sz w:val="26"/>
          <w:szCs w:val="26"/>
          <w:lang w:val="en-US"/>
        </w:rPr>
        <w:t>. Anal. Min. 6, 50 (2016). https://doi.org/10.1007/s13278-016-0355-8</w:t>
      </w: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44A91"/>
    <w:rsid w:val="000613DB"/>
    <w:rsid w:val="000647A9"/>
    <w:rsid w:val="00072CCF"/>
    <w:rsid w:val="000C2D48"/>
    <w:rsid w:val="000C3B89"/>
    <w:rsid w:val="0010042F"/>
    <w:rsid w:val="00125EBA"/>
    <w:rsid w:val="0017643F"/>
    <w:rsid w:val="00203D58"/>
    <w:rsid w:val="002375BA"/>
    <w:rsid w:val="002E1E89"/>
    <w:rsid w:val="00397964"/>
    <w:rsid w:val="003A08CA"/>
    <w:rsid w:val="003C1D50"/>
    <w:rsid w:val="00434629"/>
    <w:rsid w:val="00451A8E"/>
    <w:rsid w:val="0045205D"/>
    <w:rsid w:val="004872CF"/>
    <w:rsid w:val="004935B8"/>
    <w:rsid w:val="00505551"/>
    <w:rsid w:val="00522F41"/>
    <w:rsid w:val="0053118D"/>
    <w:rsid w:val="00562F30"/>
    <w:rsid w:val="005A4C13"/>
    <w:rsid w:val="005D0A40"/>
    <w:rsid w:val="005F0A02"/>
    <w:rsid w:val="00617647"/>
    <w:rsid w:val="00622211"/>
    <w:rsid w:val="00661234"/>
    <w:rsid w:val="006D18C5"/>
    <w:rsid w:val="006E4F63"/>
    <w:rsid w:val="006F4137"/>
    <w:rsid w:val="0073199F"/>
    <w:rsid w:val="007E3759"/>
    <w:rsid w:val="007F6611"/>
    <w:rsid w:val="00850819"/>
    <w:rsid w:val="00862AE2"/>
    <w:rsid w:val="00881BF9"/>
    <w:rsid w:val="008C7386"/>
    <w:rsid w:val="009061C5"/>
    <w:rsid w:val="0097243B"/>
    <w:rsid w:val="0097717F"/>
    <w:rsid w:val="009870F9"/>
    <w:rsid w:val="009C5E81"/>
    <w:rsid w:val="00A0063D"/>
    <w:rsid w:val="00A5493D"/>
    <w:rsid w:val="00A62A72"/>
    <w:rsid w:val="00A75CA9"/>
    <w:rsid w:val="00A82C0E"/>
    <w:rsid w:val="00A93A1F"/>
    <w:rsid w:val="00AA6BC8"/>
    <w:rsid w:val="00AD3EFC"/>
    <w:rsid w:val="00B255F5"/>
    <w:rsid w:val="00B57B39"/>
    <w:rsid w:val="00B66416"/>
    <w:rsid w:val="00BA18D5"/>
    <w:rsid w:val="00BC00D6"/>
    <w:rsid w:val="00C06C6A"/>
    <w:rsid w:val="00C16F09"/>
    <w:rsid w:val="00C63803"/>
    <w:rsid w:val="00C96081"/>
    <w:rsid w:val="00CD3259"/>
    <w:rsid w:val="00CD55EB"/>
    <w:rsid w:val="00D26A36"/>
    <w:rsid w:val="00D33E61"/>
    <w:rsid w:val="00D427E9"/>
    <w:rsid w:val="00DA0C6B"/>
    <w:rsid w:val="00DA5E6C"/>
    <w:rsid w:val="00DB4432"/>
    <w:rsid w:val="00DD76F0"/>
    <w:rsid w:val="00EB26BE"/>
    <w:rsid w:val="00EF569D"/>
    <w:rsid w:val="00F771D2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3A0D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researchgate.net/publication/276321581_The_scenario_method_in_urban_plann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2139/ssrn.535739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257212810_Exploring_venue-based_city-to-city_similarity_measure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oi.org/10.1371/journal.pone.0319837" TargetMode="External"/><Relationship Id="rId10" Type="http://schemas.openxmlformats.org/officeDocument/2006/relationships/hyperlink" Target="https://doi.org/10.3390/ijgi1011073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358646626_A_Similarity_Approach_to_Cities_and_Features" TargetMode="External"/><Relationship Id="rId14" Type="http://schemas.openxmlformats.org/officeDocument/2006/relationships/hyperlink" Target="https://www.researchgate.net/publication/373236871_Conflicts_in_urban_peripheries_in_Eur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35</cp:revision>
  <dcterms:created xsi:type="dcterms:W3CDTF">2025-08-24T07:13:00Z</dcterms:created>
  <dcterms:modified xsi:type="dcterms:W3CDTF">2025-09-01T14:50:00Z</dcterms:modified>
</cp:coreProperties>
</file>