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82C0E" w:rsidRDefault="00A82C0E" w:rsidP="00A82C0E">
      <w:pPr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Актуальность.</w:t>
      </w:r>
      <w:r>
        <w:rPr>
          <w:rFonts w:ascii="Times New Roman" w:hAnsi="Times New Roman" w:cs="Times New Roman"/>
          <w:sz w:val="26"/>
          <w:szCs w:val="26"/>
        </w:rPr>
        <w:t xml:space="preserve"> В настоящий момент оценка</w:t>
      </w:r>
      <w:r w:rsidRPr="006C66D2">
        <w:rPr>
          <w:rFonts w:ascii="Times New Roman" w:hAnsi="Times New Roman" w:cs="Times New Roman"/>
          <w:sz w:val="26"/>
          <w:szCs w:val="26"/>
        </w:rPr>
        <w:t xml:space="preserve"> похожести городов (</w:t>
      </w:r>
      <w:r>
        <w:rPr>
          <w:rFonts w:ascii="Times New Roman" w:hAnsi="Times New Roman" w:cs="Times New Roman"/>
          <w:sz w:val="26"/>
          <w:szCs w:val="26"/>
        </w:rPr>
        <w:t>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</w:t>
      </w:r>
      <w:r w:rsidRPr="006C66D2">
        <w:rPr>
          <w:rFonts w:ascii="Times New Roman" w:hAnsi="Times New Roman" w:cs="Times New Roman"/>
          <w:sz w:val="26"/>
          <w:szCs w:val="26"/>
        </w:rPr>
        <w:t xml:space="preserve"> [1</w:t>
      </w:r>
      <w:r>
        <w:rPr>
          <w:rFonts w:ascii="Times New Roman" w:hAnsi="Times New Roman" w:cs="Times New Roman"/>
          <w:sz w:val="26"/>
          <w:szCs w:val="26"/>
        </w:rPr>
        <w:t>, 2, 3, 4</w:t>
      </w:r>
      <w:r w:rsidRPr="006C66D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</w:t>
      </w:r>
      <w:r w:rsidRPr="00A240D5">
        <w:rPr>
          <w:rFonts w:ascii="Times New Roman" w:hAnsi="Times New Roman" w:cs="Times New Roman"/>
          <w:sz w:val="26"/>
          <w:szCs w:val="26"/>
        </w:rPr>
        <w:t>[4].</w:t>
      </w:r>
      <w:r>
        <w:rPr>
          <w:rFonts w:ascii="Times New Roman" w:hAnsi="Times New Roman" w:cs="Times New Roman"/>
          <w:sz w:val="26"/>
          <w:szCs w:val="26"/>
        </w:rPr>
        <w:t xml:space="preserve"> В свою очередь в градостроительной сфере большое значение уделяется социальным конфликтам, возникающим в рамках реализации тех или иных проектов </w:t>
      </w:r>
      <w:r w:rsidRPr="00F24FA1">
        <w:rPr>
          <w:rFonts w:ascii="Times New Roman" w:hAnsi="Times New Roman" w:cs="Times New Roman"/>
          <w:sz w:val="26"/>
          <w:szCs w:val="26"/>
        </w:rPr>
        <w:t xml:space="preserve">[5, 6]. </w:t>
      </w:r>
      <w:r w:rsidR="008C7386">
        <w:rPr>
          <w:rFonts w:ascii="Times New Roman" w:hAnsi="Times New Roman" w:cs="Times New Roman"/>
          <w:sz w:val="26"/>
          <w:szCs w:val="26"/>
        </w:rPr>
        <w:t>Таким образом, исследование</w:t>
      </w:r>
      <w:r w:rsidR="00522F41">
        <w:rPr>
          <w:rFonts w:ascii="Times New Roman" w:hAnsi="Times New Roman" w:cs="Times New Roman"/>
          <w:sz w:val="26"/>
          <w:szCs w:val="26"/>
        </w:rPr>
        <w:t xml:space="preserve"> социальных рисков</w:t>
      </w:r>
      <w:r>
        <w:rPr>
          <w:rFonts w:ascii="Times New Roman" w:hAnsi="Times New Roman" w:cs="Times New Roman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9C5E81" w:rsidRP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  <w:r w:rsidR="007E3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</w:t>
      </w:r>
      <w:r w:rsidR="00DD76F0">
        <w:rPr>
          <w:rFonts w:ascii="Times New Roman" w:hAnsi="Times New Roman" w:cs="Times New Roman"/>
          <w:sz w:val="26"/>
          <w:szCs w:val="26"/>
        </w:rPr>
        <w:lastRenderedPageBreak/>
        <w:t>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Отобранные конфликты были классифицированы по трём группам: «анти-мусорные», «этнические» и «анти-промышленные». Так, на рисунке 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2E1E89" w:rsidP="005F0A02">
      <w:pPr>
        <w:spacing w:after="0"/>
        <w:ind w:left="-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9.5pt">
            <v:imagedata r:id="rId4" o:title="Снимок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рассмотрение социально-экономического состояния также можно наблюдать некоторые тенденции. Так, на рисунке 2 видно, что в развлекательной и сельскохозяйственной сфере МО, отличившееся этническим конфликтом, имеют наихудшие показатели,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судя по данным, наиболее обеспечены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2E1E89" w:rsidP="006F4137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6" type="#_x0000_t75" style="width:468pt;height:147pt">
            <v:imagedata r:id="rId5" o:title="Снимок2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82C0E" w:rsidRDefault="00A82C0E" w:rsidP="00044A9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r w:rsidR="00044A91">
        <w:rPr>
          <w:rFonts w:ascii="Times New Roman" w:hAnsi="Times New Roman" w:cs="Times New Roman"/>
          <w:sz w:val="26"/>
          <w:szCs w:val="26"/>
        </w:rPr>
        <w:t xml:space="preserve">Для оценки подобия между двумя муниципальными образованиями предлагается использовать </w:t>
      </w:r>
      <w:r w:rsidR="00434629">
        <w:rPr>
          <w:rFonts w:ascii="Times New Roman" w:hAnsi="Times New Roman" w:cs="Times New Roman"/>
          <w:sz w:val="26"/>
          <w:szCs w:val="26"/>
        </w:rPr>
        <w:t xml:space="preserve">совокупную </w:t>
      </w:r>
      <w:r w:rsidR="00044A91">
        <w:rPr>
          <w:rFonts w:ascii="Times New Roman" w:hAnsi="Times New Roman" w:cs="Times New Roman"/>
          <w:sz w:val="26"/>
          <w:szCs w:val="26"/>
        </w:rPr>
        <w:t>сум</w:t>
      </w:r>
      <w:r w:rsidR="005A4C13">
        <w:rPr>
          <w:rFonts w:ascii="Times New Roman" w:hAnsi="Times New Roman" w:cs="Times New Roman"/>
          <w:sz w:val="26"/>
          <w:szCs w:val="26"/>
        </w:rPr>
        <w:t>му среднеквадратического отклонения социально-э</w:t>
      </w:r>
      <w:r w:rsidR="00044A91">
        <w:rPr>
          <w:rFonts w:ascii="Times New Roman" w:hAnsi="Times New Roman" w:cs="Times New Roman"/>
          <w:sz w:val="26"/>
          <w:szCs w:val="26"/>
        </w:rPr>
        <w:t>кономических и демографических показателей:</w:t>
      </w:r>
    </w:p>
    <w:p w:rsidR="00A82C0E" w:rsidRPr="004935B8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(1)</m:t>
          </m:r>
        </m:oMath>
      </m:oMathPara>
    </w:p>
    <w:p w:rsidR="00A82C0E" w:rsidRDefault="00044A91" w:rsidP="005A4C13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22211" w:rsidRDefault="00622211" w:rsidP="0062221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качестве примера рассмотрим использование данного критерия для поиска наиболее похожих МО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муниципальный район, где в 20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20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году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произошла эскалация конфликта против разработки у месторождения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Крыктытау</w:t>
      </w:r>
      <w:proofErr w:type="spellEnd"/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Для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этого необходимо провести оценку отклонения по критерию (1) всех МО из исследуемого датасета относительно </w:t>
      </w:r>
      <w:proofErr w:type="spellStart"/>
      <w:r w:rsidR="00FB2E43">
        <w:rPr>
          <w:rFonts w:ascii="Times New Roman" w:eastAsiaTheme="minorEastAsia" w:hAnsi="Times New Roman" w:cs="Times New Roman"/>
          <w:sz w:val="26"/>
          <w:szCs w:val="26"/>
        </w:rPr>
        <w:t>Абзелиловского</w:t>
      </w:r>
      <w:proofErr w:type="spellEnd"/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муниципального района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(МР)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5493D" w:rsidRDefault="00FB2E43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На рисунке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отсортированном порядке продемонстрированы 15 наиболее похожих МО на </w:t>
      </w:r>
      <w:proofErr w:type="spellStart"/>
      <w:r w:rsidR="00D33E61">
        <w:rPr>
          <w:rFonts w:ascii="Times New Roman" w:eastAsiaTheme="minorEastAsia" w:hAnsi="Times New Roman" w:cs="Times New Roman"/>
          <w:sz w:val="26"/>
          <w:szCs w:val="26"/>
        </w:rPr>
        <w:t>Абзелиловскский</w:t>
      </w:r>
      <w:proofErr w:type="spellEnd"/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муниципального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район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образца 2020 года, т.е. показавших по критерию (1) наименьшее отклонение. 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И в первую очередь следует отметить, что среди первых в списке всё- также </w:t>
      </w:r>
      <w:proofErr w:type="spellStart"/>
      <w:r w:rsidR="005D0A40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МР, но образца других моментов времени. </w:t>
      </w:r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Этот результат явно демонстрирует адекватность используемого критерия, поскольку подтверждает похожесть района на самого себя. Также в пользу адекватности критерия (1) указывает наличие среди похожих МО –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Гафурийский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Мечетлинский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Калтасинский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районы, которые также находятся в Республике Башкортостан.</w:t>
      </w:r>
    </w:p>
    <w:p w:rsidR="005A4C13" w:rsidRDefault="002E1E89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7" type="#_x0000_t75" style="width:357.75pt;height:228.75pt">
            <v:imagedata r:id="rId6" o:title="sim3 (Крыкытау, Абзелиловский МР)"/>
          </v:shape>
        </w:pict>
      </w:r>
    </w:p>
    <w:p w:rsidR="005A4C13" w:rsidRDefault="005A4C13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Рис. 3. 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Оценка </w:t>
      </w:r>
      <w:r>
        <w:rPr>
          <w:rFonts w:ascii="Times New Roman" w:eastAsiaTheme="minorEastAsia" w:hAnsi="Times New Roman" w:cs="Times New Roman"/>
          <w:sz w:val="26"/>
          <w:szCs w:val="26"/>
        </w:rPr>
        <w:t>похожести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>МР за 2020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год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 критерию (1)</w:t>
      </w:r>
    </w:p>
    <w:p w:rsidR="00A5493D" w:rsidRDefault="00A5493D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в данном списке есть</w:t>
      </w:r>
      <w:r w:rsidR="002E1E89" w:rsidRPr="002E1E8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Ярковский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МР, который находится в Тюменской области, а также Переволоцкий МР, находящийся в Оренбургской области (см. рис. 3). Таким образом, среди похожих муниципальных районов есть не только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 xml:space="preserve"> соседние муниципальные районы, что вызывает особый интерес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контексте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исследуемой задачи, так как существуют похожие МО, которые находятся в разных частях РФ.</w:t>
      </w:r>
    </w:p>
    <w:p w:rsidR="009870F9" w:rsidRDefault="00D427E9" w:rsidP="009870F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27E9">
        <w:rPr>
          <w:rFonts w:ascii="Times New Roman" w:eastAsiaTheme="minorEastAsia" w:hAnsi="Times New Roman" w:cs="Times New Roman"/>
          <w:b/>
          <w:i/>
          <w:sz w:val="26"/>
          <w:szCs w:val="26"/>
        </w:rPr>
        <w:t>Метод оценки относительной вероятности риска социального конфликта.</w:t>
      </w:r>
      <w:r w:rsidR="009870F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 xml:space="preserve">Независимая оценка похожести по одному конфликту хоть и представляет интерес, тем не менее не даёт возможности выявить потенциал МО к социальному конфликту в целом, то есть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 xml:space="preserve">проанализировать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 xml:space="preserve">МО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>с точки зрения их принципиальной близости к индикаторам, характерным любым социальным конфликтам.</w:t>
      </w:r>
    </w:p>
    <w:p w:rsidR="009870F9" w:rsidRDefault="009870F9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A82C0E" w:rsidRPr="0073199F" w:rsidRDefault="009870F9" w:rsidP="0073199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условиях наличия данных по 21 социальному конфликту, возникает возможность </w:t>
      </w:r>
      <w:r w:rsidR="0073199F">
        <w:rPr>
          <w:rFonts w:ascii="Times New Roman" w:eastAsiaTheme="minorEastAsia" w:hAnsi="Times New Roman" w:cs="Times New Roman"/>
          <w:sz w:val="26"/>
          <w:szCs w:val="26"/>
        </w:rPr>
        <w:t xml:space="preserve">совокупной оценки потенциала к социальному конфликту. Для этого предлагается реализовать следующий подход на основе ранжирования (см. рис. 4). В рассматриваемом исследовании реализована простая система ранжирования всех МО РФ по похожести к отдельному конфликтному МО, которая предполагает оценку по шкале от 1 (первое место, наиболее похожий) до 0 (последнее место, наименее похожий). Несомненно, существует возможность реализации различных методик ранжирования, что само по себе является отдельной исследовательской задачей. </w:t>
      </w:r>
    </w:p>
    <w:p w:rsidR="00DA5E6C" w:rsidRDefault="0097717F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28" type="#_x0000_t75" style="width:467.25pt;height:420pt">
            <v:imagedata r:id="rId7" o:title="Схема метода соц-риска"/>
          </v:shape>
        </w:pict>
      </w:r>
    </w:p>
    <w:p w:rsidR="0097717F" w:rsidRPr="0097717F" w:rsidRDefault="0097717F" w:rsidP="0097717F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Рис. 4. Упрощенная схема подхода по оценке социального риска</w:t>
      </w:r>
    </w:p>
    <w:p w:rsidR="0097717F" w:rsidRPr="0073199F" w:rsidRDefault="0073199F" w:rsidP="0073199F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результате реализации данного подхода формируется файл с МО из исследуемого датасета, который отсортирован согласно средней оценке ранжирования, т.е. показателем </w:t>
      </w: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относительного потенциала к социальному конфликту.</w:t>
      </w:r>
      <w:r w:rsidR="000647A9">
        <w:rPr>
          <w:rFonts w:ascii="Times New Roman" w:eastAsiaTheme="minorEastAsia" w:hAnsi="Times New Roman" w:cs="Times New Roman"/>
          <w:sz w:val="26"/>
          <w:szCs w:val="26"/>
        </w:rPr>
        <w:t xml:space="preserve"> На рисунке 5 показана неполная таблица с оценкой всех МО РФ (см. рис. 5)</w:t>
      </w:r>
      <w:bookmarkStart w:id="0" w:name="_GoBack"/>
      <w:bookmarkEnd w:id="0"/>
    </w:p>
    <w:p w:rsidR="0097717F" w:rsidRDefault="00B57B39" w:rsidP="00D427E9">
      <w:pPr>
        <w:ind w:left="-567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37" type="#_x0000_t75" style="width:467.25pt;height:201pt">
            <v:imagedata r:id="rId8" o:title="Снимок"/>
          </v:shape>
        </w:pict>
      </w:r>
    </w:p>
    <w:p w:rsidR="0073199F" w:rsidRPr="0073199F" w:rsidRDefault="0073199F" w:rsidP="00D427E9">
      <w:pPr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73199F">
        <w:rPr>
          <w:rFonts w:ascii="Times New Roman" w:eastAsiaTheme="minorEastAsia" w:hAnsi="Times New Roman" w:cs="Times New Roman"/>
          <w:sz w:val="26"/>
          <w:szCs w:val="26"/>
        </w:rPr>
        <w:t xml:space="preserve">Рис. 5. </w:t>
      </w:r>
      <w:r>
        <w:rPr>
          <w:rFonts w:ascii="Times New Roman" w:eastAsiaTheme="minorEastAsia" w:hAnsi="Times New Roman" w:cs="Times New Roman"/>
          <w:sz w:val="26"/>
          <w:szCs w:val="26"/>
        </w:rPr>
        <w:t>Оценка относительного потенциала к социальному конфликту</w:t>
      </w:r>
    </w:p>
    <w:p w:rsidR="0097717F" w:rsidRDefault="0097717F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73199F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99F">
        <w:rPr>
          <w:rFonts w:ascii="Times New Roman" w:hAnsi="Times New Roman" w:cs="Times New Roman"/>
          <w:sz w:val="24"/>
          <w:szCs w:val="24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3199F">
        <w:rPr>
          <w:rFonts w:ascii="Times New Roman" w:hAnsi="Times New Roman" w:cs="Times New Roman"/>
          <w:sz w:val="24"/>
          <w:szCs w:val="24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10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11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12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3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4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A82C0E" w:rsidRPr="009C5E81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44A91"/>
    <w:rsid w:val="000613DB"/>
    <w:rsid w:val="000647A9"/>
    <w:rsid w:val="00072CCF"/>
    <w:rsid w:val="0010042F"/>
    <w:rsid w:val="0017643F"/>
    <w:rsid w:val="00203D58"/>
    <w:rsid w:val="002E1E89"/>
    <w:rsid w:val="003A08CA"/>
    <w:rsid w:val="00434629"/>
    <w:rsid w:val="0045205D"/>
    <w:rsid w:val="004935B8"/>
    <w:rsid w:val="00522F41"/>
    <w:rsid w:val="005A4C13"/>
    <w:rsid w:val="005D0A40"/>
    <w:rsid w:val="005F0A02"/>
    <w:rsid w:val="00617647"/>
    <w:rsid w:val="00622211"/>
    <w:rsid w:val="006D18C5"/>
    <w:rsid w:val="006F4137"/>
    <w:rsid w:val="0073199F"/>
    <w:rsid w:val="007E3759"/>
    <w:rsid w:val="007F6611"/>
    <w:rsid w:val="00862AE2"/>
    <w:rsid w:val="008C7386"/>
    <w:rsid w:val="009061C5"/>
    <w:rsid w:val="0097717F"/>
    <w:rsid w:val="009870F9"/>
    <w:rsid w:val="009C5E81"/>
    <w:rsid w:val="00A0063D"/>
    <w:rsid w:val="00A5493D"/>
    <w:rsid w:val="00A62A72"/>
    <w:rsid w:val="00A75CA9"/>
    <w:rsid w:val="00A82C0E"/>
    <w:rsid w:val="00B57B39"/>
    <w:rsid w:val="00B66416"/>
    <w:rsid w:val="00BA18D5"/>
    <w:rsid w:val="00BC00D6"/>
    <w:rsid w:val="00C06C6A"/>
    <w:rsid w:val="00C16F09"/>
    <w:rsid w:val="00C96081"/>
    <w:rsid w:val="00D26A36"/>
    <w:rsid w:val="00D33E61"/>
    <w:rsid w:val="00D427E9"/>
    <w:rsid w:val="00DA5E6C"/>
    <w:rsid w:val="00DB4432"/>
    <w:rsid w:val="00DD76F0"/>
    <w:rsid w:val="00EB26BE"/>
    <w:rsid w:val="00F771D2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8996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researchgate.net/publication/276321581_The_scenario_method_in_urban_plann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257212810_Exploring_venue-based_city-to-city_similarity_measure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oi.org/10.3390/ijgi1011073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358646626_A_Similarity_Approach_to_Cities_and_Features" TargetMode="External"/><Relationship Id="rId14" Type="http://schemas.openxmlformats.org/officeDocument/2006/relationships/hyperlink" Target="https://www.researchgate.net/publication/373236871_Conflicts_in_urban_peripheries_in_Eur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25</cp:revision>
  <dcterms:created xsi:type="dcterms:W3CDTF">2025-08-24T07:13:00Z</dcterms:created>
  <dcterms:modified xsi:type="dcterms:W3CDTF">2025-08-26T11:24:00Z</dcterms:modified>
</cp:coreProperties>
</file>