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230FDC" w:rsidRPr="004B4A55" w:rsidRDefault="004B4A55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  <w:lang w:val="en-US"/>
        </w:rPr>
      </w:pP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An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pproach </w:t>
      </w:r>
      <w:r w:rsidR="00BF18AF">
        <w:rPr>
          <w:rFonts w:ascii="Times New Roman" w:hAnsi="Times New Roman" w:cs="Times New Roman"/>
          <w:b/>
          <w:i/>
          <w:sz w:val="26"/>
          <w:szCs w:val="26"/>
          <w:lang w:val="en-US"/>
        </w:rPr>
        <w:t>to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dentifying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ocial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rotest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p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otential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ased on a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ity-to-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c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imilarity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m</w:t>
      </w:r>
      <w:r w:rsidRPr="004B4A55">
        <w:rPr>
          <w:rFonts w:ascii="Times New Roman" w:hAnsi="Times New Roman" w:cs="Times New Roman"/>
          <w:b/>
          <w:i/>
          <w:sz w:val="26"/>
          <w:szCs w:val="26"/>
          <w:lang w:val="en-US"/>
        </w:rPr>
        <w:t>etric</w:t>
      </w:r>
    </w:p>
    <w:p w:rsidR="009C5E81" w:rsidRPr="00881BF9" w:rsidRDefault="009C5E81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архитектурные, социальные и другие вопросы [1, 2, 3, 4]. Актуальность данного исследовательского направления в первую очередь связана с 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</w:t>
      </w:r>
      <w:r w:rsidR="008C7386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Таким образом, </w:t>
      </w:r>
      <w:r w:rsidR="00850819" w:rsidRPr="00881BF9">
        <w:rPr>
          <w:rFonts w:ascii="Times New Roman" w:hAnsi="Times New Roman" w:cs="Times New Roman"/>
          <w:spacing w:val="-6"/>
          <w:sz w:val="26"/>
          <w:szCs w:val="26"/>
        </w:rPr>
        <w:t>прогноз</w:t>
      </w:r>
      <w:r w:rsidR="00522F41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социальных рисков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является актуальной задачей как в градостроительной сфере, так и в области социально-экономического планирования.</w:t>
      </w:r>
    </w:p>
    <w:p w:rsidR="00C63803" w:rsidRPr="00AA6BC8" w:rsidRDefault="00850819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Обзор проблематики. </w:t>
      </w:r>
      <w:r w:rsidR="002375BA">
        <w:rPr>
          <w:rFonts w:ascii="Times New Roman" w:hAnsi="Times New Roman" w:cs="Times New Roman"/>
          <w:sz w:val="26"/>
          <w:szCs w:val="26"/>
        </w:rPr>
        <w:t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</w:t>
      </w:r>
      <w:r w:rsidR="00505551">
        <w:rPr>
          <w:rFonts w:ascii="Times New Roman" w:hAnsi="Times New Roman" w:cs="Times New Roman"/>
          <w:sz w:val="26"/>
          <w:szCs w:val="26"/>
        </w:rPr>
        <w:t xml:space="preserve"> неразрывно</w:t>
      </w:r>
      <w:r w:rsidR="00A93A1F">
        <w:rPr>
          <w:rFonts w:ascii="Times New Roman" w:hAnsi="Times New Roman" w:cs="Times New Roman"/>
          <w:sz w:val="26"/>
          <w:szCs w:val="26"/>
        </w:rPr>
        <w:t xml:space="preserve"> взаимосвязано</w:t>
      </w:r>
      <w:r w:rsidR="002375BA">
        <w:rPr>
          <w:rFonts w:ascii="Times New Roman" w:hAnsi="Times New Roman" w:cs="Times New Roman"/>
          <w:sz w:val="26"/>
          <w:szCs w:val="26"/>
        </w:rPr>
        <w:t xml:space="preserve"> с социально-экономическими процессами </w:t>
      </w:r>
      <w:r w:rsidR="002375BA" w:rsidRPr="002375BA">
        <w:rPr>
          <w:rFonts w:ascii="Times New Roman" w:hAnsi="Times New Roman" w:cs="Times New Roman"/>
          <w:sz w:val="26"/>
          <w:szCs w:val="26"/>
        </w:rPr>
        <w:t>[7-11].</w:t>
      </w:r>
      <w:r w:rsidR="002375BA">
        <w:rPr>
          <w:rFonts w:ascii="Times New Roman" w:hAnsi="Times New Roman" w:cs="Times New Roman"/>
          <w:sz w:val="26"/>
          <w:szCs w:val="26"/>
        </w:rPr>
        <w:t xml:space="preserve"> </w:t>
      </w:r>
      <w:r w:rsidR="00A93A1F">
        <w:rPr>
          <w:rFonts w:ascii="Times New Roman" w:hAnsi="Times New Roman" w:cs="Times New Roman"/>
          <w:sz w:val="26"/>
          <w:szCs w:val="26"/>
        </w:rPr>
        <w:t xml:space="preserve">Поскольку множество </w:t>
      </w:r>
      <w:r w:rsidR="00CD3259">
        <w:rPr>
          <w:rFonts w:ascii="Times New Roman" w:hAnsi="Times New Roman" w:cs="Times New Roman"/>
          <w:sz w:val="26"/>
          <w:szCs w:val="26"/>
        </w:rPr>
        <w:t>механизмов</w:t>
      </w:r>
      <w:r w:rsidR="00AA6BC8">
        <w:rPr>
          <w:rFonts w:ascii="Times New Roman" w:hAnsi="Times New Roman" w:cs="Times New Roman"/>
          <w:sz w:val="26"/>
          <w:szCs w:val="26"/>
        </w:rPr>
        <w:t xml:space="preserve"> данной сфер</w:t>
      </w:r>
      <w:r w:rsidR="00CD3259">
        <w:rPr>
          <w:rFonts w:ascii="Times New Roman" w:hAnsi="Times New Roman" w:cs="Times New Roman"/>
          <w:sz w:val="26"/>
          <w:szCs w:val="26"/>
        </w:rPr>
        <w:t>ы</w:t>
      </w:r>
      <w:r w:rsidR="00AA6BC8">
        <w:rPr>
          <w:rFonts w:ascii="Times New Roman" w:hAnsi="Times New Roman" w:cs="Times New Roman"/>
          <w:sz w:val="26"/>
          <w:szCs w:val="26"/>
        </w:rPr>
        <w:t xml:space="preserve"> остаются</w:t>
      </w:r>
      <w:r w:rsidR="00A93A1F">
        <w:rPr>
          <w:rFonts w:ascii="Times New Roman" w:hAnsi="Times New Roman" w:cs="Times New Roman"/>
          <w:sz w:val="26"/>
          <w:szCs w:val="26"/>
        </w:rPr>
        <w:t xml:space="preserve"> неизвестными, дискуссионными либо же плохо изученными, актуальность </w:t>
      </w:r>
      <w:r w:rsidR="00AA6BC8">
        <w:rPr>
          <w:rFonts w:ascii="Times New Roman" w:hAnsi="Times New Roman" w:cs="Times New Roman"/>
          <w:sz w:val="26"/>
          <w:szCs w:val="26"/>
        </w:rPr>
        <w:t xml:space="preserve">исследований не вызывает сомнений, что также отражается в увеличении количества современных работе по рассматриваемой тематике </w:t>
      </w:r>
      <w:r w:rsidR="00AA6BC8" w:rsidRPr="00AA6BC8">
        <w:rPr>
          <w:rFonts w:ascii="Times New Roman" w:hAnsi="Times New Roman" w:cs="Times New Roman"/>
          <w:sz w:val="26"/>
          <w:szCs w:val="26"/>
        </w:rPr>
        <w:t>[</w:t>
      </w:r>
      <w:r w:rsidR="00AA6BC8">
        <w:rPr>
          <w:rFonts w:ascii="Times New Roman" w:hAnsi="Times New Roman" w:cs="Times New Roman"/>
          <w:sz w:val="26"/>
          <w:szCs w:val="26"/>
        </w:rPr>
        <w:t>7, 8</w:t>
      </w:r>
      <w:r w:rsidR="00AA6BC8" w:rsidRPr="00AA6BC8">
        <w:rPr>
          <w:rFonts w:ascii="Times New Roman" w:hAnsi="Times New Roman" w:cs="Times New Roman"/>
          <w:sz w:val="26"/>
          <w:szCs w:val="26"/>
        </w:rPr>
        <w:t>].</w:t>
      </w:r>
    </w:p>
    <w:p w:rsidR="003C1D50" w:rsidRDefault="00451A8E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451A8E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451A8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Pr="00451A8E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</w:t>
      </w:r>
      <w:r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Pr="009D5FF0" w:rsidRDefault="00CD3259" w:rsidP="009D5F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Pr="00CD325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 xml:space="preserve">9, 10, </w:t>
      </w:r>
      <w:r w:rsidRPr="00CD3259">
        <w:rPr>
          <w:rFonts w:ascii="Times New Roman" w:hAnsi="Times New Roman" w:cs="Times New Roman"/>
          <w:sz w:val="26"/>
          <w:szCs w:val="26"/>
        </w:rPr>
        <w:t xml:space="preserve">11]. </w:t>
      </w:r>
      <w:r>
        <w:rPr>
          <w:rFonts w:ascii="Times New Roman" w:hAnsi="Times New Roman" w:cs="Times New Roman"/>
          <w:sz w:val="26"/>
          <w:szCs w:val="26"/>
        </w:rPr>
        <w:t xml:space="preserve">Эти исследования,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как правило, базируются на анализе общественных настроений, которое осуществляется путём мониторинга социальных сетей и СМИ </w:t>
      </w:r>
      <w:r w:rsidRPr="00CD325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 xml:space="preserve">9, 10, </w:t>
      </w:r>
      <w:r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850819" w:rsidRPr="00850819" w:rsidRDefault="009C5E81" w:rsidP="0085081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C5E81">
        <w:rPr>
          <w:rFonts w:ascii="Times New Roman" w:hAnsi="Times New Roman" w:cs="Times New Roman"/>
          <w:b/>
          <w:i/>
          <w:sz w:val="26"/>
          <w:szCs w:val="26"/>
        </w:rPr>
        <w:t>Цель исследования.</w:t>
      </w:r>
      <w:r>
        <w:rPr>
          <w:rFonts w:ascii="Times New Roman" w:hAnsi="Times New Roman" w:cs="Times New Roman"/>
          <w:sz w:val="26"/>
          <w:szCs w:val="26"/>
        </w:rPr>
        <w:t xml:space="preserve"> Целью исследования является разработка метода оценки и/или прогноза социального риска для произвольного муниципального образования. </w:t>
      </w:r>
      <w:r w:rsidR="00A82C0E">
        <w:rPr>
          <w:rFonts w:ascii="Times New Roman" w:hAnsi="Times New Roman" w:cs="Times New Roman"/>
          <w:sz w:val="26"/>
          <w:szCs w:val="26"/>
        </w:rPr>
        <w:t xml:space="preserve">Суть </w:t>
      </w:r>
      <w:r>
        <w:rPr>
          <w:rFonts w:ascii="Times New Roman" w:hAnsi="Times New Roman" w:cs="Times New Roman"/>
          <w:sz w:val="26"/>
          <w:szCs w:val="26"/>
        </w:rPr>
        <w:t xml:space="preserve">предлагаемого </w:t>
      </w:r>
      <w:r w:rsidR="00A82C0E">
        <w:rPr>
          <w:rFonts w:ascii="Times New Roman" w:hAnsi="Times New Roman" w:cs="Times New Roman"/>
          <w:sz w:val="26"/>
          <w:szCs w:val="26"/>
        </w:rPr>
        <w:t xml:space="preserve">подхода заключается </w:t>
      </w:r>
      <w:r w:rsidR="00203D58">
        <w:rPr>
          <w:rFonts w:ascii="Times New Roman" w:hAnsi="Times New Roman" w:cs="Times New Roman"/>
          <w:sz w:val="26"/>
          <w:szCs w:val="26"/>
        </w:rPr>
        <w:t>в оценке похожести</w:t>
      </w:r>
      <w:r w:rsidR="008C7386">
        <w:rPr>
          <w:rFonts w:ascii="Times New Roman" w:hAnsi="Times New Roman" w:cs="Times New Roman"/>
          <w:sz w:val="26"/>
          <w:szCs w:val="26"/>
        </w:rPr>
        <w:t xml:space="preserve"> </w:t>
      </w:r>
      <w:r w:rsidR="00522F41">
        <w:rPr>
          <w:rFonts w:ascii="Times New Roman" w:hAnsi="Times New Roman" w:cs="Times New Roman"/>
          <w:sz w:val="26"/>
          <w:szCs w:val="26"/>
        </w:rPr>
        <w:t xml:space="preserve">как </w:t>
      </w:r>
      <w:r w:rsidR="00203D58">
        <w:rPr>
          <w:rFonts w:ascii="Times New Roman" w:hAnsi="Times New Roman" w:cs="Times New Roman"/>
          <w:sz w:val="26"/>
          <w:szCs w:val="26"/>
        </w:rPr>
        <w:t>соци</w:t>
      </w:r>
      <w:r w:rsidR="008C7386">
        <w:rPr>
          <w:rFonts w:ascii="Times New Roman" w:hAnsi="Times New Roman" w:cs="Times New Roman"/>
          <w:sz w:val="26"/>
          <w:szCs w:val="26"/>
        </w:rPr>
        <w:t>ально-экономического состояния</w:t>
      </w:r>
      <w:r w:rsidR="00522F41">
        <w:rPr>
          <w:rFonts w:ascii="Times New Roman" w:hAnsi="Times New Roman" w:cs="Times New Roman"/>
          <w:sz w:val="26"/>
          <w:szCs w:val="26"/>
        </w:rPr>
        <w:t>, так</w:t>
      </w:r>
      <w:r w:rsidR="008C7386">
        <w:rPr>
          <w:rFonts w:ascii="Times New Roman" w:hAnsi="Times New Roman" w:cs="Times New Roman"/>
          <w:sz w:val="26"/>
          <w:szCs w:val="26"/>
        </w:rPr>
        <w:t xml:space="preserve"> и</w:t>
      </w:r>
      <w:r w:rsidR="00203D58">
        <w:rPr>
          <w:rFonts w:ascii="Times New Roman" w:hAnsi="Times New Roman" w:cs="Times New Roman"/>
          <w:sz w:val="26"/>
          <w:szCs w:val="26"/>
        </w:rPr>
        <w:t xml:space="preserve"> структуры населения (человеческого капитала) произвольно</w:t>
      </w:r>
      <w:r w:rsidR="00F771D2">
        <w:rPr>
          <w:rFonts w:ascii="Times New Roman" w:hAnsi="Times New Roman" w:cs="Times New Roman"/>
          <w:sz w:val="26"/>
          <w:szCs w:val="26"/>
        </w:rPr>
        <w:t>го муниципального образования</w:t>
      </w:r>
      <w:r w:rsidR="0002253B">
        <w:rPr>
          <w:rFonts w:ascii="Times New Roman" w:hAnsi="Times New Roman" w:cs="Times New Roman"/>
          <w:sz w:val="26"/>
          <w:szCs w:val="26"/>
        </w:rPr>
        <w:t xml:space="preserve"> (МО)</w:t>
      </w:r>
      <w:r w:rsidR="00F771D2">
        <w:rPr>
          <w:rFonts w:ascii="Times New Roman" w:hAnsi="Times New Roman" w:cs="Times New Roman"/>
          <w:sz w:val="26"/>
          <w:szCs w:val="26"/>
        </w:rPr>
        <w:t xml:space="preserve"> </w:t>
      </w:r>
      <w:r w:rsidR="00203D58">
        <w:rPr>
          <w:rFonts w:ascii="Times New Roman" w:hAnsi="Times New Roman" w:cs="Times New Roman"/>
          <w:sz w:val="26"/>
          <w:szCs w:val="26"/>
        </w:rPr>
        <w:t xml:space="preserve">к некоторым показателям, </w:t>
      </w:r>
      <w:r w:rsidR="00F771D2">
        <w:rPr>
          <w:rFonts w:ascii="Times New Roman" w:hAnsi="Times New Roman" w:cs="Times New Roman"/>
          <w:sz w:val="26"/>
          <w:szCs w:val="26"/>
        </w:rPr>
        <w:t xml:space="preserve">характерным </w:t>
      </w:r>
      <w:r w:rsidR="00203D58">
        <w:rPr>
          <w:rFonts w:ascii="Times New Roman" w:hAnsi="Times New Roman" w:cs="Times New Roman"/>
          <w:sz w:val="26"/>
          <w:szCs w:val="26"/>
        </w:rPr>
        <w:t xml:space="preserve">для возникновения </w:t>
      </w:r>
      <w:r w:rsidR="00F771D2">
        <w:rPr>
          <w:rFonts w:ascii="Times New Roman" w:hAnsi="Times New Roman" w:cs="Times New Roman"/>
          <w:sz w:val="26"/>
          <w:szCs w:val="26"/>
        </w:rPr>
        <w:t>различного типа социальных</w:t>
      </w:r>
      <w:r w:rsidR="00203D58">
        <w:rPr>
          <w:rFonts w:ascii="Times New Roman" w:hAnsi="Times New Roman" w:cs="Times New Roman"/>
          <w:sz w:val="26"/>
          <w:szCs w:val="26"/>
        </w:rPr>
        <w:t xml:space="preserve"> конфликтов.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9D5FF0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220.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A71D5D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7.75pt;height:291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Для этого необходимо провести оценку отклонения по критерию (1) всех МО из исследуемого датасета относительно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9D5FF0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44" type="#_x0000_t75" style="width:467.25pt;height:141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качестве следующего шага необходимо проанализировать полученные результаты похожести в контексте идентификации потенциальных социальных конфликтов, что и является главной целью текущего исследования.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D67CEC" w:rsidRDefault="00D67C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34" type="#_x0000_t75" style="width:466.5pt;height:123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Рис. 4. Митинги в Тихорецком муниципальном районе в 2022 году (слева) и 2024 (справа)</w:t>
      </w:r>
    </w:p>
    <w:p w:rsidR="009870F9" w:rsidRDefault="00D427E9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>Независимая оценка похожести по одному конфликту хоть и представляет интерес, тем не менее не даёт возможности выявить потенциал МО к социальному конфликту в целом, то есть проанализировать МО с точки зрения их принципиальной близости к индикаторам, характерным любым социальным конфликтам.</w:t>
      </w:r>
    </w:p>
    <w:p w:rsidR="009870F9" w:rsidRDefault="009870F9" w:rsidP="00A5493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A82C0E" w:rsidRPr="0073199F" w:rsidRDefault="009870F9" w:rsidP="0073199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 xml:space="preserve">совокупной оценки потенциала к социальному конфликту. Для этого предлагается реализовать следующий подход на основе ранжирования (см. рис. 4). В рассматриваемом исследовании реализована простая система ранжирования всех МО РФ по похожести к отдельному конфликтному МО, которая предполагает оценку по шкале от 1 (первое место, наиболее похожий) до 0 (последнее место, наименее похожий). Несомненно, существует возможность реализации различных методик ранжирования, что само по себе является отдельной исследовательской задачей. </w:t>
      </w:r>
    </w:p>
    <w:p w:rsidR="00DA5E6C" w:rsidRDefault="009D5FF0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3" type="#_x0000_t75" style="width:467.25pt;height:419.25pt">
            <v:imagedata r:id="rId8" o:title="Снимок"/>
          </v:shape>
        </w:pict>
      </w:r>
    </w:p>
    <w:p w:rsidR="0097717F" w:rsidRPr="0097717F" w:rsidRDefault="0097717F" w:rsidP="0097717F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Упрощенная схема подхода по оценке социального риска</w:t>
      </w:r>
    </w:p>
    <w:p w:rsidR="0097717F" w:rsidRPr="0073199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5 показана неполная таблица с оценкой всех МО РФ (см. рис. 5)</w:t>
      </w:r>
    </w:p>
    <w:p w:rsidR="0097717F" w:rsidRDefault="009D5FF0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29" type="#_x0000_t75" style="width:467.25pt;height:201pt">
            <v:imagedata r:id="rId9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5.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4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6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C2D48"/>
    <w:rsid w:val="000C3B89"/>
    <w:rsid w:val="0010042F"/>
    <w:rsid w:val="00125EBA"/>
    <w:rsid w:val="0017643F"/>
    <w:rsid w:val="00203D58"/>
    <w:rsid w:val="00230FDC"/>
    <w:rsid w:val="002375BA"/>
    <w:rsid w:val="002E1E89"/>
    <w:rsid w:val="00397964"/>
    <w:rsid w:val="003A08CA"/>
    <w:rsid w:val="003A1D81"/>
    <w:rsid w:val="003C1D50"/>
    <w:rsid w:val="00434629"/>
    <w:rsid w:val="00451A8E"/>
    <w:rsid w:val="0045205D"/>
    <w:rsid w:val="004872CF"/>
    <w:rsid w:val="004935B8"/>
    <w:rsid w:val="004B4A55"/>
    <w:rsid w:val="005019E8"/>
    <w:rsid w:val="00505551"/>
    <w:rsid w:val="00511FD2"/>
    <w:rsid w:val="00522F41"/>
    <w:rsid w:val="0053118D"/>
    <w:rsid w:val="00562F30"/>
    <w:rsid w:val="005A4C13"/>
    <w:rsid w:val="005D0A40"/>
    <w:rsid w:val="005F0A02"/>
    <w:rsid w:val="00617647"/>
    <w:rsid w:val="00622211"/>
    <w:rsid w:val="00645065"/>
    <w:rsid w:val="00661234"/>
    <w:rsid w:val="006D18C5"/>
    <w:rsid w:val="006E4F63"/>
    <w:rsid w:val="006F4137"/>
    <w:rsid w:val="00701428"/>
    <w:rsid w:val="0073199F"/>
    <w:rsid w:val="007E3759"/>
    <w:rsid w:val="007F6611"/>
    <w:rsid w:val="00850819"/>
    <w:rsid w:val="00862AE2"/>
    <w:rsid w:val="00881BF9"/>
    <w:rsid w:val="008C7386"/>
    <w:rsid w:val="009061C5"/>
    <w:rsid w:val="0097243B"/>
    <w:rsid w:val="00973A9A"/>
    <w:rsid w:val="0097717F"/>
    <w:rsid w:val="009870F9"/>
    <w:rsid w:val="009C5E81"/>
    <w:rsid w:val="009D5FF0"/>
    <w:rsid w:val="00A0063D"/>
    <w:rsid w:val="00A5493D"/>
    <w:rsid w:val="00A62A72"/>
    <w:rsid w:val="00A71D5D"/>
    <w:rsid w:val="00A75CA9"/>
    <w:rsid w:val="00A82C0E"/>
    <w:rsid w:val="00A93A1F"/>
    <w:rsid w:val="00AA6BC8"/>
    <w:rsid w:val="00AD3EFC"/>
    <w:rsid w:val="00B255F5"/>
    <w:rsid w:val="00B57B39"/>
    <w:rsid w:val="00B66416"/>
    <w:rsid w:val="00BA18D5"/>
    <w:rsid w:val="00BC00D6"/>
    <w:rsid w:val="00BE6C36"/>
    <w:rsid w:val="00BF18AF"/>
    <w:rsid w:val="00C06C6A"/>
    <w:rsid w:val="00C16F09"/>
    <w:rsid w:val="00C63803"/>
    <w:rsid w:val="00C96081"/>
    <w:rsid w:val="00CD3259"/>
    <w:rsid w:val="00CD55EB"/>
    <w:rsid w:val="00D26A36"/>
    <w:rsid w:val="00D33E61"/>
    <w:rsid w:val="00D427E9"/>
    <w:rsid w:val="00D67CEC"/>
    <w:rsid w:val="00DA0C6B"/>
    <w:rsid w:val="00DA5E6C"/>
    <w:rsid w:val="00DB4432"/>
    <w:rsid w:val="00DD76F0"/>
    <w:rsid w:val="00E23273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6E09D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76321581_The_scenario_method_in_urban_planning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257212810_Exploring_venue-based_city-to-city_similarity_measures" TargetMode="External"/><Relationship Id="rId17" Type="http://schemas.openxmlformats.org/officeDocument/2006/relationships/hyperlink" Target="http://dx.doi.org/10.2139/ssrn.5357390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oi.org/10.1371/journal.pone.0319837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i.org/10.3390/ijgi10110734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73236871_Conflicts_in_urban_peripheries_in_Europe" TargetMode="External"/><Relationship Id="rId10" Type="http://schemas.openxmlformats.org/officeDocument/2006/relationships/hyperlink" Target="https://www.researchgate.net/publication/358646626_A_Similarity_Approach_to_Cities_and_Features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9</Pages>
  <Words>1947</Words>
  <Characters>11099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41</cp:revision>
  <dcterms:created xsi:type="dcterms:W3CDTF">2025-08-24T07:13:00Z</dcterms:created>
  <dcterms:modified xsi:type="dcterms:W3CDTF">2025-09-07T11:03:00Z</dcterms:modified>
</cp:coreProperties>
</file>