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BF16FE" w:rsidRPr="00BF16FE" w:rsidRDefault="00BF16FE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pacing w:val="-6"/>
          <w:sz w:val="26"/>
          <w:szCs w:val="26"/>
        </w:rPr>
        <w:t xml:space="preserve">В разделе 2 выполнен обзор существующих подходов к прогнозу и оценке социальных конфликтов. В разделе 3 проведено описание и анализ наборов данных для решения поставленной задачи. В разделе 4 предложен критерий оценки похожести и анализ её результативности. В разделе 5 предложен метод оценки общего потенциала муниципального образования к социальному конфликту, а в разделе 6 исследуется дополнительная </w:t>
      </w:r>
      <w:r>
        <w:rPr>
          <w:rFonts w:ascii="Times New Roman" w:hAnsi="Times New Roman" w:cs="Times New Roman"/>
          <w:spacing w:val="-6"/>
          <w:sz w:val="26"/>
          <w:szCs w:val="26"/>
        </w:rPr>
        <w:lastRenderedPageBreak/>
        <w:t>возможность прогноза изменения потенциала во времени. Раздел 7 посвящен заключению по проведенному исследованию.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</w:t>
      </w:r>
      <w:r>
        <w:rPr>
          <w:sz w:val="26"/>
          <w:szCs w:val="26"/>
        </w:rPr>
        <w:lastRenderedPageBreak/>
        <w:t>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D74BE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D74BE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D74BE5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D74BE5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D74BE5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D74BE5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D74BE5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881007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Pr="003844A3" w:rsidRDefault="002C56A6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 рисунке визуализирована точность прогноза модели на тестовой выборке. Как видно из диаграммы, при использовании социально-экономическим факторов (слева) прогноз хоть и не идеален, но в первом приближении может считаться удовлетворительным. Так, средняя оценка на тестовой выборке по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2C56A6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метрике составила 0,</w:t>
      </w:r>
      <w:r>
        <w:rPr>
          <w:rFonts w:ascii="Times New Roman" w:eastAsiaTheme="minorEastAsia" w:hAnsi="Times New Roman" w:cs="Times New Roman"/>
          <w:sz w:val="26"/>
          <w:szCs w:val="26"/>
        </w:rPr>
        <w:t>65 (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 0,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02), что также указывает на достаточную адекватность модели. Справа же на рисунке представлена модель, осуществляющая прогноз только при использовании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демографической структуры. На иллюстрации чётка заметна большая удаленность точек (тестовых примеров) от диагонали, что свидетельствует о большем отклонении прогнозных значений от реальных. Это подтверждается и средней оценкой 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для тестовой выборки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на уровне 0,33 (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0,02)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Такой результат скорее всего вызван тем, что в критерии (4) переменная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была задана на уровне 0.5. Это решение было принято с целью нивелировать демографические тренды, которые характерны для всей страны, что позволит оценивать похожесть сквозь время.  </w:t>
      </w:r>
    </w:p>
    <w:p w:rsidR="0080793D" w:rsidRDefault="007B2FD5" w:rsidP="00EE57C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Рассмотрим уровни значимости факторов для каждой из модели. 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На рисунке показана гистограмма значимости признаков модели, прогнозирующей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на основе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только соц-эко факторы. Наиболее значимыми факторами являются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риэтйл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фудситс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лечеб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Орган и длина дорог.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Следует отметить, что э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>ти индикаторы позволяют определить не только развитость муниципального образования, но и являются косвенными показателями профиля территории. Например, длина дорог на человека говорит не только об уровне инфраструктуры, но и топологию городских путей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F424DD">
        <w:rPr>
          <w:rFonts w:ascii="Times New Roman" w:eastAsiaTheme="minorEastAsia" w:hAnsi="Times New Roman" w:cs="Times New Roman"/>
          <w:sz w:val="26"/>
          <w:szCs w:val="26"/>
        </w:rPr>
        <w:t>Мун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образ. с одним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градообразующим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предприятием могут иметь ко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роткую длину дорог, тогда как места с большим количества сельхоз полей наоборот скорее будут характеризоваться увеличенной длиной дорожных путей. Большой же уровень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ритэёла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фудситсов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может указывать урбанистический профиль мун. образования, а также большую склонность к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lastRenderedPageBreak/>
        <w:t>потреблению и отдыху определенного вида. Таким образом, эти факторы формируют связь протестного потенциала не только с чисто материальными показателями, но и профилем территории как таковой, что и повышает их значимость в контексте прогноза.</w:t>
      </w:r>
    </w:p>
    <w:p w:rsidR="00EE57C9" w:rsidRPr="00EE57C9" w:rsidRDefault="00EE57C9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связи с низкой точностью демографической модели прогноза, значимости факторов следует рассматривать с осторожностью. На гистограмме видно, что наиболее значимыми являются доли мужчин. молодые группы от 20 до 39 лет. В России в протестах доля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участников мужского пола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действительно превосходит долю жен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ского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однако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последние годы эти доли стремятся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всё к большему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равенству.</w:t>
      </w:r>
    </w:p>
    <w:p w:rsidR="00730808" w:rsidRDefault="00D74BE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Заключение.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ходе исследования была проанализирована социально-экономическая и демографическая среда муниципальных образований, известных определенным социальным протестом.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>Для анализа к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онфликты были </w:t>
      </w:r>
      <w:r w:rsidR="007D3A03">
        <w:rPr>
          <w:rFonts w:ascii="Times New Roman" w:eastAsiaTheme="minorEastAsia" w:hAnsi="Times New Roman" w:cs="Times New Roman"/>
          <w:sz w:val="26"/>
          <w:szCs w:val="26"/>
        </w:rPr>
        <w:t>разделены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на три группы (этнические, экологические и индустриальные)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, в результате чего были обнаружены некоторые зависимости определённого вида конфликтов не только от социально-экономического состояния, но и демографической структуры (человеческого капитала). Это являлось подтверждающим фактором использования этих компонент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на конфликтное муниципальное образование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выдвинутой гипотезы о том, что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при высокой степени похожести двух мун. образ. можно ожидать схожую социальную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реакци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на один и тот же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 раздражитель.</w:t>
      </w:r>
    </w:p>
    <w:p w:rsidR="00853FE8" w:rsidRDefault="00DF000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двух МО был предложен критерий (4), который в результате исследований показал свою адекватность. Эта адекватность в первую очередь проявлялась тем, что при использовании критерия на датасете относительно некоторого исследуемого примера, среди наиболее похожих выделялся этот же пример, но за различные периоды времени, а также соседние муниципальные образования. При этом критерий был исследован в рамках выдвинутой гипотезы. Так, оценка похожести на конкретное известное конфликтное МО (Красноармейский МР) действительно показало </w:t>
      </w:r>
      <w:r w:rsidR="00853FE8">
        <w:rPr>
          <w:rFonts w:ascii="Times New Roman" w:eastAsiaTheme="minorEastAsia" w:hAnsi="Times New Roman" w:cs="Times New Roman"/>
          <w:sz w:val="26"/>
          <w:szCs w:val="26"/>
        </w:rPr>
        <w:t>основания в пользу гипотезы, поскольку наиболее похожие мун. образ. демонстрировали не только общественную активность, но и схожую реакцию на тот же раздражитель.</w:t>
      </w:r>
    </w:p>
    <w:p w:rsidR="00F257EA" w:rsidRDefault="00853FE8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>Результативность критерия позволил</w:t>
      </w:r>
      <w:r w:rsidR="00775350">
        <w:rPr>
          <w:rFonts w:ascii="Times New Roman" w:eastAsiaTheme="minorEastAsia" w:hAnsi="Times New Roman" w:cs="Times New Roman"/>
          <w:sz w:val="26"/>
          <w:szCs w:val="26"/>
        </w:rPr>
        <w:t>а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 xml:space="preserve"> предложить модель, использующий весь набор конфликтных случаев для вычисления совокупной оценки социального риска. В условиях наличия оснований у выдвинутой гипотезы, похожесть сразу на некоторое количество конфликтных примеров может быть показателем социальной напряженности и/или большей активности населения. Разработанный метод ранжирования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действительно позволил обнаружить муниципальные образования, имеющие похожесть сразу с несколькими конфликтными кейсами. Их детальный анализ позволил выявить различного рода существенные социальные конфликты, которые по тем или иным причинам не получали широкой огласки в СМИ. Также </w:t>
      </w:r>
      <w:r w:rsidR="00056320">
        <w:rPr>
          <w:rFonts w:ascii="Times New Roman" w:eastAsiaTheme="minorEastAsia" w:hAnsi="Times New Roman" w:cs="Times New Roman"/>
          <w:sz w:val="26"/>
          <w:szCs w:val="26"/>
        </w:rPr>
        <w:t>в работе реализовано первичное исследование возможности использования машинного обучения для выявления значимости факторов и прогноза динамики изменения потенциала к социальному конфликту.</w:t>
      </w:r>
    </w:p>
    <w:p w:rsidR="00056320" w:rsidRDefault="0005632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bookmarkStart w:id="0" w:name="_GoBack"/>
      <w:r>
        <w:rPr>
          <w:rFonts w:ascii="Times New Roman" w:eastAsiaTheme="minorEastAsia" w:hAnsi="Times New Roman" w:cs="Times New Roman"/>
          <w:sz w:val="26"/>
          <w:szCs w:val="26"/>
        </w:rPr>
        <w:t>Предложенная методология</w:t>
      </w:r>
      <w:r w:rsidR="00881007">
        <w:rPr>
          <w:rFonts w:ascii="Times New Roman" w:eastAsiaTheme="minorEastAsia" w:hAnsi="Times New Roman" w:cs="Times New Roman"/>
          <w:sz w:val="26"/>
          <w:szCs w:val="26"/>
        </w:rPr>
        <w:t xml:space="preserve"> на основе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to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similarity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может быть использована в качестве дополнительного инструмента при проектировании социально-экономической политики, в принятии решений в градостроительном планировании, а также при теоретическом исследовании социальных протестов как явлений. </w:t>
      </w:r>
    </w:p>
    <w:bookmarkEnd w:id="0"/>
    <w:p w:rsidR="003B1600" w:rsidRPr="003B1600" w:rsidRDefault="003B160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3A47BB" w:rsidRPr="00F257EA" w:rsidRDefault="003A47BB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5E040D" w:rsidRPr="005E040D" w:rsidRDefault="005E040D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DF0005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0005">
        <w:rPr>
          <w:rFonts w:ascii="Times New Roman" w:hAnsi="Times New Roman" w:cs="Times New Roman"/>
          <w:sz w:val="24"/>
          <w:szCs w:val="24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DF000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DF0005">
        <w:rPr>
          <w:rFonts w:ascii="Times New Roman" w:hAnsi="Times New Roman" w:cs="Times New Roman"/>
          <w:sz w:val="24"/>
          <w:szCs w:val="24"/>
        </w:rPr>
        <w:t xml:space="preserve">. 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DF0005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148E9"/>
    <w:rsid w:val="0002253B"/>
    <w:rsid w:val="00027B5E"/>
    <w:rsid w:val="00044A91"/>
    <w:rsid w:val="00052F74"/>
    <w:rsid w:val="00056320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56A6"/>
    <w:rsid w:val="002C759F"/>
    <w:rsid w:val="002E1E89"/>
    <w:rsid w:val="00304942"/>
    <w:rsid w:val="00334DAA"/>
    <w:rsid w:val="003459F7"/>
    <w:rsid w:val="003576A6"/>
    <w:rsid w:val="00383293"/>
    <w:rsid w:val="003844A3"/>
    <w:rsid w:val="00393D67"/>
    <w:rsid w:val="003942E1"/>
    <w:rsid w:val="00397964"/>
    <w:rsid w:val="003A08CA"/>
    <w:rsid w:val="003A1D81"/>
    <w:rsid w:val="003A47BB"/>
    <w:rsid w:val="003B1600"/>
    <w:rsid w:val="003C1D50"/>
    <w:rsid w:val="003C3D48"/>
    <w:rsid w:val="00401EB5"/>
    <w:rsid w:val="00434629"/>
    <w:rsid w:val="00451A8E"/>
    <w:rsid w:val="0045205D"/>
    <w:rsid w:val="004872AE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E040D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A2C8E"/>
    <w:rsid w:val="006D18C5"/>
    <w:rsid w:val="006E1BD4"/>
    <w:rsid w:val="006E4F63"/>
    <w:rsid w:val="006E7638"/>
    <w:rsid w:val="006F4137"/>
    <w:rsid w:val="006F5408"/>
    <w:rsid w:val="00701428"/>
    <w:rsid w:val="007107C0"/>
    <w:rsid w:val="00726603"/>
    <w:rsid w:val="00730808"/>
    <w:rsid w:val="0073199F"/>
    <w:rsid w:val="0074170F"/>
    <w:rsid w:val="00760864"/>
    <w:rsid w:val="00765A9C"/>
    <w:rsid w:val="00766551"/>
    <w:rsid w:val="00775350"/>
    <w:rsid w:val="00782300"/>
    <w:rsid w:val="007B2FD5"/>
    <w:rsid w:val="007C5E22"/>
    <w:rsid w:val="007D3A03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53FE8"/>
    <w:rsid w:val="00862AE2"/>
    <w:rsid w:val="00881007"/>
    <w:rsid w:val="00881BF9"/>
    <w:rsid w:val="008C4937"/>
    <w:rsid w:val="008C7386"/>
    <w:rsid w:val="008D0801"/>
    <w:rsid w:val="008E5B17"/>
    <w:rsid w:val="008F6365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6FE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BE5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DE3EAA"/>
    <w:rsid w:val="00DF0005"/>
    <w:rsid w:val="00DF0391"/>
    <w:rsid w:val="00E10366"/>
    <w:rsid w:val="00E23273"/>
    <w:rsid w:val="00E45A17"/>
    <w:rsid w:val="00EB26BE"/>
    <w:rsid w:val="00EC02FC"/>
    <w:rsid w:val="00ED268F"/>
    <w:rsid w:val="00EE57C9"/>
    <w:rsid w:val="00EF569D"/>
    <w:rsid w:val="00F12A7A"/>
    <w:rsid w:val="00F257EA"/>
    <w:rsid w:val="00F424DD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0CFF2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4400</TotalTime>
  <Pages>1</Pages>
  <Words>5065</Words>
  <Characters>28875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94</cp:revision>
  <dcterms:created xsi:type="dcterms:W3CDTF">2025-08-24T07:13:00Z</dcterms:created>
  <dcterms:modified xsi:type="dcterms:W3CDTF">2025-10-03T13:02:00Z</dcterms:modified>
</cp:coreProperties>
</file>