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lastRenderedPageBreak/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730808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304942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позволяет получить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lastRenderedPageBreak/>
        <w:t>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730808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73080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730808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730808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A35322" w:rsidRPr="004D0D97" w:rsidRDefault="008E5B17" w:rsidP="004C4891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5D7982" w:rsidRP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Полное распределение оценок системы ранжирования представлено на диаграмме. Почти половина примеров из датасета (4035 мун. образований) получила какую-либо оценку, т.е. оказалась в некоторой близости (4) к конфликтному образованию. Тем не менее подавляющая большинство примеров получила оценку равную 1 или меньше (3049 примеров, см. рис.), тогда как наиболее высокую совокупную оценку более 3 баллов получили 44 примера.  </w:t>
      </w:r>
    </w:p>
    <w:p w:rsidR="005D7982" w:rsidRDefault="00730808" w:rsidP="005D7982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31" type="#_x0000_t75" style="width:282.55pt;height:155.55pt">
            <v:imagedata r:id="rId10" o:title="Scores"/>
          </v:shape>
        </w:pict>
      </w:r>
    </w:p>
    <w:p w:rsid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7F73D9" w:rsidRPr="0073199F" w:rsidRDefault="009C095D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3е место, см. табл.), который получил 0.5 балла относительно мун. образ. 18 (Анапа) и 0.2 балла относительно мун. образ. 19 (Геленджик), несмотря на удаленность от них более чем в 4000 километров (длина дороги). Эти результаты в очередной раз подтверждают 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97717F" w:rsidRDefault="00730808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2" type="#_x0000_t75" style="width:467.3pt;height:167.75pt">
            <v:imagedata r:id="rId11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ED268F" w:rsidRDefault="00ED268F" w:rsidP="00052F7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Если в условиях оценки похожести на одно МО</w:t>
      </w:r>
      <w:r w:rsidRPr="00ED268F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>
        <w:rPr>
          <w:rFonts w:ascii="Times New Roman" w:eastAsiaTheme="minorEastAsia" w:hAnsi="Times New Roman" w:cs="Times New Roman"/>
          <w:sz w:val="26"/>
          <w:szCs w:val="26"/>
        </w:rPr>
        <w:t>см. раздел 4.1), в котором был определенный конфликт, исследовалась предрасположенность к конкретному социальному конфликту (похожий отклик на схожий триггер), то, как уже было отмечено, совокупная похожесть уже рассматривается как некоторый показатель потенциала конфликта как такового. Таким образом, в ходе анализа будут рассматриваться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серьезные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конфликты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(сопровождающиеся массовым собранием людей) по любым темам.</w:t>
      </w:r>
    </w:p>
    <w:p w:rsidR="00052F74" w:rsidRDefault="00052F74" w:rsidP="00F653A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Туапсинском районе в 2021 году (второе место) в результате поиска действительно удалось найти один значимый политический протест в городе Туапсе (население 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 xml:space="preserve">~60000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поддержку Алексея Навального (см. рис.).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2022 году каких-либо протестов в данн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ом районе не было зафиксировано.</w:t>
      </w:r>
      <w:r w:rsidR="00DD5D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Следует отметить, что оценка демонстрирует вероятный потенциал, то есть для социального конфликта требует еще и мотив. И вот 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серьезный социальный конфликт в </w:t>
      </w:r>
      <w:proofErr w:type="spellStart"/>
      <w:r w:rsidR="00A67074">
        <w:rPr>
          <w:rFonts w:ascii="Times New Roman" w:eastAsiaTheme="minorEastAsia" w:hAnsi="Times New Roman" w:cs="Times New Roman"/>
          <w:sz w:val="26"/>
          <w:szCs w:val="26"/>
        </w:rPr>
        <w:t>Тупасинском</w:t>
      </w:r>
      <w:proofErr w:type="spellEnd"/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районе произошел в 2024 году (к сожалению, в датасете о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тсутствуют данные за этот год), где несколько сотен человек вышли на протест против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генплана в городе Джубга (население </w:t>
      </w:r>
      <w:r w:rsidR="00A67074" w:rsidRPr="00A67074">
        <w:rPr>
          <w:rFonts w:ascii="Times New Roman" w:eastAsiaTheme="minorEastAsia" w:hAnsi="Times New Roman" w:cs="Times New Roman"/>
          <w:sz w:val="26"/>
          <w:szCs w:val="26"/>
        </w:rPr>
        <w:t>~7000)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против генплана протестовали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 Анапе и Геленджике, на которых очень похож Туапсинский МО.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A67074" w:rsidRDefault="00D339AD" w:rsidP="00BC029A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городе Новоалтайск (население </w:t>
      </w:r>
      <w:r w:rsidRPr="00D339AD">
        <w:rPr>
          <w:rFonts w:ascii="Times New Roman" w:eastAsiaTheme="minorEastAsia" w:hAnsi="Times New Roman" w:cs="Times New Roman"/>
          <w:sz w:val="26"/>
          <w:szCs w:val="26"/>
        </w:rPr>
        <w:t xml:space="preserve">~70000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удалось найти два заметных социальный конфликта, которые произошли в 2018 и 2019 годах. Согласно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оценке метода,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Новоалтайск образца 2018 года также получил довольно высокую оценку потенциала социального протеста (2.9 балла, 75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-е место). В 2018 году там случился социальный протест против повышения пенсионного возраста, а в 2019 году в Новоалтайске был протест против закрытия роддома. К сожалению, данных Новоа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лтайска за 2019 нет в датасете, поэтому отсутствует оценка уровня потенциала социального протеста. </w:t>
      </w:r>
    </w:p>
    <w:p w:rsidR="00BC029A" w:rsidRDefault="00BC029A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Канадалакшском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муниципальном районе образца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2017 год (4е-место, 4.</w:t>
      </w:r>
      <w:r>
        <w:rPr>
          <w:rFonts w:ascii="Times New Roman" w:eastAsiaTheme="minorEastAsia" w:hAnsi="Times New Roman" w:cs="Times New Roman"/>
          <w:sz w:val="26"/>
          <w:szCs w:val="26"/>
        </w:rPr>
        <w:t>2 балла) в городе Кандалакша (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~30000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действительно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был обнаружен серьезный социальный протест против двойной тарификации как раз в 2017 году.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В протесте приняло участие более 100 человек.</w:t>
      </w:r>
    </w:p>
    <w:p w:rsidR="007F2D39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Также был проанализирован и город Апатиты (население 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~5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. 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рамках поиска удалось найти социальный конфликт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в 2017 году, где б</w:t>
      </w:r>
      <w:r>
        <w:rPr>
          <w:rFonts w:ascii="Times New Roman" w:eastAsiaTheme="minorEastAsia" w:hAnsi="Times New Roman" w:cs="Times New Roman"/>
          <w:sz w:val="26"/>
          <w:szCs w:val="26"/>
        </w:rPr>
        <w:t>олее 100 учёных вышли на протест с требованием увеличить финансирование науки. По оценке потенциала социального протеста, город Апатиты в 2017 году занимает 13 место с оценкой 3,9.</w:t>
      </w:r>
    </w:p>
    <w:p w:rsidR="007F2D39" w:rsidRPr="00D339AD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демонстрирует, что метод оценки потенциала социального протеста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способен обеспечивать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выде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 xml:space="preserve">ление муниципальных образований, которые действительно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lastRenderedPageBreak/>
        <w:t>могут отличаться социальной напряженностью и готовностью активного выражения недовольства. Рассмотренные протесты происходили в малых по меркам РФ городах (население меньше 100 тысяч) и при этом не имели широкого освещения в СМИ, поэтому обнаружение протестов на этих территориях может считаться показательным.</w:t>
      </w:r>
    </w:p>
    <w:p w:rsidR="00393D67" w:rsidRDefault="00ED268F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730808"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Значимость факторов и прогноз динамики</w:t>
      </w:r>
      <w:r w:rsid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.</w:t>
      </w:r>
      <w:r w:rsidR="00730808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93D67">
        <w:rPr>
          <w:rFonts w:ascii="Times New Roman" w:eastAsiaTheme="minorEastAsia" w:hAnsi="Times New Roman" w:cs="Times New Roman"/>
          <w:sz w:val="26"/>
          <w:szCs w:val="26"/>
        </w:rPr>
        <w:t xml:space="preserve">Разработанный метод осуществляет детерминированное вычисление оценки социального риска по социально-экономическим и демографическим показателям за конкретный момент времени. Соответственно, нельзя вычислить оценку, например, за будущий год (или за тот по которому нет данных).  </w:t>
      </w:r>
    </w:p>
    <w:p w:rsidR="0097717F" w:rsidRDefault="00730808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условиях распространения использования машинного обучения как в целом, так и в прогнозе социальных конфликтов, следует рассмотреть возможность применения данного подхода в контексте реализованного метода оценки потенциала социального конфликта. Использование машинного обучения позволит, с одной стороны, оценить значимость набора факторов, а с другой, сделать прогноз динамики изменения оценки социального риска.</w:t>
      </w:r>
    </w:p>
    <w:p w:rsidR="008F6365" w:rsidRDefault="00730808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Поскольку датасет содержат данные по муниципальным образованиям за определенные годы, то простым вариантом имплементации машинного обучения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 является прогноз социального риска на следующий год, используя при этом социально-экономическим и/или демографическим данные за предыдущий год.</w:t>
      </w:r>
      <w:r w:rsidR="0052666E" w:rsidRPr="0052666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Здесь важно отметить, что приятая система оценок ранжирования является простой и понятной для человека, но при этом будет малоэффективной для обучения прогностической модели. В связи с этим вместо принятых оценок, топ-300 следует 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>представить шкалой от 1 до 0, где 1 место получает 1 балл, а 301 –</w:t>
      </w:r>
      <w:r w:rsidR="003C3D48">
        <w:rPr>
          <w:rFonts w:ascii="Times New Roman" w:eastAsiaTheme="minorEastAsia" w:hAnsi="Times New Roman" w:cs="Times New Roman"/>
          <w:sz w:val="26"/>
          <w:szCs w:val="26"/>
        </w:rPr>
        <w:t xml:space="preserve"> 0, что сделает оценки более гладкими.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 xml:space="preserve"> Данный решение внесет несущественные изменения с точки зрения оценки муниципальных образований, но при этом повысит качество обучения моделей.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Предлагается разработать две независимые модели, предполагающие прогноз оценки потенциала отдельно на основе социально-экономических факторов и отдельно на основе демографических данных. Это сделано с целью сфокусировать внимание на значимости факторов, тогда как их совместное использование может перекрывать уровень значимости друг друга.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Итоговый датасет для обучения модели содержит приблизительно 7000 примеров. Сокращение количество примеров вызвано тем, что для обучения модели необходимо знать оценку потенциала социального конфликта за следующий год. Таким образом, все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примеры 2022 года исключатся из датасета, поскольку нельзя рассчитать оценку за 2023 год. Это касается и определенных примеров, не име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6"/>
          <w:szCs w:val="26"/>
        </w:rPr>
        <w:t>ющих данных за следующий год, даже за принятый период времени.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С целью усилить надежность полученных оценок значимости факторов, а также точности модели, было реализовано 50 циклов обучения с вычислением средних оценок.  </w:t>
      </w:r>
    </w:p>
    <w:p w:rsidR="0052666E" w:rsidRDefault="0052666E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52666E" w:rsidRDefault="0052666E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80793D" w:rsidRPr="003C3D48" w:rsidRDefault="0080793D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730808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C5E81" w:rsidRPr="005D7982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5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7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9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20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1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27B5E"/>
    <w:rsid w:val="00044A91"/>
    <w:rsid w:val="00052F74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648E7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759F"/>
    <w:rsid w:val="002E1E89"/>
    <w:rsid w:val="00304942"/>
    <w:rsid w:val="00334DAA"/>
    <w:rsid w:val="003459F7"/>
    <w:rsid w:val="003576A6"/>
    <w:rsid w:val="00383293"/>
    <w:rsid w:val="00393D67"/>
    <w:rsid w:val="003942E1"/>
    <w:rsid w:val="00397964"/>
    <w:rsid w:val="003A08CA"/>
    <w:rsid w:val="003A1D81"/>
    <w:rsid w:val="003C1D50"/>
    <w:rsid w:val="003C3D48"/>
    <w:rsid w:val="00401EB5"/>
    <w:rsid w:val="00434629"/>
    <w:rsid w:val="00451A8E"/>
    <w:rsid w:val="0045205D"/>
    <w:rsid w:val="004872CF"/>
    <w:rsid w:val="00490621"/>
    <w:rsid w:val="004935B8"/>
    <w:rsid w:val="004B4A55"/>
    <w:rsid w:val="004C4891"/>
    <w:rsid w:val="004D0D97"/>
    <w:rsid w:val="005019E8"/>
    <w:rsid w:val="00505551"/>
    <w:rsid w:val="00511FD2"/>
    <w:rsid w:val="00522F41"/>
    <w:rsid w:val="0052666E"/>
    <w:rsid w:val="0053118D"/>
    <w:rsid w:val="005332CA"/>
    <w:rsid w:val="00562F30"/>
    <w:rsid w:val="00572CD8"/>
    <w:rsid w:val="005A4C13"/>
    <w:rsid w:val="005D0A40"/>
    <w:rsid w:val="005D7982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E7638"/>
    <w:rsid w:val="006F4137"/>
    <w:rsid w:val="00701428"/>
    <w:rsid w:val="00726603"/>
    <w:rsid w:val="00730808"/>
    <w:rsid w:val="0073199F"/>
    <w:rsid w:val="0074170F"/>
    <w:rsid w:val="00760864"/>
    <w:rsid w:val="00765A9C"/>
    <w:rsid w:val="00766551"/>
    <w:rsid w:val="00782300"/>
    <w:rsid w:val="007C5E22"/>
    <w:rsid w:val="007E3759"/>
    <w:rsid w:val="007F2D39"/>
    <w:rsid w:val="007F6611"/>
    <w:rsid w:val="007F73D9"/>
    <w:rsid w:val="0080793D"/>
    <w:rsid w:val="00844305"/>
    <w:rsid w:val="00846BA1"/>
    <w:rsid w:val="00850819"/>
    <w:rsid w:val="00862AE2"/>
    <w:rsid w:val="00881BF9"/>
    <w:rsid w:val="008C4937"/>
    <w:rsid w:val="008C7386"/>
    <w:rsid w:val="008D0801"/>
    <w:rsid w:val="008E5B17"/>
    <w:rsid w:val="008F6365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67074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9275F"/>
    <w:rsid w:val="00BA18D5"/>
    <w:rsid w:val="00BC00D6"/>
    <w:rsid w:val="00BC029A"/>
    <w:rsid w:val="00BE4DD5"/>
    <w:rsid w:val="00BE6C36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9AD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5D9A"/>
    <w:rsid w:val="00DD76F0"/>
    <w:rsid w:val="00E10366"/>
    <w:rsid w:val="00E23273"/>
    <w:rsid w:val="00E45A17"/>
    <w:rsid w:val="00EB26BE"/>
    <w:rsid w:val="00EC02FC"/>
    <w:rsid w:val="00ED268F"/>
    <w:rsid w:val="00EF569D"/>
    <w:rsid w:val="00F12A7A"/>
    <w:rsid w:val="00F653AF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AD501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i.org/10.3390/ijgi10110734" TargetMode="External"/><Relationship Id="rId18" Type="http://schemas.openxmlformats.org/officeDocument/2006/relationships/hyperlink" Target="https://doi.org/10.1371/journal.pone.031983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i.org/10.1163/15691330-bja10030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researchgate.net/publication/358646626_A_Similarity_Approach_to_Cities_and_Features" TargetMode="External"/><Relationship Id="rId17" Type="http://schemas.openxmlformats.org/officeDocument/2006/relationships/hyperlink" Target="https://www.researchgate.net/publication/373236871_Conflicts_in_urban_peripheries_in_Europ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20" Type="http://schemas.openxmlformats.org/officeDocument/2006/relationships/hyperlink" Target="https://doi.org/10.1007/s13278-016-0355-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276321581_The_scenario_method_in_urban_plann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dx.doi.org/10.2139/ssrn.535739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57212810_Exploring_venue-based_city-to-city_similarity_measur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3709</TotalTime>
  <Pages>1</Pages>
  <Words>4195</Words>
  <Characters>23916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85</cp:revision>
  <dcterms:created xsi:type="dcterms:W3CDTF">2025-08-24T07:13:00Z</dcterms:created>
  <dcterms:modified xsi:type="dcterms:W3CDTF">2025-09-30T12:57:00Z</dcterms:modified>
</cp:coreProperties>
</file>