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312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5ltgrc25b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Architecture:</w:t>
      </w:r>
    </w:p>
    <w:p w:rsidR="00000000" w:rsidDel="00000000" w:rsidP="00000000" w:rsidRDefault="00000000" w:rsidRPr="00000000" w14:paraId="0000000D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The solution architecture defines how ServiceNow controls record access using script-controlled Access Control Lists (ACLs). The system authenticates users, validates their roles, and evaluates record field values through ACL scripts. Based on these conditions, access is allowed or denied for </w:t>
      </w:r>
      <w:r w:rsidDel="00000000" w:rsidR="00000000" w:rsidRPr="00000000">
        <w:rPr>
          <w:b w:val="1"/>
          <w:bCs w:val="1"/>
          <w:rtl w:val="0"/>
        </w:rPr>
        <w:t xml:space="preserve">READ, WRITE, CREATE, and DELETE</w:t>
      </w:r>
      <w:r w:rsidDel="00000000" w:rsidR="00000000" w:rsidRPr="00000000">
        <w:rPr>
          <w:rtl w:val="0"/>
        </w:rPr>
        <w:t xml:space="preserve"> operations. The solution provides secure and controlled access to sensitive ServiceNow records.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j9pajpji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- Solution Architecture Diagram:</w:t>
      </w:r>
    </w:p>
    <w:p w:rsidR="00000000" w:rsidDel="00000000" w:rsidP="00000000" w:rsidRDefault="00000000" w:rsidRPr="00000000" w14:paraId="0000000F">
      <w:pPr>
        <w:spacing w:after="0" w:before="0" w:line="31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39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access-control flow of the Script-Controlled ACL solution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6yd6ib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Reference:</w:t>
      </w:r>
    </w:p>
    <w:p w:rsidR="00000000" w:rsidDel="00000000" w:rsidP="00000000" w:rsidRDefault="00000000" w:rsidRPr="00000000" w14:paraId="00000013">
      <w:pPr>
        <w:spacing w:after="0" w:before="0" w:line="312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ServiceNow Documentation – Access Control Lists (ACLs)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https://www.servicenow.com/docs/bundle/yokohama-platform-security/page/administer/security/concept/c_AccessControlListRules.html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ervicenow.com/docs/bundle/yokohama-platform-security/page/administer/security/concept/c_AccessControlListRu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