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4163A" w14:textId="03B457C9" w:rsidR="00F54558" w:rsidRDefault="0066583E" w:rsidP="002B7A85">
      <w:pPr>
        <w:pStyle w:val="Heading2"/>
      </w:pPr>
      <w:r>
        <w:t>Title</w:t>
      </w:r>
    </w:p>
    <w:p w14:paraId="38ED6EA0" w14:textId="31985532" w:rsidR="002B7A85" w:rsidRPr="002B7A85" w:rsidRDefault="009A548A" w:rsidP="00D15BB5">
      <w:r w:rsidRPr="009A548A">
        <w:t>Conceptual Clarification of Digital Patient Frameworks, Methodological Approaches, and Infrastructural Gaps: Evidence from a Systematic Meta-Review</w:t>
      </w:r>
    </w:p>
    <w:p w14:paraId="48EE4393" w14:textId="2F172378" w:rsidR="0066583E" w:rsidRDefault="0066583E" w:rsidP="002B7A85">
      <w:pPr>
        <w:pStyle w:val="Heading2"/>
      </w:pPr>
      <w:r>
        <w:t>Authors</w:t>
      </w:r>
      <w:r w:rsidR="009A548A">
        <w:t xml:space="preserve"> (no order)</w:t>
      </w:r>
    </w:p>
    <w:p w14:paraId="52E02426" w14:textId="209A1F0A" w:rsidR="00655C0D" w:rsidRPr="002B7A85" w:rsidRDefault="009A548A" w:rsidP="002B7A85">
      <w:r>
        <w:t>Arash Ghorbannia</w:t>
      </w:r>
      <w:r w:rsidR="00655C0D">
        <w:t xml:space="preserve">, Mark Scerbo, Megan Witherow, Faryaneh Poursardar, April Pace, Taryn Couper, </w:t>
      </w:r>
      <w:r w:rsidR="00ED1A3D">
        <w:t>Jae H. Lee</w:t>
      </w:r>
      <w:r w:rsidR="00ED1A3D">
        <w:t xml:space="preserve">, </w:t>
      </w:r>
      <w:r w:rsidR="00655C0D">
        <w:t>Ginger Watson, Eric Weisel, Charles Combs</w:t>
      </w:r>
    </w:p>
    <w:p w14:paraId="6288EEF0" w14:textId="07A4A6EB" w:rsidR="0066583E" w:rsidRDefault="0066583E" w:rsidP="002B7A85">
      <w:pPr>
        <w:pStyle w:val="Heading2"/>
      </w:pPr>
      <w:r>
        <w:t>Affiliations</w:t>
      </w:r>
    </w:p>
    <w:p w14:paraId="404F099C" w14:textId="77777777" w:rsidR="00F90EAD" w:rsidRDefault="00000000">
      <w:r>
        <w:t>Old Dominion University, Norfolk, VA, USA; National Center for Collaboration in Medical Modeling and Simulation, Old Dominion University, Norfolk, VA, USA. Author-specific affiliations should be confirmed before submission.</w:t>
      </w:r>
    </w:p>
    <w:p w14:paraId="4E41CE23" w14:textId="12A2B91F" w:rsidR="0066583E" w:rsidRDefault="0066583E" w:rsidP="002B7A85">
      <w:pPr>
        <w:pStyle w:val="Heading2"/>
      </w:pPr>
      <w:r>
        <w:t>Abstract</w:t>
      </w:r>
    </w:p>
    <w:p w14:paraId="33308163" w14:textId="77777777" w:rsidR="00F90EAD" w:rsidRDefault="00000000">
      <w:r>
        <w:t>Background: Digital patient frameworks are expanding rapidly, but terms such as digital twin, virtual patient, in silico patient, and synthetic patient are used inconsistently. Objective: This meta-review synthesizes how recent healthcare reviews define, construct, validate, and operationalize the digital patient spectrum. Methods: Following the PROSPERO protocol, we searched health, engineering, and grey-literature sources for English-language reviews published from 2020 onward and extracted review-level data with a CADIMA-aligned form. Results: The current extraction sheet contains 64 coded rows representing 62 unique review titles, mostly from 2024-2025. Applications clustered in cardiovascular care, oncology, surgery/orthopedics/dentistry, general healthcare, drug development, and diabetes/endocrine care. Patient-specific modeling, imaging, clinical records, sensors/wearables, and omics were common, but validation, fidelity metrics, and clinical maturity were unevenly reported. Conclusions: The field is conceptually active but infrastructurally immature; translation will require clearer taxonomy, stronger validation standards, interoperable data architecture, and governance models for clinically deployable patient digital twins.</w:t>
      </w:r>
    </w:p>
    <w:p w14:paraId="21FBE3CD" w14:textId="2934E3D6" w:rsidR="007F7A5B" w:rsidRPr="00D577D7" w:rsidRDefault="007F7A5B" w:rsidP="00D577D7">
      <w:pPr>
        <w:rPr>
          <w:b/>
          <w:bCs/>
        </w:rPr>
      </w:pPr>
      <w:r w:rsidRPr="00D577D7">
        <w:rPr>
          <w:b/>
          <w:bCs/>
        </w:rPr>
        <w:t>Target Venues</w:t>
      </w:r>
    </w:p>
    <w:tbl>
      <w:tblPr>
        <w:tblW w:w="5000" w:type="pct"/>
        <w:tblCellMar>
          <w:left w:w="58" w:type="dxa"/>
          <w:right w:w="58" w:type="dxa"/>
        </w:tblCellMar>
        <w:tblLook w:val="04A0" w:firstRow="1" w:lastRow="0" w:firstColumn="1" w:lastColumn="0" w:noHBand="0" w:noVBand="1"/>
      </w:tblPr>
      <w:tblGrid>
        <w:gridCol w:w="5816"/>
        <w:gridCol w:w="1140"/>
        <w:gridCol w:w="1309"/>
        <w:gridCol w:w="1095"/>
      </w:tblGrid>
      <w:tr w:rsidR="00224A81" w:rsidRPr="00D9339D" w14:paraId="19F8AC66" w14:textId="77777777" w:rsidTr="00EE19DF">
        <w:tc>
          <w:tcPr>
            <w:tcW w:w="3107" w:type="pct"/>
            <w:tcBorders>
              <w:top w:val="single" w:sz="4" w:space="0" w:color="auto"/>
              <w:bottom w:val="single" w:sz="4" w:space="0" w:color="auto"/>
            </w:tcBorders>
          </w:tcPr>
          <w:p w14:paraId="1C917C34" w14:textId="77777777" w:rsidR="00224A81" w:rsidRPr="007258B2" w:rsidRDefault="00224A81" w:rsidP="007258B2">
            <w:pPr>
              <w:pStyle w:val="NoSpacing"/>
              <w:rPr>
                <w:b/>
                <w:bCs/>
              </w:rPr>
            </w:pPr>
            <w:r w:rsidRPr="007258B2">
              <w:rPr>
                <w:b/>
                <w:bCs/>
              </w:rPr>
              <w:t>Journal Name</w:t>
            </w:r>
          </w:p>
        </w:tc>
        <w:tc>
          <w:tcPr>
            <w:tcW w:w="609" w:type="pct"/>
            <w:tcBorders>
              <w:top w:val="single" w:sz="4" w:space="0" w:color="auto"/>
              <w:bottom w:val="single" w:sz="4" w:space="0" w:color="auto"/>
            </w:tcBorders>
          </w:tcPr>
          <w:p w14:paraId="1456893F" w14:textId="77777777" w:rsidR="00224A81" w:rsidRPr="007258B2" w:rsidRDefault="00224A81" w:rsidP="007258B2">
            <w:pPr>
              <w:pStyle w:val="NoSpacing"/>
              <w:jc w:val="center"/>
              <w:rPr>
                <w:b/>
                <w:bCs/>
              </w:rPr>
            </w:pPr>
            <w:r w:rsidRPr="007258B2">
              <w:rPr>
                <w:b/>
                <w:bCs/>
              </w:rPr>
              <w:t>h-index</w:t>
            </w:r>
          </w:p>
        </w:tc>
        <w:tc>
          <w:tcPr>
            <w:tcW w:w="699" w:type="pct"/>
            <w:tcBorders>
              <w:top w:val="single" w:sz="4" w:space="0" w:color="auto"/>
              <w:bottom w:val="single" w:sz="4" w:space="0" w:color="auto"/>
            </w:tcBorders>
          </w:tcPr>
          <w:p w14:paraId="56DBEBC2" w14:textId="78B87388" w:rsidR="00224A81" w:rsidRPr="007258B2" w:rsidRDefault="00224A81" w:rsidP="007258B2">
            <w:pPr>
              <w:pStyle w:val="NoSpacing"/>
              <w:jc w:val="center"/>
              <w:rPr>
                <w:b/>
                <w:bCs/>
              </w:rPr>
            </w:pPr>
            <w:r w:rsidRPr="007258B2">
              <w:rPr>
                <w:b/>
                <w:bCs/>
              </w:rPr>
              <w:t>Cite</w:t>
            </w:r>
            <w:r w:rsidR="007258B2">
              <w:rPr>
                <w:b/>
                <w:bCs/>
              </w:rPr>
              <w:t xml:space="preserve"> </w:t>
            </w:r>
            <w:r w:rsidRPr="007258B2">
              <w:rPr>
                <w:b/>
                <w:bCs/>
              </w:rPr>
              <w:t>Score</w:t>
            </w:r>
          </w:p>
        </w:tc>
        <w:tc>
          <w:tcPr>
            <w:tcW w:w="585" w:type="pct"/>
            <w:tcBorders>
              <w:top w:val="single" w:sz="4" w:space="0" w:color="auto"/>
              <w:bottom w:val="single" w:sz="4" w:space="0" w:color="auto"/>
            </w:tcBorders>
          </w:tcPr>
          <w:p w14:paraId="4DF06251" w14:textId="3CA1428C" w:rsidR="00224A81" w:rsidRPr="007258B2" w:rsidRDefault="00224A81" w:rsidP="007258B2">
            <w:pPr>
              <w:pStyle w:val="NoSpacing"/>
              <w:jc w:val="center"/>
              <w:rPr>
                <w:b/>
                <w:bCs/>
              </w:rPr>
            </w:pPr>
            <w:r w:rsidRPr="007258B2">
              <w:rPr>
                <w:b/>
                <w:bCs/>
              </w:rPr>
              <w:t>Quartile</w:t>
            </w:r>
          </w:p>
        </w:tc>
      </w:tr>
      <w:tr w:rsidR="00224A81" w:rsidRPr="00D9339D" w14:paraId="3ABCEC56" w14:textId="77777777" w:rsidTr="00EE19DF">
        <w:tc>
          <w:tcPr>
            <w:tcW w:w="3107" w:type="pct"/>
            <w:tcBorders>
              <w:top w:val="single" w:sz="4" w:space="0" w:color="auto"/>
            </w:tcBorders>
          </w:tcPr>
          <w:p w14:paraId="73FA78E7" w14:textId="77777777" w:rsidR="00224A81" w:rsidRPr="00D9339D" w:rsidRDefault="00224A81" w:rsidP="007258B2">
            <w:pPr>
              <w:pStyle w:val="NoSpacing"/>
            </w:pPr>
            <w:proofErr w:type="spellStart"/>
            <w:r w:rsidRPr="00D9339D">
              <w:t>npj</w:t>
            </w:r>
            <w:proofErr w:type="spellEnd"/>
            <w:r w:rsidRPr="00D9339D">
              <w:t xml:space="preserve"> Digital Medicine</w:t>
            </w:r>
          </w:p>
        </w:tc>
        <w:tc>
          <w:tcPr>
            <w:tcW w:w="609" w:type="pct"/>
            <w:tcBorders>
              <w:top w:val="single" w:sz="4" w:space="0" w:color="auto"/>
            </w:tcBorders>
          </w:tcPr>
          <w:p w14:paraId="6AFD2A6E" w14:textId="77777777" w:rsidR="00224A81" w:rsidRPr="00D9339D" w:rsidRDefault="00224A81" w:rsidP="007258B2">
            <w:pPr>
              <w:pStyle w:val="NoSpacing"/>
              <w:jc w:val="center"/>
            </w:pPr>
            <w:r w:rsidRPr="00D9339D">
              <w:t>110–130</w:t>
            </w:r>
          </w:p>
        </w:tc>
        <w:tc>
          <w:tcPr>
            <w:tcW w:w="699" w:type="pct"/>
            <w:tcBorders>
              <w:top w:val="single" w:sz="4" w:space="0" w:color="auto"/>
            </w:tcBorders>
          </w:tcPr>
          <w:p w14:paraId="0D51A930" w14:textId="77777777" w:rsidR="00224A81" w:rsidRPr="00D9339D" w:rsidRDefault="00224A81" w:rsidP="007258B2">
            <w:pPr>
              <w:pStyle w:val="NoSpacing"/>
              <w:jc w:val="center"/>
            </w:pPr>
            <w:r w:rsidRPr="00D9339D">
              <w:t>18–22</w:t>
            </w:r>
          </w:p>
        </w:tc>
        <w:tc>
          <w:tcPr>
            <w:tcW w:w="585" w:type="pct"/>
            <w:tcBorders>
              <w:top w:val="single" w:sz="4" w:space="0" w:color="auto"/>
            </w:tcBorders>
          </w:tcPr>
          <w:p w14:paraId="10D44738" w14:textId="77777777" w:rsidR="00224A81" w:rsidRPr="00D9339D" w:rsidRDefault="00224A81" w:rsidP="007258B2">
            <w:pPr>
              <w:pStyle w:val="NoSpacing"/>
              <w:jc w:val="center"/>
            </w:pPr>
            <w:r w:rsidRPr="00D9339D">
              <w:t>Q1</w:t>
            </w:r>
          </w:p>
        </w:tc>
      </w:tr>
      <w:tr w:rsidR="00224A81" w:rsidRPr="00D9339D" w14:paraId="5C463A7B" w14:textId="77777777" w:rsidTr="00EE19DF">
        <w:tc>
          <w:tcPr>
            <w:tcW w:w="3107" w:type="pct"/>
          </w:tcPr>
          <w:p w14:paraId="7CC37388" w14:textId="77777777" w:rsidR="00224A81" w:rsidRPr="00D9339D" w:rsidRDefault="00224A81" w:rsidP="007258B2">
            <w:pPr>
              <w:pStyle w:val="NoSpacing"/>
            </w:pPr>
            <w:r w:rsidRPr="00D9339D">
              <w:t>Journal of Medical Internet Research (JMIR)</w:t>
            </w:r>
          </w:p>
        </w:tc>
        <w:tc>
          <w:tcPr>
            <w:tcW w:w="609" w:type="pct"/>
          </w:tcPr>
          <w:p w14:paraId="713435DE" w14:textId="77777777" w:rsidR="00224A81" w:rsidRPr="00D9339D" w:rsidRDefault="00224A81" w:rsidP="007258B2">
            <w:pPr>
              <w:pStyle w:val="NoSpacing"/>
              <w:jc w:val="center"/>
            </w:pPr>
            <w:r w:rsidRPr="00D9339D">
              <w:t>190–220</w:t>
            </w:r>
          </w:p>
        </w:tc>
        <w:tc>
          <w:tcPr>
            <w:tcW w:w="699" w:type="pct"/>
          </w:tcPr>
          <w:p w14:paraId="7B038373" w14:textId="77777777" w:rsidR="00224A81" w:rsidRPr="00D9339D" w:rsidRDefault="00224A81" w:rsidP="007258B2">
            <w:pPr>
              <w:pStyle w:val="NoSpacing"/>
              <w:jc w:val="center"/>
            </w:pPr>
            <w:r w:rsidRPr="00D9339D">
              <w:t>10–13</w:t>
            </w:r>
          </w:p>
        </w:tc>
        <w:tc>
          <w:tcPr>
            <w:tcW w:w="585" w:type="pct"/>
          </w:tcPr>
          <w:p w14:paraId="50D6D214" w14:textId="77777777" w:rsidR="00224A81" w:rsidRPr="00D9339D" w:rsidRDefault="00224A81" w:rsidP="007258B2">
            <w:pPr>
              <w:pStyle w:val="NoSpacing"/>
              <w:jc w:val="center"/>
            </w:pPr>
            <w:r w:rsidRPr="00D9339D">
              <w:t>Q1</w:t>
            </w:r>
          </w:p>
        </w:tc>
      </w:tr>
      <w:tr w:rsidR="00224A81" w:rsidRPr="00D9339D" w14:paraId="400DD3D0" w14:textId="77777777" w:rsidTr="00EE19DF">
        <w:tc>
          <w:tcPr>
            <w:tcW w:w="3107" w:type="pct"/>
          </w:tcPr>
          <w:p w14:paraId="0D3E6C22" w14:textId="77777777" w:rsidR="00224A81" w:rsidRPr="00D9339D" w:rsidRDefault="00224A81" w:rsidP="007258B2">
            <w:pPr>
              <w:pStyle w:val="NoSpacing"/>
            </w:pPr>
            <w:r w:rsidRPr="00D9339D">
              <w:t>International Journal of Medical Informatics</w:t>
            </w:r>
          </w:p>
        </w:tc>
        <w:tc>
          <w:tcPr>
            <w:tcW w:w="609" w:type="pct"/>
          </w:tcPr>
          <w:p w14:paraId="2EC719F6" w14:textId="77777777" w:rsidR="00224A81" w:rsidRPr="00D9339D" w:rsidRDefault="00224A81" w:rsidP="007258B2">
            <w:pPr>
              <w:pStyle w:val="NoSpacing"/>
              <w:jc w:val="center"/>
            </w:pPr>
            <w:r w:rsidRPr="00D9339D">
              <w:t>140–170</w:t>
            </w:r>
          </w:p>
        </w:tc>
        <w:tc>
          <w:tcPr>
            <w:tcW w:w="699" w:type="pct"/>
          </w:tcPr>
          <w:p w14:paraId="273BC264" w14:textId="77777777" w:rsidR="00224A81" w:rsidRPr="00D9339D" w:rsidRDefault="00224A81" w:rsidP="007258B2">
            <w:pPr>
              <w:pStyle w:val="NoSpacing"/>
              <w:jc w:val="center"/>
            </w:pPr>
            <w:r w:rsidRPr="00D9339D">
              <w:t>8–11</w:t>
            </w:r>
          </w:p>
        </w:tc>
        <w:tc>
          <w:tcPr>
            <w:tcW w:w="585" w:type="pct"/>
          </w:tcPr>
          <w:p w14:paraId="3A9D4FDE" w14:textId="77777777" w:rsidR="00224A81" w:rsidRPr="00D9339D" w:rsidRDefault="00224A81" w:rsidP="007258B2">
            <w:pPr>
              <w:pStyle w:val="NoSpacing"/>
              <w:jc w:val="center"/>
            </w:pPr>
            <w:r w:rsidRPr="00D9339D">
              <w:t>Q1</w:t>
            </w:r>
          </w:p>
        </w:tc>
      </w:tr>
      <w:tr w:rsidR="00224A81" w:rsidRPr="00D9339D" w14:paraId="3459ABB3" w14:textId="77777777" w:rsidTr="00EE19DF">
        <w:tc>
          <w:tcPr>
            <w:tcW w:w="3107" w:type="pct"/>
          </w:tcPr>
          <w:p w14:paraId="6D839612" w14:textId="77777777" w:rsidR="00224A81" w:rsidRPr="00D9339D" w:rsidRDefault="00224A81" w:rsidP="007258B2">
            <w:pPr>
              <w:pStyle w:val="NoSpacing"/>
            </w:pPr>
            <w:r w:rsidRPr="00D9339D">
              <w:t>Journal of Translational Medicine</w:t>
            </w:r>
          </w:p>
        </w:tc>
        <w:tc>
          <w:tcPr>
            <w:tcW w:w="609" w:type="pct"/>
          </w:tcPr>
          <w:p w14:paraId="6C2123A0" w14:textId="77777777" w:rsidR="00224A81" w:rsidRPr="00D9339D" w:rsidRDefault="00224A81" w:rsidP="007258B2">
            <w:pPr>
              <w:pStyle w:val="NoSpacing"/>
              <w:jc w:val="center"/>
            </w:pPr>
            <w:r w:rsidRPr="00D9339D">
              <w:t>150–180</w:t>
            </w:r>
          </w:p>
        </w:tc>
        <w:tc>
          <w:tcPr>
            <w:tcW w:w="699" w:type="pct"/>
          </w:tcPr>
          <w:p w14:paraId="4E60B154" w14:textId="77777777" w:rsidR="00224A81" w:rsidRPr="00D9339D" w:rsidRDefault="00224A81" w:rsidP="007258B2">
            <w:pPr>
              <w:pStyle w:val="NoSpacing"/>
              <w:jc w:val="center"/>
            </w:pPr>
            <w:r w:rsidRPr="00D9339D">
              <w:t>9–12</w:t>
            </w:r>
          </w:p>
        </w:tc>
        <w:tc>
          <w:tcPr>
            <w:tcW w:w="585" w:type="pct"/>
          </w:tcPr>
          <w:p w14:paraId="6E7FB543" w14:textId="77777777" w:rsidR="00224A81" w:rsidRPr="00D9339D" w:rsidRDefault="00224A81" w:rsidP="007258B2">
            <w:pPr>
              <w:pStyle w:val="NoSpacing"/>
              <w:jc w:val="center"/>
            </w:pPr>
            <w:r w:rsidRPr="00D9339D">
              <w:t>Q1</w:t>
            </w:r>
          </w:p>
        </w:tc>
      </w:tr>
      <w:tr w:rsidR="00224A81" w:rsidRPr="00D9339D" w14:paraId="37AC6574" w14:textId="77777777" w:rsidTr="00EE19DF">
        <w:tc>
          <w:tcPr>
            <w:tcW w:w="3107" w:type="pct"/>
          </w:tcPr>
          <w:p w14:paraId="6F1CBC21" w14:textId="77777777" w:rsidR="00224A81" w:rsidRPr="00D9339D" w:rsidRDefault="00224A81" w:rsidP="007258B2">
            <w:pPr>
              <w:pStyle w:val="NoSpacing"/>
            </w:pPr>
            <w:r w:rsidRPr="00D9339D">
              <w:t>European Journal of Radiology</w:t>
            </w:r>
          </w:p>
        </w:tc>
        <w:tc>
          <w:tcPr>
            <w:tcW w:w="609" w:type="pct"/>
          </w:tcPr>
          <w:p w14:paraId="3C6A307B" w14:textId="77777777" w:rsidR="00224A81" w:rsidRPr="00D9339D" w:rsidRDefault="00224A81" w:rsidP="007258B2">
            <w:pPr>
              <w:pStyle w:val="NoSpacing"/>
              <w:jc w:val="center"/>
            </w:pPr>
            <w:r w:rsidRPr="00D9339D">
              <w:t>160–190</w:t>
            </w:r>
          </w:p>
        </w:tc>
        <w:tc>
          <w:tcPr>
            <w:tcW w:w="699" w:type="pct"/>
          </w:tcPr>
          <w:p w14:paraId="50D2A723" w14:textId="77777777" w:rsidR="00224A81" w:rsidRPr="00D9339D" w:rsidRDefault="00224A81" w:rsidP="007258B2">
            <w:pPr>
              <w:pStyle w:val="NoSpacing"/>
              <w:jc w:val="center"/>
            </w:pPr>
            <w:r w:rsidRPr="00D9339D">
              <w:t>7–10</w:t>
            </w:r>
          </w:p>
        </w:tc>
        <w:tc>
          <w:tcPr>
            <w:tcW w:w="585" w:type="pct"/>
          </w:tcPr>
          <w:p w14:paraId="3C62DC5B" w14:textId="77777777" w:rsidR="00224A81" w:rsidRPr="00D9339D" w:rsidRDefault="00224A81" w:rsidP="007258B2">
            <w:pPr>
              <w:pStyle w:val="NoSpacing"/>
              <w:jc w:val="center"/>
            </w:pPr>
            <w:r w:rsidRPr="00D9339D">
              <w:t>Q1</w:t>
            </w:r>
          </w:p>
        </w:tc>
      </w:tr>
      <w:tr w:rsidR="00224A81" w:rsidRPr="00D9339D" w14:paraId="233C5E21" w14:textId="77777777" w:rsidTr="00EE19DF">
        <w:tc>
          <w:tcPr>
            <w:tcW w:w="3107" w:type="pct"/>
          </w:tcPr>
          <w:p w14:paraId="6BBCD72C" w14:textId="77777777" w:rsidR="00224A81" w:rsidRPr="00D9339D" w:rsidRDefault="00224A81" w:rsidP="007258B2">
            <w:pPr>
              <w:pStyle w:val="NoSpacing"/>
            </w:pPr>
            <w:r w:rsidRPr="00D9339D">
              <w:t>Computational Structural Biotechnology Journal</w:t>
            </w:r>
          </w:p>
        </w:tc>
        <w:tc>
          <w:tcPr>
            <w:tcW w:w="609" w:type="pct"/>
          </w:tcPr>
          <w:p w14:paraId="4697B07D" w14:textId="77777777" w:rsidR="00224A81" w:rsidRPr="00D9339D" w:rsidRDefault="00224A81" w:rsidP="007258B2">
            <w:pPr>
              <w:pStyle w:val="NoSpacing"/>
              <w:jc w:val="center"/>
            </w:pPr>
            <w:r w:rsidRPr="00D9339D">
              <w:t>80–110</w:t>
            </w:r>
          </w:p>
        </w:tc>
        <w:tc>
          <w:tcPr>
            <w:tcW w:w="699" w:type="pct"/>
          </w:tcPr>
          <w:p w14:paraId="445A8ED7" w14:textId="77777777" w:rsidR="00224A81" w:rsidRPr="00D9339D" w:rsidRDefault="00224A81" w:rsidP="007258B2">
            <w:pPr>
              <w:pStyle w:val="NoSpacing"/>
              <w:jc w:val="center"/>
            </w:pPr>
            <w:r w:rsidRPr="00D9339D">
              <w:t>12–16</w:t>
            </w:r>
          </w:p>
        </w:tc>
        <w:tc>
          <w:tcPr>
            <w:tcW w:w="585" w:type="pct"/>
          </w:tcPr>
          <w:p w14:paraId="6126A95E" w14:textId="77777777" w:rsidR="00224A81" w:rsidRPr="00D9339D" w:rsidRDefault="00224A81" w:rsidP="007258B2">
            <w:pPr>
              <w:pStyle w:val="NoSpacing"/>
              <w:jc w:val="center"/>
            </w:pPr>
            <w:r w:rsidRPr="00D9339D">
              <w:t>Q1</w:t>
            </w:r>
          </w:p>
        </w:tc>
      </w:tr>
      <w:tr w:rsidR="00224A81" w:rsidRPr="00D9339D" w14:paraId="4C5251D0" w14:textId="77777777" w:rsidTr="00EE19DF">
        <w:tc>
          <w:tcPr>
            <w:tcW w:w="3107" w:type="pct"/>
          </w:tcPr>
          <w:p w14:paraId="5DF3EFCE" w14:textId="77777777" w:rsidR="00224A81" w:rsidRPr="00D9339D" w:rsidRDefault="00224A81" w:rsidP="007258B2">
            <w:pPr>
              <w:pStyle w:val="NoSpacing"/>
            </w:pPr>
            <w:r w:rsidRPr="00D9339D">
              <w:t>Artificial Intelligence in Healthcare</w:t>
            </w:r>
          </w:p>
        </w:tc>
        <w:tc>
          <w:tcPr>
            <w:tcW w:w="609" w:type="pct"/>
          </w:tcPr>
          <w:p w14:paraId="7243872D" w14:textId="77777777" w:rsidR="00224A81" w:rsidRPr="00D9339D" w:rsidRDefault="00224A81" w:rsidP="007258B2">
            <w:pPr>
              <w:pStyle w:val="NoSpacing"/>
              <w:jc w:val="center"/>
            </w:pPr>
            <w:r w:rsidRPr="00D9339D">
              <w:t>25–40</w:t>
            </w:r>
          </w:p>
        </w:tc>
        <w:tc>
          <w:tcPr>
            <w:tcW w:w="699" w:type="pct"/>
          </w:tcPr>
          <w:p w14:paraId="23A5C548" w14:textId="77777777" w:rsidR="00224A81" w:rsidRPr="00D9339D" w:rsidRDefault="00224A81" w:rsidP="007258B2">
            <w:pPr>
              <w:pStyle w:val="NoSpacing"/>
              <w:jc w:val="center"/>
            </w:pPr>
            <w:r w:rsidRPr="00D9339D">
              <w:t>6–9</w:t>
            </w:r>
          </w:p>
        </w:tc>
        <w:tc>
          <w:tcPr>
            <w:tcW w:w="585" w:type="pct"/>
          </w:tcPr>
          <w:p w14:paraId="298E1F45" w14:textId="61503444" w:rsidR="00224A81" w:rsidRPr="00D9339D" w:rsidRDefault="00224A81" w:rsidP="007258B2">
            <w:pPr>
              <w:pStyle w:val="NoSpacing"/>
              <w:jc w:val="center"/>
            </w:pPr>
            <w:r w:rsidRPr="00D9339D">
              <w:t>Q1</w:t>
            </w:r>
          </w:p>
        </w:tc>
      </w:tr>
      <w:tr w:rsidR="00224A81" w:rsidRPr="00D9339D" w14:paraId="14BEB85C" w14:textId="77777777" w:rsidTr="00EE19DF">
        <w:tc>
          <w:tcPr>
            <w:tcW w:w="3107" w:type="pct"/>
          </w:tcPr>
          <w:p w14:paraId="0D1977CD" w14:textId="77777777" w:rsidR="00224A81" w:rsidRPr="00D9339D" w:rsidRDefault="00224A81" w:rsidP="007258B2">
            <w:pPr>
              <w:pStyle w:val="NoSpacing"/>
            </w:pPr>
            <w:r w:rsidRPr="00D9339D">
              <w:t>Information Systems Frontiers</w:t>
            </w:r>
          </w:p>
        </w:tc>
        <w:tc>
          <w:tcPr>
            <w:tcW w:w="609" w:type="pct"/>
          </w:tcPr>
          <w:p w14:paraId="2515A1C8" w14:textId="77777777" w:rsidR="00224A81" w:rsidRPr="00D9339D" w:rsidRDefault="00224A81" w:rsidP="007258B2">
            <w:pPr>
              <w:pStyle w:val="NoSpacing"/>
              <w:jc w:val="center"/>
            </w:pPr>
            <w:r w:rsidRPr="00D9339D">
              <w:t>110–140</w:t>
            </w:r>
          </w:p>
        </w:tc>
        <w:tc>
          <w:tcPr>
            <w:tcW w:w="699" w:type="pct"/>
          </w:tcPr>
          <w:p w14:paraId="49EC32DF" w14:textId="77777777" w:rsidR="00224A81" w:rsidRPr="00D9339D" w:rsidRDefault="00224A81" w:rsidP="007258B2">
            <w:pPr>
              <w:pStyle w:val="NoSpacing"/>
              <w:jc w:val="center"/>
            </w:pPr>
            <w:r w:rsidRPr="00D9339D">
              <w:t>8–11</w:t>
            </w:r>
          </w:p>
        </w:tc>
        <w:tc>
          <w:tcPr>
            <w:tcW w:w="585" w:type="pct"/>
          </w:tcPr>
          <w:p w14:paraId="05687E37" w14:textId="77777777" w:rsidR="00224A81" w:rsidRPr="00D9339D" w:rsidRDefault="00224A81" w:rsidP="007258B2">
            <w:pPr>
              <w:pStyle w:val="NoSpacing"/>
              <w:jc w:val="center"/>
            </w:pPr>
            <w:r w:rsidRPr="00D9339D">
              <w:t>Q1</w:t>
            </w:r>
          </w:p>
        </w:tc>
      </w:tr>
      <w:tr w:rsidR="00224A81" w:rsidRPr="00D9339D" w14:paraId="5A3D4516" w14:textId="77777777" w:rsidTr="00EE19DF">
        <w:tc>
          <w:tcPr>
            <w:tcW w:w="3107" w:type="pct"/>
          </w:tcPr>
          <w:p w14:paraId="73B3539F" w14:textId="77777777" w:rsidR="00224A81" w:rsidRPr="00D9339D" w:rsidRDefault="00224A81" w:rsidP="007258B2">
            <w:pPr>
              <w:pStyle w:val="NoSpacing"/>
            </w:pPr>
            <w:r w:rsidRPr="00D9339D">
              <w:t>Health and Technology</w:t>
            </w:r>
          </w:p>
        </w:tc>
        <w:tc>
          <w:tcPr>
            <w:tcW w:w="609" w:type="pct"/>
          </w:tcPr>
          <w:p w14:paraId="419BEF6D" w14:textId="77777777" w:rsidR="00224A81" w:rsidRPr="00D9339D" w:rsidRDefault="00224A81" w:rsidP="007258B2">
            <w:pPr>
              <w:pStyle w:val="NoSpacing"/>
              <w:jc w:val="center"/>
            </w:pPr>
            <w:r w:rsidRPr="00D9339D">
              <w:t>50–80</w:t>
            </w:r>
          </w:p>
        </w:tc>
        <w:tc>
          <w:tcPr>
            <w:tcW w:w="699" w:type="pct"/>
          </w:tcPr>
          <w:p w14:paraId="163CFB65" w14:textId="77777777" w:rsidR="00224A81" w:rsidRPr="00D9339D" w:rsidRDefault="00224A81" w:rsidP="007258B2">
            <w:pPr>
              <w:pStyle w:val="NoSpacing"/>
              <w:jc w:val="center"/>
            </w:pPr>
            <w:r w:rsidRPr="00D9339D">
              <w:t>5–7</w:t>
            </w:r>
          </w:p>
        </w:tc>
        <w:tc>
          <w:tcPr>
            <w:tcW w:w="585" w:type="pct"/>
          </w:tcPr>
          <w:p w14:paraId="3C852084" w14:textId="77777777" w:rsidR="00224A81" w:rsidRPr="00D9339D" w:rsidRDefault="00224A81" w:rsidP="007258B2">
            <w:pPr>
              <w:pStyle w:val="NoSpacing"/>
              <w:jc w:val="center"/>
            </w:pPr>
            <w:r w:rsidRPr="00D9339D">
              <w:t>Q2</w:t>
            </w:r>
          </w:p>
        </w:tc>
      </w:tr>
      <w:tr w:rsidR="00224A81" w:rsidRPr="00D9339D" w14:paraId="0739BB96" w14:textId="77777777" w:rsidTr="00EE19DF">
        <w:tc>
          <w:tcPr>
            <w:tcW w:w="3107" w:type="pct"/>
            <w:tcBorders>
              <w:bottom w:val="single" w:sz="4" w:space="0" w:color="auto"/>
            </w:tcBorders>
          </w:tcPr>
          <w:p w14:paraId="7B9054B9" w14:textId="77777777" w:rsidR="00224A81" w:rsidRPr="00D9339D" w:rsidRDefault="00224A81" w:rsidP="007258B2">
            <w:pPr>
              <w:pStyle w:val="NoSpacing"/>
            </w:pPr>
            <w:r w:rsidRPr="00D9339D">
              <w:t>European Journal of Public Health</w:t>
            </w:r>
          </w:p>
        </w:tc>
        <w:tc>
          <w:tcPr>
            <w:tcW w:w="609" w:type="pct"/>
            <w:tcBorders>
              <w:bottom w:val="single" w:sz="4" w:space="0" w:color="auto"/>
            </w:tcBorders>
          </w:tcPr>
          <w:p w14:paraId="6B0F4773" w14:textId="77777777" w:rsidR="00224A81" w:rsidRPr="00D9339D" w:rsidRDefault="00224A81" w:rsidP="007258B2">
            <w:pPr>
              <w:pStyle w:val="NoSpacing"/>
              <w:jc w:val="center"/>
            </w:pPr>
            <w:r w:rsidRPr="00D9339D">
              <w:t>170–200</w:t>
            </w:r>
          </w:p>
        </w:tc>
        <w:tc>
          <w:tcPr>
            <w:tcW w:w="699" w:type="pct"/>
            <w:tcBorders>
              <w:bottom w:val="single" w:sz="4" w:space="0" w:color="auto"/>
            </w:tcBorders>
          </w:tcPr>
          <w:p w14:paraId="4434E590" w14:textId="77777777" w:rsidR="00224A81" w:rsidRPr="00D9339D" w:rsidRDefault="00224A81" w:rsidP="007258B2">
            <w:pPr>
              <w:pStyle w:val="NoSpacing"/>
              <w:jc w:val="center"/>
            </w:pPr>
            <w:r w:rsidRPr="00D9339D">
              <w:t>7–9</w:t>
            </w:r>
          </w:p>
        </w:tc>
        <w:tc>
          <w:tcPr>
            <w:tcW w:w="585" w:type="pct"/>
            <w:tcBorders>
              <w:bottom w:val="single" w:sz="4" w:space="0" w:color="auto"/>
            </w:tcBorders>
          </w:tcPr>
          <w:p w14:paraId="3C57969C" w14:textId="77777777" w:rsidR="00224A81" w:rsidRPr="00D9339D" w:rsidRDefault="00224A81" w:rsidP="007258B2">
            <w:pPr>
              <w:pStyle w:val="NoSpacing"/>
              <w:jc w:val="center"/>
            </w:pPr>
            <w:r w:rsidRPr="00D9339D">
              <w:t>Q1</w:t>
            </w:r>
          </w:p>
        </w:tc>
      </w:tr>
    </w:tbl>
    <w:p w14:paraId="48F1259D" w14:textId="6A4DB4FD" w:rsidR="0066583E" w:rsidRDefault="0066583E" w:rsidP="002B7A85">
      <w:pPr>
        <w:pStyle w:val="Heading2"/>
      </w:pPr>
      <w:r>
        <w:lastRenderedPageBreak/>
        <w:t>Introduction</w:t>
      </w:r>
    </w:p>
    <w:p w14:paraId="66E07307" w14:textId="77777777" w:rsidR="00F90EAD" w:rsidRDefault="00000000">
      <w:r>
        <w:t>Digital patient frameworks promise computable representations of human biology that can support prediction, personalization, simulation, education, and clinical decision-making. The terminology is broad: healthcare reviews use labels including digital twin, patient digital twin, virtual patient, in silico patient, synthetic patient, digital avatar, and digital patient, often with overlapping but non-identical meanings.</w:t>
      </w:r>
    </w:p>
    <w:p w14:paraId="4BA9B8FF" w14:textId="77777777" w:rsidR="00F90EAD" w:rsidRDefault="00000000">
      <w:r>
        <w:t>This conceptual spread matters because different terms imply different technical commitments. A continuously updated patient digital twin suggests longitudinal, multimodal, patient-specific data coupling and model feedback, whereas a virtual or in silico patient may be a static, archetype-based, or population-level model used for simulation or training. Without clearer boundaries, claims about maturity, validation, and clinical readiness remain difficult to compare.</w:t>
      </w:r>
    </w:p>
    <w:p w14:paraId="492AE63A" w14:textId="77777777" w:rsidR="00F90EAD" w:rsidRDefault="00000000">
      <w:r>
        <w:t>Guided by the PROSPERO protocol, this manuscript draft summarizes extracted evidence across six review questions: conceptual framing, construction and modeling, validation and fidelity, application roles, barriers, and future standardization priorities.</w:t>
      </w:r>
    </w:p>
    <w:p w14:paraId="0DCF25E0" w14:textId="77777777" w:rsidR="00F90EAD" w:rsidRDefault="00000000">
      <w:r>
        <w:t>The data-extraction strategy is therefore viewpoint-driven rather than purely bibliographic. Each coded field is intended to populate a specific interpretive layer: study characteristics for the evidence base; terminology for conceptual boundaries; hierarchy, data coupling, and temporality for the domain-versus-scale map; modeling inputs and outputs for the computational pipeline; validation fields for credibility and clinical readiness; application fields for the use-case landscape; and barrier/future-direction fields for the implementation roadmap.</w:t>
      </w:r>
    </w:p>
    <w:p w14:paraId="2C975152" w14:textId="45786314" w:rsidR="0066583E" w:rsidRDefault="00FD5FCE" w:rsidP="002B7A85">
      <w:pPr>
        <w:pStyle w:val="Heading2"/>
      </w:pPr>
      <w:r>
        <w:t>Results</w:t>
      </w:r>
    </w:p>
    <w:p w14:paraId="5EECBDF1" w14:textId="77777777" w:rsidR="00F90EAD" w:rsidRDefault="00000000">
      <w:r>
        <w:t>The extraction workbook included 64 coded rows representing 62 unique review titles after obvious title-level duplicates were removed. By year, 28 were published in 2025, 19 in 2024, 9 in 2023, and 5 in 2022; 1 record had no year coded. The publication pattern indicates a rapidly expanding review literature, with most coded reviews appearing in the last two years of the search window.</w:t>
      </w:r>
    </w:p>
    <w:p w14:paraId="3B3FAFE7" w14:textId="77777777" w:rsidR="00F90EAD" w:rsidRDefault="00000000">
      <w:r>
        <w:t>Conceptually, the reviews most often centered the digital twin label but used it alongside related digital patient constructs. Coding of model type emphasized patient-specific or individualized models in 33 rows, generic/population/archetype models in 18 rows, dynamic or continuous updating in 18 rows, simulation in 16 rows, monitoring in 6 rows, and explicitly static models in 5 rows. These patterns support a spectrum rather than a single settled definition.</w:t>
      </w:r>
    </w:p>
    <w:p w14:paraId="154BF33C" w14:textId="77777777" w:rsidR="00F90EAD" w:rsidRDefault="00000000">
      <w:r>
        <w:t>Construction approaches were multimodal but uneven. Common coded data sources were imaging (29), wearables/sensors/IoT (20), medical records/EHR (19), literature/simulation data (16), omics/genomics (13), laboratory/clinical tests (8). Specific interoperability standards appeared less often than broad interoperability concerns: HL7 was coded in 13 rows, FHIR in 12, DICOM in 11, and OMOP in 9.</w:t>
      </w:r>
    </w:p>
    <w:p w14:paraId="1DBEEEC2" w14:textId="77777777" w:rsidR="00F90EAD" w:rsidRDefault="00000000">
      <w:r>
        <w:t xml:space="preserve">Applications were distributed across multiple domains, including cardiology/cardiovascular (18), oncology/cancer (12), surgery/orthopedics/dentistry (11), general healthcare (10), pharmacology/drug development (8), diabetes/endocrine (8). Functional roles emphasized </w:t>
      </w:r>
      <w:r>
        <w:lastRenderedPageBreak/>
        <w:t>therapy/treatment planning (35), prediction/prognosis/risk (32), diagnosis (26), personalized care (23), drug development/trials (15), monitoring (11), education/training (10), decision support (9). These uses map to both clinical and preclinical purposes, including diagnosis, prediction, treatment planning, monitoring, education, and drug-development or in silico trial contexts.</w:t>
      </w:r>
    </w:p>
    <w:p w14:paraId="40DA5787" w14:textId="77777777" w:rsidR="00F90EAD" w:rsidRDefault="00000000">
      <w:r>
        <w:t>Validation and maturity remained major weak points. Validation-related fields mentioned empirical or patient-data validation in 29 rows, but no validation or unclear reporting in 27 rows; quality appraisal tools and sensitivity/uncertainty analysis were each coded in 11 rows. The most common cross-cutting barriers were interoperability/standards (31), privacy/security/governance (31), ethical/legal/regulatory (27), computing/scalability/resources (26), clinical adoption/workflow (26), data quality/availability/integration (25), validation/evidence/reproducibility (20). Taken together, the evidence suggests that digital patient claims often exceed the available infrastructure for reproducible, clinically trustworthy implementation.</w:t>
      </w:r>
    </w:p>
    <w:p w14:paraId="135CA1B9" w14:textId="77777777" w:rsidR="00F90EAD" w:rsidRDefault="00F90EAD"/>
    <w:p w14:paraId="63B4FB37" w14:textId="77777777" w:rsidR="00F90EAD" w:rsidRDefault="00000000">
      <w:pPr>
        <w:pStyle w:val="Heading2"/>
      </w:pPr>
      <w:r>
        <w:t>Draft Evidence Tables</w:t>
      </w:r>
    </w:p>
    <w:p w14:paraId="311651FC" w14:textId="77777777" w:rsidR="00F90EAD" w:rsidRDefault="00000000">
      <w:r>
        <w:t>The tables below are compact manuscript-facing drafts generated from the currently compiled extraction sheet. Counts are record-level coding counts, are not mutually exclusive, and should be finalized after duplicate reconciliation and team adjudication. Full row-level versions of Tables 1-7 can be placed in the supplement.</w:t>
      </w:r>
    </w:p>
    <w:p w14:paraId="405404B1" w14:textId="77777777" w:rsidR="00F90EAD" w:rsidRDefault="00000000">
      <w:r>
        <w:rPr>
          <w:b/>
          <w:sz w:val="20"/>
        </w:rPr>
        <w:t>Table 1. Characteristics of included review evidence base.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5"/>
        <w:gridCol w:w="3119"/>
        <w:gridCol w:w="3116"/>
      </w:tblGrid>
      <w:tr w:rsidR="00F90EAD" w14:paraId="43418E59" w14:textId="77777777">
        <w:trPr>
          <w:cantSplit/>
          <w:tblHeader/>
          <w:jc w:val="center"/>
        </w:trPr>
        <w:tc>
          <w:tcPr>
            <w:tcW w:w="3120" w:type="dxa"/>
          </w:tcPr>
          <w:p w14:paraId="7244D376" w14:textId="77777777" w:rsidR="00F90EAD" w:rsidRDefault="00000000">
            <w:r>
              <w:rPr>
                <w:b/>
                <w:sz w:val="18"/>
              </w:rPr>
              <w:t>Dimension</w:t>
            </w:r>
          </w:p>
        </w:tc>
        <w:tc>
          <w:tcPr>
            <w:tcW w:w="3120" w:type="dxa"/>
          </w:tcPr>
          <w:p w14:paraId="55715BEA" w14:textId="77777777" w:rsidR="00F90EAD" w:rsidRDefault="00000000">
            <w:r>
              <w:rPr>
                <w:b/>
                <w:sz w:val="18"/>
              </w:rPr>
              <w:t>Current extracted signal</w:t>
            </w:r>
          </w:p>
        </w:tc>
        <w:tc>
          <w:tcPr>
            <w:tcW w:w="3120" w:type="dxa"/>
          </w:tcPr>
          <w:p w14:paraId="78DFF832" w14:textId="77777777" w:rsidR="00F90EAD" w:rsidRDefault="00000000">
            <w:r>
              <w:rPr>
                <w:b/>
                <w:sz w:val="18"/>
              </w:rPr>
              <w:t>How it supports the manuscript</w:t>
            </w:r>
          </w:p>
        </w:tc>
      </w:tr>
      <w:tr w:rsidR="00F90EAD" w14:paraId="71E5DF08" w14:textId="77777777">
        <w:trPr>
          <w:cantSplit/>
          <w:jc w:val="center"/>
        </w:trPr>
        <w:tc>
          <w:tcPr>
            <w:tcW w:w="3120" w:type="dxa"/>
          </w:tcPr>
          <w:p w14:paraId="44FED3A8" w14:textId="77777777" w:rsidR="00F90EAD" w:rsidRDefault="00000000">
            <w:r>
              <w:rPr>
                <w:sz w:val="18"/>
              </w:rPr>
              <w:t>Evidence base</w:t>
            </w:r>
          </w:p>
        </w:tc>
        <w:tc>
          <w:tcPr>
            <w:tcW w:w="3120" w:type="dxa"/>
          </w:tcPr>
          <w:p w14:paraId="7F0AC060" w14:textId="77777777" w:rsidR="00F90EAD" w:rsidRDefault="00000000">
            <w:r>
              <w:rPr>
                <w:sz w:val="18"/>
              </w:rPr>
              <w:t>64 coded rows; 62 unique review titles after obvious title-level duplicate reconciliation.</w:t>
            </w:r>
          </w:p>
        </w:tc>
        <w:tc>
          <w:tcPr>
            <w:tcW w:w="3120" w:type="dxa"/>
          </w:tcPr>
          <w:p w14:paraId="5A8315BD" w14:textId="77777777" w:rsidR="00F90EAD" w:rsidRDefault="00000000">
            <w:r>
              <w:rPr>
                <w:sz w:val="18"/>
              </w:rPr>
              <w:t>Defines the current analytic set and flags that final duplicate adjudication is still needed.</w:t>
            </w:r>
          </w:p>
        </w:tc>
      </w:tr>
      <w:tr w:rsidR="00F90EAD" w14:paraId="11A4708C" w14:textId="77777777">
        <w:trPr>
          <w:cantSplit/>
          <w:jc w:val="center"/>
        </w:trPr>
        <w:tc>
          <w:tcPr>
            <w:tcW w:w="3120" w:type="dxa"/>
          </w:tcPr>
          <w:p w14:paraId="1AAA1AEA" w14:textId="77777777" w:rsidR="00F90EAD" w:rsidRDefault="00000000">
            <w:r>
              <w:rPr>
                <w:sz w:val="18"/>
              </w:rPr>
              <w:t>Publication years</w:t>
            </w:r>
          </w:p>
        </w:tc>
        <w:tc>
          <w:tcPr>
            <w:tcW w:w="3120" w:type="dxa"/>
          </w:tcPr>
          <w:p w14:paraId="0AD730CB" w14:textId="77777777" w:rsidR="00F90EAD" w:rsidRDefault="00000000">
            <w:r>
              <w:rPr>
                <w:sz w:val="18"/>
              </w:rPr>
              <w:t>2022: 5; 2023: 9; 2024: 19; 2025: 28; missing: 1.</w:t>
            </w:r>
          </w:p>
        </w:tc>
        <w:tc>
          <w:tcPr>
            <w:tcW w:w="3120" w:type="dxa"/>
          </w:tcPr>
          <w:p w14:paraId="7C778E8B" w14:textId="77777777" w:rsidR="00F90EAD" w:rsidRDefault="00000000">
            <w:r>
              <w:rPr>
                <w:sz w:val="18"/>
              </w:rPr>
              <w:t>Shows rapid recent growth and supports an early Results overview.</w:t>
            </w:r>
          </w:p>
        </w:tc>
      </w:tr>
      <w:tr w:rsidR="00F90EAD" w14:paraId="2EAB5ED2" w14:textId="77777777">
        <w:trPr>
          <w:cantSplit/>
          <w:jc w:val="center"/>
        </w:trPr>
        <w:tc>
          <w:tcPr>
            <w:tcW w:w="3120" w:type="dxa"/>
          </w:tcPr>
          <w:p w14:paraId="6C7E5CAF" w14:textId="77777777" w:rsidR="00F90EAD" w:rsidRDefault="00000000">
            <w:r>
              <w:rPr>
                <w:sz w:val="18"/>
              </w:rPr>
              <w:t>Protocol scope</w:t>
            </w:r>
          </w:p>
        </w:tc>
        <w:tc>
          <w:tcPr>
            <w:tcW w:w="3120" w:type="dxa"/>
          </w:tcPr>
          <w:p w14:paraId="46B69DC2" w14:textId="77777777" w:rsidR="00F90EAD" w:rsidRDefault="00000000">
            <w:r>
              <w:rPr>
                <w:sz w:val="18"/>
              </w:rPr>
              <w:t>English-language reviews from 2020 onward addressing patient-linked physiological, biomechanical, or biological models.</w:t>
            </w:r>
          </w:p>
        </w:tc>
        <w:tc>
          <w:tcPr>
            <w:tcW w:w="3120" w:type="dxa"/>
          </w:tcPr>
          <w:p w14:paraId="66CF02CD" w14:textId="77777777" w:rsidR="00F90EAD" w:rsidRDefault="00000000">
            <w:r>
              <w:rPr>
                <w:sz w:val="18"/>
              </w:rPr>
              <w:t>Keeps the inclusion logic tied to the PROSPERO protocol.</w:t>
            </w:r>
          </w:p>
        </w:tc>
      </w:tr>
      <w:tr w:rsidR="00F90EAD" w14:paraId="3D119827" w14:textId="77777777">
        <w:trPr>
          <w:cantSplit/>
          <w:jc w:val="center"/>
        </w:trPr>
        <w:tc>
          <w:tcPr>
            <w:tcW w:w="3120" w:type="dxa"/>
          </w:tcPr>
          <w:p w14:paraId="7F616ACA" w14:textId="77777777" w:rsidR="00F90EAD" w:rsidRDefault="00000000">
            <w:r>
              <w:rPr>
                <w:sz w:val="18"/>
              </w:rPr>
              <w:t>Dominant domains</w:t>
            </w:r>
          </w:p>
        </w:tc>
        <w:tc>
          <w:tcPr>
            <w:tcW w:w="3120" w:type="dxa"/>
          </w:tcPr>
          <w:p w14:paraId="574AB2AE" w14:textId="77777777" w:rsidR="00F90EAD" w:rsidRDefault="00000000">
            <w:r>
              <w:rPr>
                <w:sz w:val="18"/>
              </w:rPr>
              <w:t>cardiology/cardiovascular (18); oncology/cancer (12); surgery/orthopedics/dentistry (11); general healthcare (10); pharmacology/drug development (8); diabetes/endocrine (8)</w:t>
            </w:r>
          </w:p>
        </w:tc>
        <w:tc>
          <w:tcPr>
            <w:tcW w:w="3120" w:type="dxa"/>
          </w:tcPr>
          <w:p w14:paraId="67B59B3E" w14:textId="77777777" w:rsidR="00F90EAD" w:rsidRDefault="00000000">
            <w:r>
              <w:rPr>
                <w:sz w:val="18"/>
              </w:rPr>
              <w:t>Provides the basis for the application landscape figure and table.</w:t>
            </w:r>
          </w:p>
        </w:tc>
      </w:tr>
      <w:tr w:rsidR="00F90EAD" w14:paraId="099AFACE" w14:textId="77777777">
        <w:trPr>
          <w:cantSplit/>
          <w:jc w:val="center"/>
        </w:trPr>
        <w:tc>
          <w:tcPr>
            <w:tcW w:w="3120" w:type="dxa"/>
          </w:tcPr>
          <w:p w14:paraId="6706E8F5" w14:textId="77777777" w:rsidR="00F90EAD" w:rsidRDefault="00000000">
            <w:r>
              <w:rPr>
                <w:sz w:val="18"/>
              </w:rPr>
              <w:t>Quality context</w:t>
            </w:r>
          </w:p>
        </w:tc>
        <w:tc>
          <w:tcPr>
            <w:tcW w:w="3120" w:type="dxa"/>
          </w:tcPr>
          <w:p w14:paraId="0F23E236" w14:textId="77777777" w:rsidR="00F90EAD" w:rsidRDefault="00000000">
            <w:r>
              <w:rPr>
                <w:sz w:val="18"/>
              </w:rPr>
              <w:t>Quality-appraisal fields are partially populated and heterogeneous across systematic and narrative reviews.</w:t>
            </w:r>
          </w:p>
        </w:tc>
        <w:tc>
          <w:tcPr>
            <w:tcW w:w="3120" w:type="dxa"/>
          </w:tcPr>
          <w:p w14:paraId="6EA9F7F9" w14:textId="77777777" w:rsidR="00F90EAD" w:rsidRDefault="00000000">
            <w:r>
              <w:rPr>
                <w:sz w:val="18"/>
              </w:rPr>
              <w:t>Supports cautious interpretation rather than pooled certainty claims.</w:t>
            </w:r>
          </w:p>
        </w:tc>
      </w:tr>
    </w:tbl>
    <w:p w14:paraId="1994612B" w14:textId="77777777" w:rsidR="00F90EAD" w:rsidRDefault="00F90EAD"/>
    <w:p w14:paraId="6C60682A" w14:textId="77777777" w:rsidR="00F90EAD" w:rsidRDefault="00000000">
      <w:r>
        <w:rPr>
          <w:b/>
          <w:sz w:val="20"/>
        </w:rPr>
        <w:t>Table 2. Conceptual definitions and terminology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5"/>
        <w:gridCol w:w="3119"/>
        <w:gridCol w:w="3116"/>
      </w:tblGrid>
      <w:tr w:rsidR="00F90EAD" w14:paraId="114702E4" w14:textId="77777777">
        <w:trPr>
          <w:cantSplit/>
          <w:tblHeader/>
          <w:jc w:val="center"/>
        </w:trPr>
        <w:tc>
          <w:tcPr>
            <w:tcW w:w="3120" w:type="dxa"/>
          </w:tcPr>
          <w:p w14:paraId="49890047" w14:textId="77777777" w:rsidR="00F90EAD" w:rsidRDefault="00000000">
            <w:r>
              <w:rPr>
                <w:b/>
                <w:sz w:val="18"/>
              </w:rPr>
              <w:t>Conceptual dimension</w:t>
            </w:r>
          </w:p>
        </w:tc>
        <w:tc>
          <w:tcPr>
            <w:tcW w:w="3120" w:type="dxa"/>
          </w:tcPr>
          <w:p w14:paraId="27DC88B9" w14:textId="77777777" w:rsidR="00F90EAD" w:rsidRDefault="00000000">
            <w:r>
              <w:rPr>
                <w:b/>
                <w:sz w:val="18"/>
              </w:rPr>
              <w:t>Current extracted signal</w:t>
            </w:r>
          </w:p>
        </w:tc>
        <w:tc>
          <w:tcPr>
            <w:tcW w:w="3120" w:type="dxa"/>
          </w:tcPr>
          <w:p w14:paraId="5275EE62" w14:textId="77777777" w:rsidR="00F90EAD" w:rsidRDefault="00000000">
            <w:r>
              <w:rPr>
                <w:b/>
                <w:sz w:val="18"/>
              </w:rPr>
              <w:t>Interpretive use</w:t>
            </w:r>
          </w:p>
        </w:tc>
      </w:tr>
      <w:tr w:rsidR="00F90EAD" w14:paraId="3B9AE3DF" w14:textId="77777777">
        <w:trPr>
          <w:cantSplit/>
          <w:jc w:val="center"/>
        </w:trPr>
        <w:tc>
          <w:tcPr>
            <w:tcW w:w="3120" w:type="dxa"/>
          </w:tcPr>
          <w:p w14:paraId="6C469DC5" w14:textId="77777777" w:rsidR="00F90EAD" w:rsidRDefault="00000000">
            <w:r>
              <w:rPr>
                <w:sz w:val="18"/>
              </w:rPr>
              <w:t>Primary terminology</w:t>
            </w:r>
          </w:p>
        </w:tc>
        <w:tc>
          <w:tcPr>
            <w:tcW w:w="3120" w:type="dxa"/>
          </w:tcPr>
          <w:p w14:paraId="6C1F9091" w14:textId="77777777" w:rsidR="00F90EAD" w:rsidRDefault="00000000">
            <w:r>
              <w:rPr>
                <w:sz w:val="18"/>
              </w:rPr>
              <w:t>digital twin / digital twins (29); in silico patient/trial (9); virtual patient (5); patient digital twin (2); digital patient (1)</w:t>
            </w:r>
          </w:p>
        </w:tc>
        <w:tc>
          <w:tcPr>
            <w:tcW w:w="3120" w:type="dxa"/>
          </w:tcPr>
          <w:p w14:paraId="11F9EA36" w14:textId="77777777" w:rsidR="00F90EAD" w:rsidRDefault="00000000">
            <w:r>
              <w:rPr>
                <w:sz w:val="18"/>
              </w:rPr>
              <w:t>Shows that digital twin language dominates but sits inside a broader digital-patient spectrum.</w:t>
            </w:r>
          </w:p>
        </w:tc>
      </w:tr>
      <w:tr w:rsidR="00F90EAD" w14:paraId="603A2777" w14:textId="77777777">
        <w:trPr>
          <w:cantSplit/>
          <w:jc w:val="center"/>
        </w:trPr>
        <w:tc>
          <w:tcPr>
            <w:tcW w:w="3120" w:type="dxa"/>
          </w:tcPr>
          <w:p w14:paraId="4024BC13" w14:textId="77777777" w:rsidR="00F90EAD" w:rsidRDefault="00000000">
            <w:r>
              <w:rPr>
                <w:sz w:val="18"/>
              </w:rPr>
              <w:t>Patient specificity</w:t>
            </w:r>
          </w:p>
        </w:tc>
        <w:tc>
          <w:tcPr>
            <w:tcW w:w="3120" w:type="dxa"/>
          </w:tcPr>
          <w:p w14:paraId="5C500B7A" w14:textId="77777777" w:rsidR="00F90EAD" w:rsidRDefault="00000000">
            <w:r>
              <w:rPr>
                <w:sz w:val="18"/>
              </w:rPr>
              <w:t>Patient-specific/individualized models coded in 33 rows; generic/population/archetype models in 18 rows.</w:t>
            </w:r>
          </w:p>
        </w:tc>
        <w:tc>
          <w:tcPr>
            <w:tcW w:w="3120" w:type="dxa"/>
          </w:tcPr>
          <w:p w14:paraId="05D53AB7" w14:textId="77777777" w:rsidR="00F90EAD" w:rsidRDefault="00000000">
            <w:r>
              <w:rPr>
                <w:sz w:val="18"/>
              </w:rPr>
              <w:t>Separates individualized twins from broader virtual or population-level models.</w:t>
            </w:r>
          </w:p>
        </w:tc>
      </w:tr>
      <w:tr w:rsidR="00F90EAD" w14:paraId="2B1AE30F" w14:textId="77777777">
        <w:trPr>
          <w:cantSplit/>
          <w:jc w:val="center"/>
        </w:trPr>
        <w:tc>
          <w:tcPr>
            <w:tcW w:w="3120" w:type="dxa"/>
          </w:tcPr>
          <w:p w14:paraId="3208E7C8" w14:textId="77777777" w:rsidR="00F90EAD" w:rsidRDefault="00000000">
            <w:r>
              <w:rPr>
                <w:sz w:val="18"/>
              </w:rPr>
              <w:t>Dynamic updating</w:t>
            </w:r>
          </w:p>
        </w:tc>
        <w:tc>
          <w:tcPr>
            <w:tcW w:w="3120" w:type="dxa"/>
          </w:tcPr>
          <w:p w14:paraId="1AB0BE8C" w14:textId="77777777" w:rsidR="00F90EAD" w:rsidRDefault="00000000">
            <w:r>
              <w:rPr>
                <w:sz w:val="18"/>
              </w:rPr>
              <w:t>Dynamic/continuous capability coded in 18 rows; explicitly static models coded in 5 rows.</w:t>
            </w:r>
          </w:p>
        </w:tc>
        <w:tc>
          <w:tcPr>
            <w:tcW w:w="3120" w:type="dxa"/>
          </w:tcPr>
          <w:p w14:paraId="098AC100" w14:textId="77777777" w:rsidR="00F90EAD" w:rsidRDefault="00000000">
            <w:r>
              <w:rPr>
                <w:sz w:val="18"/>
              </w:rPr>
              <w:t>Supports the claim that many digital twin labels do not clearly imply continuous updating.</w:t>
            </w:r>
          </w:p>
        </w:tc>
      </w:tr>
      <w:tr w:rsidR="00F90EAD" w14:paraId="432A3BCF" w14:textId="77777777">
        <w:trPr>
          <w:cantSplit/>
          <w:jc w:val="center"/>
        </w:trPr>
        <w:tc>
          <w:tcPr>
            <w:tcW w:w="3120" w:type="dxa"/>
          </w:tcPr>
          <w:p w14:paraId="418589EB" w14:textId="77777777" w:rsidR="00F90EAD" w:rsidRDefault="00000000">
            <w:r>
              <w:rPr>
                <w:sz w:val="18"/>
              </w:rPr>
              <w:t>Functional maturity</w:t>
            </w:r>
          </w:p>
        </w:tc>
        <w:tc>
          <w:tcPr>
            <w:tcW w:w="3120" w:type="dxa"/>
          </w:tcPr>
          <w:p w14:paraId="3B08E38C" w14:textId="77777777" w:rsidR="00F90EAD" w:rsidRDefault="00000000">
            <w:r>
              <w:rPr>
                <w:sz w:val="18"/>
              </w:rPr>
              <w:t>Simulation in 16 rows and monitoring in 6 rows; decision support appears as a function in 9 rows.</w:t>
            </w:r>
          </w:p>
        </w:tc>
        <w:tc>
          <w:tcPr>
            <w:tcW w:w="3120" w:type="dxa"/>
          </w:tcPr>
          <w:p w14:paraId="5F0E5044" w14:textId="77777777" w:rsidR="00F90EAD" w:rsidRDefault="00000000">
            <w:r>
              <w:rPr>
                <w:sz w:val="18"/>
              </w:rPr>
              <w:t>Helps distinguish model, shadow, and twin-like claims.</w:t>
            </w:r>
          </w:p>
        </w:tc>
      </w:tr>
      <w:tr w:rsidR="00F90EAD" w14:paraId="04376F04" w14:textId="77777777">
        <w:trPr>
          <w:cantSplit/>
          <w:jc w:val="center"/>
        </w:trPr>
        <w:tc>
          <w:tcPr>
            <w:tcW w:w="3120" w:type="dxa"/>
          </w:tcPr>
          <w:p w14:paraId="46455EBF" w14:textId="77777777" w:rsidR="00F90EAD" w:rsidRDefault="00000000">
            <w:r>
              <w:rPr>
                <w:sz w:val="18"/>
              </w:rPr>
              <w:t>Ambiguity</w:t>
            </w:r>
          </w:p>
        </w:tc>
        <w:tc>
          <w:tcPr>
            <w:tcW w:w="3120" w:type="dxa"/>
          </w:tcPr>
          <w:p w14:paraId="6E50AA76" w14:textId="77777777" w:rsidR="00F90EAD" w:rsidRDefault="00000000">
            <w:r>
              <w:rPr>
                <w:sz w:val="18"/>
              </w:rPr>
              <w:t>Definitions frequently combine digital twin, virtual patient, in silico, synthetic, and patient-specific modeling language.</w:t>
            </w:r>
          </w:p>
        </w:tc>
        <w:tc>
          <w:tcPr>
            <w:tcW w:w="3120" w:type="dxa"/>
          </w:tcPr>
          <w:p w14:paraId="27A87258" w14:textId="77777777" w:rsidR="00F90EAD" w:rsidRDefault="00000000">
            <w:r>
              <w:rPr>
                <w:sz w:val="18"/>
              </w:rPr>
              <w:t>Justifies a conceptual clarification table and Figure 2 classification rules.</w:t>
            </w:r>
          </w:p>
        </w:tc>
      </w:tr>
    </w:tbl>
    <w:p w14:paraId="5DAAA625" w14:textId="77777777" w:rsidR="00F90EAD" w:rsidRDefault="00F90EAD"/>
    <w:p w14:paraId="76B4D465" w14:textId="77777777" w:rsidR="00F90EAD" w:rsidRDefault="00000000">
      <w:r>
        <w:rPr>
          <w:b/>
          <w:sz w:val="20"/>
        </w:rPr>
        <w:t>Table 3. Modeling and pipeline characteristics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6"/>
        <w:gridCol w:w="3118"/>
        <w:gridCol w:w="3116"/>
      </w:tblGrid>
      <w:tr w:rsidR="00F90EAD" w14:paraId="7CB07D93" w14:textId="77777777">
        <w:trPr>
          <w:cantSplit/>
          <w:tblHeader/>
          <w:jc w:val="center"/>
        </w:trPr>
        <w:tc>
          <w:tcPr>
            <w:tcW w:w="3120" w:type="dxa"/>
          </w:tcPr>
          <w:p w14:paraId="124529AB" w14:textId="77777777" w:rsidR="00F90EAD" w:rsidRDefault="00000000">
            <w:r>
              <w:rPr>
                <w:b/>
                <w:sz w:val="18"/>
              </w:rPr>
              <w:t>Pipeline stage</w:t>
            </w:r>
          </w:p>
        </w:tc>
        <w:tc>
          <w:tcPr>
            <w:tcW w:w="3120" w:type="dxa"/>
          </w:tcPr>
          <w:p w14:paraId="025C4C15" w14:textId="77777777" w:rsidR="00F90EAD" w:rsidRDefault="00000000">
            <w:r>
              <w:rPr>
                <w:b/>
                <w:sz w:val="18"/>
              </w:rPr>
              <w:t>Current extracted evidence</w:t>
            </w:r>
          </w:p>
        </w:tc>
        <w:tc>
          <w:tcPr>
            <w:tcW w:w="3120" w:type="dxa"/>
          </w:tcPr>
          <w:p w14:paraId="29DF75A1" w14:textId="77777777" w:rsidR="00F90EAD" w:rsidRDefault="00000000">
            <w:r>
              <w:rPr>
                <w:b/>
                <w:sz w:val="18"/>
              </w:rPr>
              <w:t>Table/Figure implication</w:t>
            </w:r>
          </w:p>
        </w:tc>
      </w:tr>
      <w:tr w:rsidR="00F90EAD" w14:paraId="0C2B9F7D" w14:textId="77777777">
        <w:trPr>
          <w:cantSplit/>
          <w:jc w:val="center"/>
        </w:trPr>
        <w:tc>
          <w:tcPr>
            <w:tcW w:w="3120" w:type="dxa"/>
          </w:tcPr>
          <w:p w14:paraId="19CE6A50" w14:textId="77777777" w:rsidR="00F90EAD" w:rsidRDefault="00000000">
            <w:r>
              <w:rPr>
                <w:sz w:val="18"/>
              </w:rPr>
              <w:t>Data acquisition</w:t>
            </w:r>
          </w:p>
        </w:tc>
        <w:tc>
          <w:tcPr>
            <w:tcW w:w="3120" w:type="dxa"/>
          </w:tcPr>
          <w:p w14:paraId="1ED146EC" w14:textId="77777777" w:rsidR="00F90EAD" w:rsidRDefault="00000000">
            <w:r>
              <w:rPr>
                <w:sz w:val="18"/>
              </w:rPr>
              <w:t>imaging (29); wearables/sensors/IoT (20); medical records/EHR (19); omics/genomics (13); laboratory/clinical tests (8)</w:t>
            </w:r>
          </w:p>
        </w:tc>
        <w:tc>
          <w:tcPr>
            <w:tcW w:w="3120" w:type="dxa"/>
          </w:tcPr>
          <w:p w14:paraId="5D9A86A0" w14:textId="77777777" w:rsidR="00F90EAD" w:rsidRDefault="00000000">
            <w:r>
              <w:rPr>
                <w:sz w:val="18"/>
              </w:rPr>
              <w:t>These inputs form the left side of the computational pipeline figure.</w:t>
            </w:r>
          </w:p>
        </w:tc>
      </w:tr>
      <w:tr w:rsidR="00F90EAD" w14:paraId="270F4D3D" w14:textId="77777777">
        <w:trPr>
          <w:cantSplit/>
          <w:jc w:val="center"/>
        </w:trPr>
        <w:tc>
          <w:tcPr>
            <w:tcW w:w="3120" w:type="dxa"/>
          </w:tcPr>
          <w:p w14:paraId="00923F74" w14:textId="77777777" w:rsidR="00F90EAD" w:rsidRDefault="00000000">
            <w:r>
              <w:rPr>
                <w:sz w:val="18"/>
              </w:rPr>
              <w:t>Model construction</w:t>
            </w:r>
          </w:p>
        </w:tc>
        <w:tc>
          <w:tcPr>
            <w:tcW w:w="3120" w:type="dxa"/>
          </w:tcPr>
          <w:p w14:paraId="0598EBBC" w14:textId="77777777" w:rsidR="00F90EAD" w:rsidRDefault="00000000">
            <w:r>
              <w:rPr>
                <w:sz w:val="18"/>
              </w:rPr>
              <w:t>The extraction sheet captures mechanistic, physics-based, statistical, machine-learning, hybrid, simulation, and monitoring language at review level.</w:t>
            </w:r>
          </w:p>
        </w:tc>
        <w:tc>
          <w:tcPr>
            <w:tcW w:w="3120" w:type="dxa"/>
          </w:tcPr>
          <w:p w14:paraId="56982D50" w14:textId="77777777" w:rsidR="00F90EAD" w:rsidRDefault="00000000">
            <w:r>
              <w:rPr>
                <w:sz w:val="18"/>
              </w:rPr>
              <w:t>Supports a pipeline organized by data-driven, mechanistic, and hybrid modeling families.</w:t>
            </w:r>
          </w:p>
        </w:tc>
      </w:tr>
      <w:tr w:rsidR="00F90EAD" w14:paraId="1CFFE05A" w14:textId="77777777">
        <w:trPr>
          <w:cantSplit/>
          <w:jc w:val="center"/>
        </w:trPr>
        <w:tc>
          <w:tcPr>
            <w:tcW w:w="3120" w:type="dxa"/>
          </w:tcPr>
          <w:p w14:paraId="1112E000" w14:textId="77777777" w:rsidR="00F90EAD" w:rsidRDefault="00000000">
            <w:r>
              <w:rPr>
                <w:sz w:val="18"/>
              </w:rPr>
              <w:t>Personalization</w:t>
            </w:r>
          </w:p>
        </w:tc>
        <w:tc>
          <w:tcPr>
            <w:tcW w:w="3120" w:type="dxa"/>
          </w:tcPr>
          <w:p w14:paraId="1C281461" w14:textId="77777777" w:rsidR="00F90EAD" w:rsidRDefault="00000000">
            <w:r>
              <w:rPr>
                <w:sz w:val="18"/>
              </w:rPr>
              <w:t>Patient-specific/individualized coding is stronger than dynamic-coupling coding.</w:t>
            </w:r>
          </w:p>
        </w:tc>
        <w:tc>
          <w:tcPr>
            <w:tcW w:w="3120" w:type="dxa"/>
          </w:tcPr>
          <w:p w14:paraId="48A27F71" w14:textId="77777777" w:rsidR="00F90EAD" w:rsidRDefault="00000000">
            <w:r>
              <w:rPr>
                <w:sz w:val="18"/>
              </w:rPr>
              <w:t>Suggests many systems personalize at baseline without becoming continuously updated twins.</w:t>
            </w:r>
          </w:p>
        </w:tc>
      </w:tr>
      <w:tr w:rsidR="00F90EAD" w14:paraId="16EB1104" w14:textId="77777777">
        <w:trPr>
          <w:cantSplit/>
          <w:jc w:val="center"/>
        </w:trPr>
        <w:tc>
          <w:tcPr>
            <w:tcW w:w="3120" w:type="dxa"/>
          </w:tcPr>
          <w:p w14:paraId="1F4EAF6B" w14:textId="77777777" w:rsidR="00F90EAD" w:rsidRDefault="00000000">
            <w:r>
              <w:rPr>
                <w:sz w:val="18"/>
              </w:rPr>
              <w:t>Interoperability</w:t>
            </w:r>
          </w:p>
        </w:tc>
        <w:tc>
          <w:tcPr>
            <w:tcW w:w="3120" w:type="dxa"/>
          </w:tcPr>
          <w:p w14:paraId="28AC63BB" w14:textId="77777777" w:rsidR="00F90EAD" w:rsidRDefault="00000000">
            <w:r>
              <w:rPr>
                <w:sz w:val="18"/>
              </w:rPr>
              <w:t>HL7 (13); FHIR (12); DICOM (11); OMOP (9); ontology/unique identifiers (10)</w:t>
            </w:r>
          </w:p>
        </w:tc>
        <w:tc>
          <w:tcPr>
            <w:tcW w:w="3120" w:type="dxa"/>
          </w:tcPr>
          <w:p w14:paraId="787AB7D3" w14:textId="77777777" w:rsidR="00F90EAD" w:rsidRDefault="00000000">
            <w:r>
              <w:rPr>
                <w:sz w:val="18"/>
              </w:rPr>
              <w:t>Shows that named standards appear, but broad interoperability concerns are more common than implementation detail.</w:t>
            </w:r>
          </w:p>
        </w:tc>
      </w:tr>
      <w:tr w:rsidR="00F90EAD" w14:paraId="13B49228" w14:textId="77777777">
        <w:trPr>
          <w:cantSplit/>
          <w:jc w:val="center"/>
        </w:trPr>
        <w:tc>
          <w:tcPr>
            <w:tcW w:w="3120" w:type="dxa"/>
          </w:tcPr>
          <w:p w14:paraId="52F88791" w14:textId="77777777" w:rsidR="00F90EAD" w:rsidRDefault="00000000">
            <w:r>
              <w:rPr>
                <w:sz w:val="18"/>
              </w:rPr>
              <w:lastRenderedPageBreak/>
              <w:t>Outputs</w:t>
            </w:r>
          </w:p>
        </w:tc>
        <w:tc>
          <w:tcPr>
            <w:tcW w:w="3120" w:type="dxa"/>
          </w:tcPr>
          <w:p w14:paraId="23759999" w14:textId="77777777" w:rsidR="00F90EAD" w:rsidRDefault="00000000">
            <w:r>
              <w:rPr>
                <w:sz w:val="18"/>
              </w:rPr>
              <w:t>therapy/treatment planning (35); prediction/prognosis/risk (32); diagnosis (26); monitoring (11); education/training (10)</w:t>
            </w:r>
          </w:p>
        </w:tc>
        <w:tc>
          <w:tcPr>
            <w:tcW w:w="3120" w:type="dxa"/>
          </w:tcPr>
          <w:p w14:paraId="719246D7" w14:textId="77777777" w:rsidR="00F90EAD" w:rsidRDefault="00000000">
            <w:r>
              <w:rPr>
                <w:sz w:val="18"/>
              </w:rPr>
              <w:t>Connects pipeline outputs to the application landscape.</w:t>
            </w:r>
          </w:p>
        </w:tc>
      </w:tr>
    </w:tbl>
    <w:p w14:paraId="1157B92A" w14:textId="77777777" w:rsidR="00F90EAD" w:rsidRDefault="00F90EAD"/>
    <w:p w14:paraId="6D672F4F" w14:textId="77777777" w:rsidR="00F90EAD" w:rsidRDefault="00000000">
      <w:r>
        <w:rPr>
          <w:b/>
          <w:sz w:val="20"/>
        </w:rPr>
        <w:t>Table 4. Validation strategies and evidence strength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7"/>
        <w:gridCol w:w="3117"/>
        <w:gridCol w:w="3116"/>
      </w:tblGrid>
      <w:tr w:rsidR="00F90EAD" w14:paraId="541AF64D" w14:textId="77777777">
        <w:trPr>
          <w:cantSplit/>
          <w:tblHeader/>
          <w:jc w:val="center"/>
        </w:trPr>
        <w:tc>
          <w:tcPr>
            <w:tcW w:w="3120" w:type="dxa"/>
          </w:tcPr>
          <w:p w14:paraId="2A8EEC9A" w14:textId="77777777" w:rsidR="00F90EAD" w:rsidRDefault="00000000">
            <w:r>
              <w:rPr>
                <w:b/>
                <w:sz w:val="18"/>
              </w:rPr>
              <w:t>Validation dimension</w:t>
            </w:r>
          </w:p>
        </w:tc>
        <w:tc>
          <w:tcPr>
            <w:tcW w:w="3120" w:type="dxa"/>
          </w:tcPr>
          <w:p w14:paraId="48179002" w14:textId="77777777" w:rsidR="00F90EAD" w:rsidRDefault="00000000">
            <w:r>
              <w:rPr>
                <w:b/>
                <w:sz w:val="18"/>
              </w:rPr>
              <w:t>Current extracted signal</w:t>
            </w:r>
          </w:p>
        </w:tc>
        <w:tc>
          <w:tcPr>
            <w:tcW w:w="3120" w:type="dxa"/>
          </w:tcPr>
          <w:p w14:paraId="4AFC822E" w14:textId="77777777" w:rsidR="00F90EAD" w:rsidRDefault="00000000">
            <w:r>
              <w:rPr>
                <w:b/>
                <w:sz w:val="18"/>
              </w:rPr>
              <w:t>Interpretation</w:t>
            </w:r>
          </w:p>
        </w:tc>
      </w:tr>
      <w:tr w:rsidR="00F90EAD" w14:paraId="6DA0B7BD" w14:textId="77777777">
        <w:trPr>
          <w:cantSplit/>
          <w:jc w:val="center"/>
        </w:trPr>
        <w:tc>
          <w:tcPr>
            <w:tcW w:w="3120" w:type="dxa"/>
          </w:tcPr>
          <w:p w14:paraId="2967CEC7" w14:textId="77777777" w:rsidR="00F90EAD" w:rsidRDefault="00000000">
            <w:r>
              <w:rPr>
                <w:sz w:val="18"/>
              </w:rPr>
              <w:t>Validation reported</w:t>
            </w:r>
          </w:p>
        </w:tc>
        <w:tc>
          <w:tcPr>
            <w:tcW w:w="3120" w:type="dxa"/>
          </w:tcPr>
          <w:p w14:paraId="0E7463DD" w14:textId="77777777" w:rsidR="00F90EAD" w:rsidRDefault="00000000">
            <w:r>
              <w:rPr>
                <w:sz w:val="18"/>
              </w:rPr>
              <w:t>empirical/patient-data validation (29); not reported/none (27)</w:t>
            </w:r>
          </w:p>
        </w:tc>
        <w:tc>
          <w:tcPr>
            <w:tcW w:w="3120" w:type="dxa"/>
          </w:tcPr>
          <w:p w14:paraId="2227D846" w14:textId="77777777" w:rsidR="00F90EAD" w:rsidRDefault="00000000">
            <w:r>
              <w:rPr>
                <w:sz w:val="18"/>
              </w:rPr>
              <w:t>Validation is present in some reviews but absent or unclear in a similar number of coded rows.</w:t>
            </w:r>
          </w:p>
        </w:tc>
      </w:tr>
      <w:tr w:rsidR="00F90EAD" w14:paraId="35DA1F2B" w14:textId="77777777">
        <w:trPr>
          <w:cantSplit/>
          <w:jc w:val="center"/>
        </w:trPr>
        <w:tc>
          <w:tcPr>
            <w:tcW w:w="3120" w:type="dxa"/>
          </w:tcPr>
          <w:p w14:paraId="49B5C459" w14:textId="77777777" w:rsidR="00F90EAD" w:rsidRDefault="00000000">
            <w:r>
              <w:rPr>
                <w:sz w:val="18"/>
              </w:rPr>
              <w:t>Methodological appraisal</w:t>
            </w:r>
          </w:p>
        </w:tc>
        <w:tc>
          <w:tcPr>
            <w:tcW w:w="3120" w:type="dxa"/>
          </w:tcPr>
          <w:p w14:paraId="5D3A5961" w14:textId="77777777" w:rsidR="00F90EAD" w:rsidRDefault="00000000">
            <w:r>
              <w:rPr>
                <w:sz w:val="18"/>
              </w:rPr>
              <w:t>quality appraisal tool (11); PRISMA/review methodology (8)</w:t>
            </w:r>
          </w:p>
        </w:tc>
        <w:tc>
          <w:tcPr>
            <w:tcW w:w="3120" w:type="dxa"/>
          </w:tcPr>
          <w:p w14:paraId="2283D048" w14:textId="77777777" w:rsidR="00F90EAD" w:rsidRDefault="00000000">
            <w:r>
              <w:rPr>
                <w:sz w:val="18"/>
              </w:rPr>
              <w:t>Review methods are often described, but model-level appraisal is not consistently comparable.</w:t>
            </w:r>
          </w:p>
        </w:tc>
      </w:tr>
      <w:tr w:rsidR="00F90EAD" w14:paraId="171A7A4E" w14:textId="77777777">
        <w:trPr>
          <w:cantSplit/>
          <w:jc w:val="center"/>
        </w:trPr>
        <w:tc>
          <w:tcPr>
            <w:tcW w:w="3120" w:type="dxa"/>
          </w:tcPr>
          <w:p w14:paraId="0BEA7344" w14:textId="77777777" w:rsidR="00F90EAD" w:rsidRDefault="00000000">
            <w:r>
              <w:rPr>
                <w:sz w:val="18"/>
              </w:rPr>
              <w:t>Uncertainty/fidelity</w:t>
            </w:r>
          </w:p>
        </w:tc>
        <w:tc>
          <w:tcPr>
            <w:tcW w:w="3120" w:type="dxa"/>
          </w:tcPr>
          <w:p w14:paraId="3C54A57C" w14:textId="77777777" w:rsidR="00F90EAD" w:rsidRDefault="00000000">
            <w:r>
              <w:rPr>
                <w:sz w:val="18"/>
              </w:rPr>
              <w:t>sensitivity/uncertainty analysis (11); expert evaluation (1)</w:t>
            </w:r>
          </w:p>
        </w:tc>
        <w:tc>
          <w:tcPr>
            <w:tcW w:w="3120" w:type="dxa"/>
          </w:tcPr>
          <w:p w14:paraId="165D5F37" w14:textId="77777777" w:rsidR="00F90EAD" w:rsidRDefault="00000000">
            <w:r>
              <w:rPr>
                <w:sz w:val="18"/>
              </w:rPr>
              <w:t>Sensitivity or uncertainty handling is coded less often than prediction or treatment-planning claims.</w:t>
            </w:r>
          </w:p>
        </w:tc>
      </w:tr>
      <w:tr w:rsidR="00F90EAD" w14:paraId="67ECF3DE" w14:textId="77777777">
        <w:trPr>
          <w:cantSplit/>
          <w:jc w:val="center"/>
        </w:trPr>
        <w:tc>
          <w:tcPr>
            <w:tcW w:w="3120" w:type="dxa"/>
          </w:tcPr>
          <w:p w14:paraId="6DD2B416" w14:textId="77777777" w:rsidR="00F90EAD" w:rsidRDefault="00000000">
            <w:r>
              <w:rPr>
                <w:sz w:val="18"/>
              </w:rPr>
              <w:t>Clinical readiness</w:t>
            </w:r>
          </w:p>
        </w:tc>
        <w:tc>
          <w:tcPr>
            <w:tcW w:w="3120" w:type="dxa"/>
          </w:tcPr>
          <w:p w14:paraId="4753A135" w14:textId="77777777" w:rsidR="00F90EAD" w:rsidRDefault="00000000">
            <w:r>
              <w:rPr>
                <w:sz w:val="18"/>
              </w:rPr>
              <w:t>Current fields support a maturity gradient from conceptual/research-only to retrospective, prospective, and deployed clinical workflow evidence, but final row-level adjudication is needed.</w:t>
            </w:r>
          </w:p>
        </w:tc>
        <w:tc>
          <w:tcPr>
            <w:tcW w:w="3120" w:type="dxa"/>
          </w:tcPr>
          <w:p w14:paraId="6E5C59C6" w14:textId="77777777" w:rsidR="00F90EAD" w:rsidRDefault="00000000">
            <w:r>
              <w:rPr>
                <w:sz w:val="18"/>
              </w:rPr>
              <w:t>Provides the backbone for the validation/fidelity landscape figure.</w:t>
            </w:r>
          </w:p>
        </w:tc>
      </w:tr>
      <w:tr w:rsidR="00F90EAD" w14:paraId="24520125" w14:textId="77777777">
        <w:trPr>
          <w:cantSplit/>
          <w:jc w:val="center"/>
        </w:trPr>
        <w:tc>
          <w:tcPr>
            <w:tcW w:w="3120" w:type="dxa"/>
          </w:tcPr>
          <w:p w14:paraId="08547DEB" w14:textId="77777777" w:rsidR="00F90EAD" w:rsidRDefault="00000000">
            <w:r>
              <w:rPr>
                <w:sz w:val="18"/>
              </w:rPr>
              <w:t>Main gap</w:t>
            </w:r>
          </w:p>
        </w:tc>
        <w:tc>
          <w:tcPr>
            <w:tcW w:w="3120" w:type="dxa"/>
          </w:tcPr>
          <w:p w14:paraId="2C6F53EC" w14:textId="77777777" w:rsidR="00F90EAD" w:rsidRDefault="00000000">
            <w:r>
              <w:rPr>
                <w:sz w:val="18"/>
              </w:rPr>
              <w:t>Validation, external generalizability, uncertainty, and reproducibility remain unevenly reported.</w:t>
            </w:r>
          </w:p>
        </w:tc>
        <w:tc>
          <w:tcPr>
            <w:tcW w:w="3120" w:type="dxa"/>
          </w:tcPr>
          <w:p w14:paraId="45F35D60" w14:textId="77777777" w:rsidR="00F90EAD" w:rsidRDefault="00000000">
            <w:r>
              <w:rPr>
                <w:sz w:val="18"/>
              </w:rPr>
              <w:t>Supports the critical discussion of translational readiness.</w:t>
            </w:r>
          </w:p>
        </w:tc>
      </w:tr>
    </w:tbl>
    <w:p w14:paraId="7902B70A" w14:textId="77777777" w:rsidR="00F90EAD" w:rsidRDefault="00F90EAD"/>
    <w:p w14:paraId="7834E939" w14:textId="77777777" w:rsidR="00F90EAD" w:rsidRDefault="00000000">
      <w:r>
        <w:rPr>
          <w:b/>
          <w:sz w:val="20"/>
        </w:rPr>
        <w:t>Table 5. Applications by domain and function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5"/>
        <w:gridCol w:w="3119"/>
        <w:gridCol w:w="3116"/>
      </w:tblGrid>
      <w:tr w:rsidR="00F90EAD" w14:paraId="42E1E796" w14:textId="77777777">
        <w:trPr>
          <w:cantSplit/>
          <w:tblHeader/>
          <w:jc w:val="center"/>
        </w:trPr>
        <w:tc>
          <w:tcPr>
            <w:tcW w:w="3120" w:type="dxa"/>
          </w:tcPr>
          <w:p w14:paraId="20E433CF" w14:textId="77777777" w:rsidR="00F90EAD" w:rsidRDefault="00000000">
            <w:r>
              <w:rPr>
                <w:b/>
                <w:sz w:val="18"/>
              </w:rPr>
              <w:t>Application layer</w:t>
            </w:r>
          </w:p>
        </w:tc>
        <w:tc>
          <w:tcPr>
            <w:tcW w:w="3120" w:type="dxa"/>
          </w:tcPr>
          <w:p w14:paraId="6DA448AA" w14:textId="77777777" w:rsidR="00F90EAD" w:rsidRDefault="00000000">
            <w:r>
              <w:rPr>
                <w:b/>
                <w:sz w:val="18"/>
              </w:rPr>
              <w:t>Current extracted signal</w:t>
            </w:r>
          </w:p>
        </w:tc>
        <w:tc>
          <w:tcPr>
            <w:tcW w:w="3120" w:type="dxa"/>
          </w:tcPr>
          <w:p w14:paraId="52849200" w14:textId="77777777" w:rsidR="00F90EAD" w:rsidRDefault="00000000">
            <w:r>
              <w:rPr>
                <w:b/>
                <w:sz w:val="18"/>
              </w:rPr>
              <w:t>Manuscript use</w:t>
            </w:r>
          </w:p>
        </w:tc>
      </w:tr>
      <w:tr w:rsidR="00F90EAD" w14:paraId="7737C28B" w14:textId="77777777">
        <w:trPr>
          <w:cantSplit/>
          <w:jc w:val="center"/>
        </w:trPr>
        <w:tc>
          <w:tcPr>
            <w:tcW w:w="3120" w:type="dxa"/>
          </w:tcPr>
          <w:p w14:paraId="6F7E3A4F" w14:textId="77777777" w:rsidR="00F90EAD" w:rsidRDefault="00000000">
            <w:r>
              <w:rPr>
                <w:sz w:val="18"/>
              </w:rPr>
              <w:t>Domains</w:t>
            </w:r>
          </w:p>
        </w:tc>
        <w:tc>
          <w:tcPr>
            <w:tcW w:w="3120" w:type="dxa"/>
          </w:tcPr>
          <w:p w14:paraId="588FDA37" w14:textId="77777777" w:rsidR="00F90EAD" w:rsidRDefault="00000000">
            <w:r>
              <w:rPr>
                <w:sz w:val="18"/>
              </w:rPr>
              <w:t>cardiology/cardiovascular (18); oncology/cancer (12); surgery/orthopedics/dentistry (11); general healthcare (10); pharmacology/drug development (8); diabetes/endocrine (8); neurology/neuroscience (5)</w:t>
            </w:r>
          </w:p>
        </w:tc>
        <w:tc>
          <w:tcPr>
            <w:tcW w:w="3120" w:type="dxa"/>
          </w:tcPr>
          <w:p w14:paraId="21B35104" w14:textId="77777777" w:rsidR="00F90EAD" w:rsidRDefault="00000000">
            <w:r>
              <w:rPr>
                <w:sz w:val="18"/>
              </w:rPr>
              <w:t>Populates the rows of the application landscape map.</w:t>
            </w:r>
          </w:p>
        </w:tc>
      </w:tr>
      <w:tr w:rsidR="00F90EAD" w14:paraId="4DE90554" w14:textId="77777777">
        <w:trPr>
          <w:cantSplit/>
          <w:jc w:val="center"/>
        </w:trPr>
        <w:tc>
          <w:tcPr>
            <w:tcW w:w="3120" w:type="dxa"/>
          </w:tcPr>
          <w:p w14:paraId="312F4243" w14:textId="77777777" w:rsidR="00F90EAD" w:rsidRDefault="00000000">
            <w:r>
              <w:rPr>
                <w:sz w:val="18"/>
              </w:rPr>
              <w:t>Primary functions</w:t>
            </w:r>
          </w:p>
        </w:tc>
        <w:tc>
          <w:tcPr>
            <w:tcW w:w="3120" w:type="dxa"/>
          </w:tcPr>
          <w:p w14:paraId="7D0DD03D" w14:textId="77777777" w:rsidR="00F90EAD" w:rsidRDefault="00000000">
            <w:r>
              <w:rPr>
                <w:sz w:val="18"/>
              </w:rPr>
              <w:t>therapy/treatment planning (35); prediction/prognosis/risk (32); diagnosis (26); personalized care (23); drug development/trials (15)</w:t>
            </w:r>
          </w:p>
        </w:tc>
        <w:tc>
          <w:tcPr>
            <w:tcW w:w="3120" w:type="dxa"/>
          </w:tcPr>
          <w:p w14:paraId="15FAB471" w14:textId="77777777" w:rsidR="00F90EAD" w:rsidRDefault="00000000">
            <w:r>
              <w:rPr>
                <w:sz w:val="18"/>
              </w:rPr>
              <w:t>Populates the columns of the application landscape map.</w:t>
            </w:r>
          </w:p>
        </w:tc>
      </w:tr>
      <w:tr w:rsidR="00F90EAD" w14:paraId="4F885DE1" w14:textId="77777777">
        <w:trPr>
          <w:cantSplit/>
          <w:jc w:val="center"/>
        </w:trPr>
        <w:tc>
          <w:tcPr>
            <w:tcW w:w="3120" w:type="dxa"/>
          </w:tcPr>
          <w:p w14:paraId="7F7E3CC8" w14:textId="77777777" w:rsidR="00F90EAD" w:rsidRDefault="00000000">
            <w:r>
              <w:rPr>
                <w:sz w:val="18"/>
              </w:rPr>
              <w:lastRenderedPageBreak/>
              <w:t>Monitoring and decision support</w:t>
            </w:r>
          </w:p>
        </w:tc>
        <w:tc>
          <w:tcPr>
            <w:tcW w:w="3120" w:type="dxa"/>
          </w:tcPr>
          <w:p w14:paraId="28EEB99F" w14:textId="77777777" w:rsidR="00F90EAD" w:rsidRDefault="00000000">
            <w:r>
              <w:rPr>
                <w:sz w:val="18"/>
              </w:rPr>
              <w:t>monitoring (11); education/training (10); decision support (9)</w:t>
            </w:r>
          </w:p>
        </w:tc>
        <w:tc>
          <w:tcPr>
            <w:tcW w:w="3120" w:type="dxa"/>
          </w:tcPr>
          <w:p w14:paraId="6953D111" w14:textId="77777777" w:rsidR="00F90EAD" w:rsidRDefault="00000000">
            <w:r>
              <w:rPr>
                <w:sz w:val="18"/>
              </w:rPr>
              <w:t>Shows that direct operational support appears less frequently than broad prediction and planning functions.</w:t>
            </w:r>
          </w:p>
        </w:tc>
      </w:tr>
      <w:tr w:rsidR="00F90EAD" w14:paraId="6BA0AD77" w14:textId="77777777">
        <w:trPr>
          <w:cantSplit/>
          <w:jc w:val="center"/>
        </w:trPr>
        <w:tc>
          <w:tcPr>
            <w:tcW w:w="3120" w:type="dxa"/>
          </w:tcPr>
          <w:p w14:paraId="3D865F60" w14:textId="77777777" w:rsidR="00F90EAD" w:rsidRDefault="00000000">
            <w:r>
              <w:rPr>
                <w:sz w:val="18"/>
              </w:rPr>
              <w:t>Translation interpretation</w:t>
            </w:r>
          </w:p>
        </w:tc>
        <w:tc>
          <w:tcPr>
            <w:tcW w:w="3120" w:type="dxa"/>
          </w:tcPr>
          <w:p w14:paraId="6705A929" w14:textId="77777777" w:rsidR="00F90EAD" w:rsidRDefault="00000000">
            <w:r>
              <w:rPr>
                <w:sz w:val="18"/>
              </w:rPr>
              <w:t>Applications are clinically diverse but often remain review-level, conceptual, or preclinical in reported maturity.</w:t>
            </w:r>
          </w:p>
        </w:tc>
        <w:tc>
          <w:tcPr>
            <w:tcW w:w="3120" w:type="dxa"/>
          </w:tcPr>
          <w:p w14:paraId="5F376814" w14:textId="77777777" w:rsidR="00F90EAD" w:rsidRDefault="00000000">
            <w:r>
              <w:rPr>
                <w:sz w:val="18"/>
              </w:rPr>
              <w:t>Helps separate practical use cases from clinical deployment evidence.</w:t>
            </w:r>
          </w:p>
        </w:tc>
      </w:tr>
    </w:tbl>
    <w:p w14:paraId="0E2BA525" w14:textId="77777777" w:rsidR="00F90EAD" w:rsidRDefault="00F90EAD"/>
    <w:p w14:paraId="3B6B3A1C" w14:textId="77777777" w:rsidR="00F90EAD" w:rsidRDefault="00000000">
      <w:r>
        <w:rPr>
          <w:b/>
          <w:sz w:val="20"/>
        </w:rPr>
        <w:t>Table 6. Barriers and limitations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9"/>
        <w:gridCol w:w="3115"/>
        <w:gridCol w:w="3116"/>
      </w:tblGrid>
      <w:tr w:rsidR="00F90EAD" w14:paraId="437064BD" w14:textId="77777777">
        <w:trPr>
          <w:cantSplit/>
          <w:tblHeader/>
          <w:jc w:val="center"/>
        </w:trPr>
        <w:tc>
          <w:tcPr>
            <w:tcW w:w="3120" w:type="dxa"/>
          </w:tcPr>
          <w:p w14:paraId="1BA10A75" w14:textId="77777777" w:rsidR="00F90EAD" w:rsidRDefault="00000000">
            <w:r>
              <w:rPr>
                <w:b/>
                <w:sz w:val="18"/>
              </w:rPr>
              <w:t>Barrier category</w:t>
            </w:r>
          </w:p>
        </w:tc>
        <w:tc>
          <w:tcPr>
            <w:tcW w:w="3120" w:type="dxa"/>
          </w:tcPr>
          <w:p w14:paraId="0C1AEC85" w14:textId="77777777" w:rsidR="00F90EAD" w:rsidRDefault="00000000">
            <w:r>
              <w:rPr>
                <w:b/>
                <w:sz w:val="18"/>
              </w:rPr>
              <w:t>Current extracted signal</w:t>
            </w:r>
          </w:p>
        </w:tc>
        <w:tc>
          <w:tcPr>
            <w:tcW w:w="3120" w:type="dxa"/>
          </w:tcPr>
          <w:p w14:paraId="7FF05EC3" w14:textId="77777777" w:rsidR="00F90EAD" w:rsidRDefault="00000000">
            <w:r>
              <w:rPr>
                <w:b/>
                <w:sz w:val="18"/>
              </w:rPr>
              <w:t>Roadmap implication</w:t>
            </w:r>
          </w:p>
        </w:tc>
      </w:tr>
      <w:tr w:rsidR="00F90EAD" w14:paraId="4F3B93ED" w14:textId="77777777">
        <w:trPr>
          <w:cantSplit/>
          <w:jc w:val="center"/>
        </w:trPr>
        <w:tc>
          <w:tcPr>
            <w:tcW w:w="3120" w:type="dxa"/>
          </w:tcPr>
          <w:p w14:paraId="49D570EA" w14:textId="77777777" w:rsidR="00F90EAD" w:rsidRDefault="00000000">
            <w:r>
              <w:rPr>
                <w:sz w:val="18"/>
              </w:rPr>
              <w:t>Interoperability/standards</w:t>
            </w:r>
          </w:p>
        </w:tc>
        <w:tc>
          <w:tcPr>
            <w:tcW w:w="3120" w:type="dxa"/>
          </w:tcPr>
          <w:p w14:paraId="1C599B13" w14:textId="77777777" w:rsidR="00F90EAD" w:rsidRDefault="00000000">
            <w:r>
              <w:rPr>
                <w:sz w:val="18"/>
              </w:rPr>
              <w:t>31 coded rows.</w:t>
            </w:r>
          </w:p>
        </w:tc>
        <w:tc>
          <w:tcPr>
            <w:tcW w:w="3120" w:type="dxa"/>
          </w:tcPr>
          <w:p w14:paraId="349EE81E" w14:textId="77777777" w:rsidR="00F90EAD" w:rsidRDefault="00000000">
            <w:r>
              <w:rPr>
                <w:sz w:val="18"/>
              </w:rPr>
              <w:t>Standard data models and implementation profiles should be treated as translational infrastructure, not optional technical detail.</w:t>
            </w:r>
          </w:p>
        </w:tc>
      </w:tr>
      <w:tr w:rsidR="00F90EAD" w14:paraId="0E5EB7E7" w14:textId="77777777">
        <w:trPr>
          <w:cantSplit/>
          <w:jc w:val="center"/>
        </w:trPr>
        <w:tc>
          <w:tcPr>
            <w:tcW w:w="3120" w:type="dxa"/>
          </w:tcPr>
          <w:p w14:paraId="3BA6BA73" w14:textId="77777777" w:rsidR="00F90EAD" w:rsidRDefault="00000000">
            <w:r>
              <w:rPr>
                <w:sz w:val="18"/>
              </w:rPr>
              <w:t>Privacy/security/governance</w:t>
            </w:r>
          </w:p>
        </w:tc>
        <w:tc>
          <w:tcPr>
            <w:tcW w:w="3120" w:type="dxa"/>
          </w:tcPr>
          <w:p w14:paraId="064B8EF8" w14:textId="77777777" w:rsidR="00F90EAD" w:rsidRDefault="00000000">
            <w:r>
              <w:rPr>
                <w:sz w:val="18"/>
              </w:rPr>
              <w:t>31 coded rows.</w:t>
            </w:r>
          </w:p>
        </w:tc>
        <w:tc>
          <w:tcPr>
            <w:tcW w:w="3120" w:type="dxa"/>
          </w:tcPr>
          <w:p w14:paraId="1BB8749F" w14:textId="77777777" w:rsidR="00F90EAD" w:rsidRDefault="00000000">
            <w:r>
              <w:rPr>
                <w:sz w:val="18"/>
              </w:rPr>
              <w:t>Governance, consent, access control, and data stewardship should be included in the conceptual framework.</w:t>
            </w:r>
          </w:p>
        </w:tc>
      </w:tr>
      <w:tr w:rsidR="00F90EAD" w14:paraId="10D1D3DD" w14:textId="77777777">
        <w:trPr>
          <w:cantSplit/>
          <w:jc w:val="center"/>
        </w:trPr>
        <w:tc>
          <w:tcPr>
            <w:tcW w:w="3120" w:type="dxa"/>
          </w:tcPr>
          <w:p w14:paraId="62C1DEF9" w14:textId="77777777" w:rsidR="00F90EAD" w:rsidRDefault="00000000">
            <w:r>
              <w:rPr>
                <w:sz w:val="18"/>
              </w:rPr>
              <w:t>Ethical/legal/regulatory</w:t>
            </w:r>
          </w:p>
        </w:tc>
        <w:tc>
          <w:tcPr>
            <w:tcW w:w="3120" w:type="dxa"/>
          </w:tcPr>
          <w:p w14:paraId="4293F04A" w14:textId="77777777" w:rsidR="00F90EAD" w:rsidRDefault="00000000">
            <w:r>
              <w:rPr>
                <w:sz w:val="18"/>
              </w:rPr>
              <w:t>27 coded rows.</w:t>
            </w:r>
          </w:p>
        </w:tc>
        <w:tc>
          <w:tcPr>
            <w:tcW w:w="3120" w:type="dxa"/>
          </w:tcPr>
          <w:p w14:paraId="40762E0F" w14:textId="77777777" w:rsidR="00F90EAD" w:rsidRDefault="00000000">
            <w:r>
              <w:rPr>
                <w:sz w:val="18"/>
              </w:rPr>
              <w:t>Regulatory pathway, accountability, transparency, and bias require explicit reporting.</w:t>
            </w:r>
          </w:p>
        </w:tc>
      </w:tr>
      <w:tr w:rsidR="00F90EAD" w14:paraId="5898A19F" w14:textId="77777777">
        <w:trPr>
          <w:cantSplit/>
          <w:jc w:val="center"/>
        </w:trPr>
        <w:tc>
          <w:tcPr>
            <w:tcW w:w="3120" w:type="dxa"/>
          </w:tcPr>
          <w:p w14:paraId="5CB973AA" w14:textId="77777777" w:rsidR="00F90EAD" w:rsidRDefault="00000000">
            <w:r>
              <w:rPr>
                <w:sz w:val="18"/>
              </w:rPr>
              <w:t>Computing/scalability/resources</w:t>
            </w:r>
          </w:p>
        </w:tc>
        <w:tc>
          <w:tcPr>
            <w:tcW w:w="3120" w:type="dxa"/>
          </w:tcPr>
          <w:p w14:paraId="51972B4E" w14:textId="77777777" w:rsidR="00F90EAD" w:rsidRDefault="00000000">
            <w:r>
              <w:rPr>
                <w:sz w:val="18"/>
              </w:rPr>
              <w:t>26 coded rows.</w:t>
            </w:r>
          </w:p>
        </w:tc>
        <w:tc>
          <w:tcPr>
            <w:tcW w:w="3120" w:type="dxa"/>
          </w:tcPr>
          <w:p w14:paraId="2F65346A" w14:textId="77777777" w:rsidR="00F90EAD" w:rsidRDefault="00000000">
            <w:r>
              <w:rPr>
                <w:sz w:val="18"/>
              </w:rPr>
              <w:t>Scalable, reproducible computational environments are needed for deployable systems.</w:t>
            </w:r>
          </w:p>
        </w:tc>
      </w:tr>
      <w:tr w:rsidR="00F90EAD" w14:paraId="5DC153A1" w14:textId="77777777">
        <w:trPr>
          <w:cantSplit/>
          <w:jc w:val="center"/>
        </w:trPr>
        <w:tc>
          <w:tcPr>
            <w:tcW w:w="3120" w:type="dxa"/>
          </w:tcPr>
          <w:p w14:paraId="727D25CD" w14:textId="77777777" w:rsidR="00F90EAD" w:rsidRDefault="00000000">
            <w:r>
              <w:rPr>
                <w:sz w:val="18"/>
              </w:rPr>
              <w:t>Clinical adoption/workflow</w:t>
            </w:r>
          </w:p>
        </w:tc>
        <w:tc>
          <w:tcPr>
            <w:tcW w:w="3120" w:type="dxa"/>
          </w:tcPr>
          <w:p w14:paraId="46202FE5" w14:textId="77777777" w:rsidR="00F90EAD" w:rsidRDefault="00000000">
            <w:r>
              <w:rPr>
                <w:sz w:val="18"/>
              </w:rPr>
              <w:t>26 coded rows.</w:t>
            </w:r>
          </w:p>
        </w:tc>
        <w:tc>
          <w:tcPr>
            <w:tcW w:w="3120" w:type="dxa"/>
          </w:tcPr>
          <w:p w14:paraId="5BDA38C9" w14:textId="77777777" w:rsidR="00F90EAD" w:rsidRDefault="00000000">
            <w:r>
              <w:rPr>
                <w:sz w:val="18"/>
              </w:rPr>
              <w:t>Clinical integration should be assessed alongside model performance.</w:t>
            </w:r>
          </w:p>
        </w:tc>
      </w:tr>
      <w:tr w:rsidR="00F90EAD" w14:paraId="116EF6F7" w14:textId="77777777">
        <w:trPr>
          <w:cantSplit/>
          <w:jc w:val="center"/>
        </w:trPr>
        <w:tc>
          <w:tcPr>
            <w:tcW w:w="3120" w:type="dxa"/>
          </w:tcPr>
          <w:p w14:paraId="5CB234CF" w14:textId="77777777" w:rsidR="00F90EAD" w:rsidRDefault="00000000">
            <w:r>
              <w:rPr>
                <w:sz w:val="18"/>
              </w:rPr>
              <w:t>Data quality/availability/integration</w:t>
            </w:r>
          </w:p>
        </w:tc>
        <w:tc>
          <w:tcPr>
            <w:tcW w:w="3120" w:type="dxa"/>
          </w:tcPr>
          <w:p w14:paraId="3BA0C390" w14:textId="77777777" w:rsidR="00F90EAD" w:rsidRDefault="00000000">
            <w:r>
              <w:rPr>
                <w:sz w:val="18"/>
              </w:rPr>
              <w:t>25 coded rows.</w:t>
            </w:r>
          </w:p>
        </w:tc>
        <w:tc>
          <w:tcPr>
            <w:tcW w:w="3120" w:type="dxa"/>
          </w:tcPr>
          <w:p w14:paraId="217B4767" w14:textId="77777777" w:rsidR="00F90EAD" w:rsidRDefault="00000000">
            <w:r>
              <w:rPr>
                <w:sz w:val="18"/>
              </w:rPr>
              <w:t>Longitudinal, multimodal, harmonized data are a limiting condition for patient-level twins.</w:t>
            </w:r>
          </w:p>
        </w:tc>
      </w:tr>
      <w:tr w:rsidR="00F90EAD" w14:paraId="46C1754E" w14:textId="77777777">
        <w:trPr>
          <w:cantSplit/>
          <w:jc w:val="center"/>
        </w:trPr>
        <w:tc>
          <w:tcPr>
            <w:tcW w:w="3120" w:type="dxa"/>
          </w:tcPr>
          <w:p w14:paraId="69050C36" w14:textId="77777777" w:rsidR="00F90EAD" w:rsidRDefault="00000000">
            <w:r>
              <w:rPr>
                <w:sz w:val="18"/>
              </w:rPr>
              <w:t>Validation/evidence/reproducibility</w:t>
            </w:r>
          </w:p>
        </w:tc>
        <w:tc>
          <w:tcPr>
            <w:tcW w:w="3120" w:type="dxa"/>
          </w:tcPr>
          <w:p w14:paraId="01B27373" w14:textId="77777777" w:rsidR="00F90EAD" w:rsidRDefault="00000000">
            <w:r>
              <w:rPr>
                <w:sz w:val="18"/>
              </w:rPr>
              <w:t>20 coded rows.</w:t>
            </w:r>
          </w:p>
        </w:tc>
        <w:tc>
          <w:tcPr>
            <w:tcW w:w="3120" w:type="dxa"/>
          </w:tcPr>
          <w:p w14:paraId="3603B19C" w14:textId="77777777" w:rsidR="00F90EAD" w:rsidRDefault="00000000">
            <w:r>
              <w:rPr>
                <w:sz w:val="18"/>
              </w:rPr>
              <w:t>Prospective validation, benchmarks, and uncertainty reporting should be core future requirements.</w:t>
            </w:r>
          </w:p>
        </w:tc>
      </w:tr>
    </w:tbl>
    <w:p w14:paraId="06BE14B2" w14:textId="77777777" w:rsidR="00F90EAD" w:rsidRDefault="00F90EAD"/>
    <w:p w14:paraId="452C9E98" w14:textId="77777777" w:rsidR="00F90EAD" w:rsidRDefault="00000000">
      <w:r>
        <w:rPr>
          <w:b/>
          <w:sz w:val="20"/>
        </w:rPr>
        <w:t>Table 7. Future directions and recommendations draft.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8"/>
        <w:gridCol w:w="3115"/>
        <w:gridCol w:w="3117"/>
      </w:tblGrid>
      <w:tr w:rsidR="00F90EAD" w14:paraId="1BD28AC9" w14:textId="77777777">
        <w:trPr>
          <w:cantSplit/>
          <w:tblHeader/>
          <w:jc w:val="center"/>
        </w:trPr>
        <w:tc>
          <w:tcPr>
            <w:tcW w:w="3120" w:type="dxa"/>
          </w:tcPr>
          <w:p w14:paraId="5BCD1452" w14:textId="77777777" w:rsidR="00F90EAD" w:rsidRDefault="00000000">
            <w:r>
              <w:rPr>
                <w:b/>
                <w:sz w:val="18"/>
              </w:rPr>
              <w:lastRenderedPageBreak/>
              <w:t>Recommendation</w:t>
            </w:r>
          </w:p>
        </w:tc>
        <w:tc>
          <w:tcPr>
            <w:tcW w:w="3120" w:type="dxa"/>
          </w:tcPr>
          <w:p w14:paraId="6591653A" w14:textId="77777777" w:rsidR="00F90EAD" w:rsidRDefault="00000000">
            <w:r>
              <w:rPr>
                <w:b/>
                <w:sz w:val="18"/>
              </w:rPr>
              <w:t>Priority</w:t>
            </w:r>
          </w:p>
        </w:tc>
        <w:tc>
          <w:tcPr>
            <w:tcW w:w="3120" w:type="dxa"/>
          </w:tcPr>
          <w:p w14:paraId="15E5614D" w14:textId="77777777" w:rsidR="00F90EAD" w:rsidRDefault="00000000">
            <w:r>
              <w:rPr>
                <w:b/>
                <w:sz w:val="18"/>
              </w:rPr>
              <w:t>Evidence basis and suggested action</w:t>
            </w:r>
          </w:p>
        </w:tc>
      </w:tr>
      <w:tr w:rsidR="00F90EAD" w14:paraId="7B48D1E5" w14:textId="77777777">
        <w:trPr>
          <w:cantSplit/>
          <w:jc w:val="center"/>
        </w:trPr>
        <w:tc>
          <w:tcPr>
            <w:tcW w:w="3120" w:type="dxa"/>
          </w:tcPr>
          <w:p w14:paraId="77230341" w14:textId="77777777" w:rsidR="00F90EAD" w:rsidRDefault="00000000">
            <w:r>
              <w:rPr>
                <w:sz w:val="18"/>
              </w:rPr>
              <w:t>Standardize terminology</w:t>
            </w:r>
          </w:p>
        </w:tc>
        <w:tc>
          <w:tcPr>
            <w:tcW w:w="3120" w:type="dxa"/>
          </w:tcPr>
          <w:p w14:paraId="1540C456" w14:textId="77777777" w:rsidR="00F90EAD" w:rsidRDefault="00000000">
            <w:r>
              <w:rPr>
                <w:sz w:val="18"/>
              </w:rPr>
              <w:t>High</w:t>
            </w:r>
          </w:p>
        </w:tc>
        <w:tc>
          <w:tcPr>
            <w:tcW w:w="3120" w:type="dxa"/>
          </w:tcPr>
          <w:p w14:paraId="70B8C41F" w14:textId="77777777" w:rsidR="00F90EAD" w:rsidRDefault="00000000">
            <w:r>
              <w:rPr>
                <w:sz w:val="18"/>
              </w:rPr>
              <w:t>Use explicit criteria for model, shadow, twin, patient digital twin, virtual patient, and in silico patient.</w:t>
            </w:r>
          </w:p>
        </w:tc>
      </w:tr>
      <w:tr w:rsidR="00F90EAD" w14:paraId="797E2B78" w14:textId="77777777">
        <w:trPr>
          <w:cantSplit/>
          <w:jc w:val="center"/>
        </w:trPr>
        <w:tc>
          <w:tcPr>
            <w:tcW w:w="3120" w:type="dxa"/>
          </w:tcPr>
          <w:p w14:paraId="33A928F7" w14:textId="77777777" w:rsidR="00F90EAD" w:rsidRDefault="00000000">
            <w:r>
              <w:rPr>
                <w:sz w:val="18"/>
              </w:rPr>
              <w:t>Define maturity levels</w:t>
            </w:r>
          </w:p>
        </w:tc>
        <w:tc>
          <w:tcPr>
            <w:tcW w:w="3120" w:type="dxa"/>
          </w:tcPr>
          <w:p w14:paraId="7B955F6C" w14:textId="77777777" w:rsidR="00F90EAD" w:rsidRDefault="00000000">
            <w:r>
              <w:rPr>
                <w:sz w:val="18"/>
              </w:rPr>
              <w:t>High</w:t>
            </w:r>
          </w:p>
        </w:tc>
        <w:tc>
          <w:tcPr>
            <w:tcW w:w="3120" w:type="dxa"/>
          </w:tcPr>
          <w:p w14:paraId="2C7AAE51" w14:textId="77777777" w:rsidR="00F90EAD" w:rsidRDefault="00000000">
            <w:r>
              <w:rPr>
                <w:sz w:val="18"/>
              </w:rPr>
              <w:t>Classify each system by patient specificity, hierarchy level, temporal updating, data coupling, feedback loop, and clinical integration.</w:t>
            </w:r>
          </w:p>
        </w:tc>
      </w:tr>
      <w:tr w:rsidR="00F90EAD" w14:paraId="5027E6B5" w14:textId="77777777">
        <w:trPr>
          <w:cantSplit/>
          <w:jc w:val="center"/>
        </w:trPr>
        <w:tc>
          <w:tcPr>
            <w:tcW w:w="3120" w:type="dxa"/>
          </w:tcPr>
          <w:p w14:paraId="785696D2" w14:textId="77777777" w:rsidR="00F90EAD" w:rsidRDefault="00000000">
            <w:r>
              <w:rPr>
                <w:sz w:val="18"/>
              </w:rPr>
              <w:t>Strengthen validation standards</w:t>
            </w:r>
          </w:p>
        </w:tc>
        <w:tc>
          <w:tcPr>
            <w:tcW w:w="3120" w:type="dxa"/>
          </w:tcPr>
          <w:p w14:paraId="2CE4FCA3" w14:textId="77777777" w:rsidR="00F90EAD" w:rsidRDefault="00000000">
            <w:r>
              <w:rPr>
                <w:sz w:val="18"/>
              </w:rPr>
              <w:t>High</w:t>
            </w:r>
          </w:p>
        </w:tc>
        <w:tc>
          <w:tcPr>
            <w:tcW w:w="3120" w:type="dxa"/>
          </w:tcPr>
          <w:p w14:paraId="67BCC6EA" w14:textId="77777777" w:rsidR="00F90EAD" w:rsidRDefault="00000000">
            <w:r>
              <w:rPr>
                <w:sz w:val="18"/>
              </w:rPr>
              <w:t>Require internal/external validation, sensitivity or uncertainty analysis, and clear validation datasets where applicable.</w:t>
            </w:r>
          </w:p>
        </w:tc>
      </w:tr>
      <w:tr w:rsidR="00F90EAD" w14:paraId="42F74A1F" w14:textId="77777777">
        <w:trPr>
          <w:cantSplit/>
          <w:jc w:val="center"/>
        </w:trPr>
        <w:tc>
          <w:tcPr>
            <w:tcW w:w="3120" w:type="dxa"/>
          </w:tcPr>
          <w:p w14:paraId="25CA9695" w14:textId="77777777" w:rsidR="00F90EAD" w:rsidRDefault="00000000">
            <w:r>
              <w:rPr>
                <w:sz w:val="18"/>
              </w:rPr>
              <w:t>Build interoperable data infrastructure</w:t>
            </w:r>
          </w:p>
        </w:tc>
        <w:tc>
          <w:tcPr>
            <w:tcW w:w="3120" w:type="dxa"/>
          </w:tcPr>
          <w:p w14:paraId="67FF8A06" w14:textId="77777777" w:rsidR="00F90EAD" w:rsidRDefault="00000000">
            <w:r>
              <w:rPr>
                <w:sz w:val="18"/>
              </w:rPr>
              <w:t>High</w:t>
            </w:r>
          </w:p>
        </w:tc>
        <w:tc>
          <w:tcPr>
            <w:tcW w:w="3120" w:type="dxa"/>
          </w:tcPr>
          <w:p w14:paraId="515EF559" w14:textId="77777777" w:rsidR="00F90EAD" w:rsidRDefault="00000000">
            <w:r>
              <w:rPr>
                <w:sz w:val="18"/>
              </w:rPr>
              <w:t>Report use of FHIR, HL7, DICOM, OMOP, ontologies, and data-governance mechanisms when relevant.</w:t>
            </w:r>
          </w:p>
        </w:tc>
      </w:tr>
      <w:tr w:rsidR="00F90EAD" w14:paraId="3BA44D7F" w14:textId="77777777">
        <w:trPr>
          <w:cantSplit/>
          <w:jc w:val="center"/>
        </w:trPr>
        <w:tc>
          <w:tcPr>
            <w:tcW w:w="3120" w:type="dxa"/>
          </w:tcPr>
          <w:p w14:paraId="23E36B98" w14:textId="77777777" w:rsidR="00F90EAD" w:rsidRDefault="00000000">
            <w:r>
              <w:rPr>
                <w:sz w:val="18"/>
              </w:rPr>
              <w:t>Create benchmark and reporting supplements</w:t>
            </w:r>
          </w:p>
        </w:tc>
        <w:tc>
          <w:tcPr>
            <w:tcW w:w="3120" w:type="dxa"/>
          </w:tcPr>
          <w:p w14:paraId="66A36202" w14:textId="77777777" w:rsidR="00F90EAD" w:rsidRDefault="00000000">
            <w:r>
              <w:rPr>
                <w:sz w:val="18"/>
              </w:rPr>
              <w:t>Medium</w:t>
            </w:r>
          </w:p>
        </w:tc>
        <w:tc>
          <w:tcPr>
            <w:tcW w:w="3120" w:type="dxa"/>
          </w:tcPr>
          <w:p w14:paraId="24F3E4FC" w14:textId="77777777" w:rsidR="00F90EAD" w:rsidRDefault="00000000">
            <w:r>
              <w:rPr>
                <w:sz w:val="18"/>
              </w:rPr>
              <w:t>Provide row-level extraction tables and plotting datasets for Figure 2 and the application/validation maps.</w:t>
            </w:r>
          </w:p>
        </w:tc>
      </w:tr>
      <w:tr w:rsidR="00F90EAD" w14:paraId="3A20BBC6" w14:textId="77777777">
        <w:trPr>
          <w:cantSplit/>
          <w:jc w:val="center"/>
        </w:trPr>
        <w:tc>
          <w:tcPr>
            <w:tcW w:w="3120" w:type="dxa"/>
          </w:tcPr>
          <w:p w14:paraId="293DD296" w14:textId="77777777" w:rsidR="00F90EAD" w:rsidRDefault="00000000">
            <w:r>
              <w:rPr>
                <w:sz w:val="18"/>
              </w:rPr>
              <w:t>Study workflow and governance</w:t>
            </w:r>
          </w:p>
        </w:tc>
        <w:tc>
          <w:tcPr>
            <w:tcW w:w="3120" w:type="dxa"/>
          </w:tcPr>
          <w:p w14:paraId="43C488FA" w14:textId="77777777" w:rsidR="00F90EAD" w:rsidRDefault="00000000">
            <w:r>
              <w:rPr>
                <w:sz w:val="18"/>
              </w:rPr>
              <w:t>Medium</w:t>
            </w:r>
          </w:p>
        </w:tc>
        <w:tc>
          <w:tcPr>
            <w:tcW w:w="3120" w:type="dxa"/>
          </w:tcPr>
          <w:p w14:paraId="65C7B968" w14:textId="77777777" w:rsidR="00F90EAD" w:rsidRDefault="00000000">
            <w:r>
              <w:rPr>
                <w:sz w:val="18"/>
              </w:rPr>
              <w:t>Evaluate clinician trust, liability, consent, bias, interpretability, and implementation burden.</w:t>
            </w:r>
          </w:p>
        </w:tc>
      </w:tr>
      <w:tr w:rsidR="00F90EAD" w14:paraId="02BAA288" w14:textId="77777777">
        <w:trPr>
          <w:cantSplit/>
          <w:jc w:val="center"/>
        </w:trPr>
        <w:tc>
          <w:tcPr>
            <w:tcW w:w="3120" w:type="dxa"/>
          </w:tcPr>
          <w:p w14:paraId="14D0717A" w14:textId="77777777" w:rsidR="00F90EAD" w:rsidRDefault="00000000">
            <w:r>
              <w:rPr>
                <w:sz w:val="18"/>
              </w:rPr>
              <w:t>Move toward prospective evidence</w:t>
            </w:r>
          </w:p>
        </w:tc>
        <w:tc>
          <w:tcPr>
            <w:tcW w:w="3120" w:type="dxa"/>
          </w:tcPr>
          <w:p w14:paraId="1B9E00EE" w14:textId="77777777" w:rsidR="00F90EAD" w:rsidRDefault="00000000">
            <w:r>
              <w:rPr>
                <w:sz w:val="18"/>
              </w:rPr>
              <w:t>High</w:t>
            </w:r>
          </w:p>
        </w:tc>
        <w:tc>
          <w:tcPr>
            <w:tcW w:w="3120" w:type="dxa"/>
          </w:tcPr>
          <w:p w14:paraId="1796795D" w14:textId="77777777" w:rsidR="00F90EAD" w:rsidRDefault="00000000">
            <w:r>
              <w:rPr>
                <w:sz w:val="18"/>
              </w:rPr>
              <w:t>Distinguish conceptual promise from retrospective validation, prospective studies, and deployed clinical workflows.</w:t>
            </w:r>
          </w:p>
        </w:tc>
      </w:tr>
    </w:tbl>
    <w:p w14:paraId="4CF9E24B" w14:textId="77777777" w:rsidR="00F90EAD" w:rsidRDefault="00F90EAD"/>
    <w:p w14:paraId="296B3B81" w14:textId="77777777" w:rsidR="00F90EAD" w:rsidRDefault="00000000">
      <w:r>
        <w:t>Figure 2 can be generated from a row-level plotting dataset using the current extraction fields: article/study ID, author-year, primary terminology from RQ1 fields, construct type coded by the meta-review team, hierarchy level from RQ1_Hierarchy_Level, domain from RQ4_Healthcare_Domain, number of included studies, temporal orientation from RQ2_Temporal_Orientation, data coupling from RQ2_Data_Coupling_Mode, and an autonomy or decision-support score derived from RQ4_Function_Category.</w:t>
      </w:r>
    </w:p>
    <w:p w14:paraId="6F60145E" w14:textId="102293C9" w:rsidR="00FD5FCE" w:rsidRDefault="00FD5FCE" w:rsidP="002B7A85">
      <w:pPr>
        <w:pStyle w:val="Heading2"/>
      </w:pPr>
      <w:r>
        <w:t>Discussion</w:t>
      </w:r>
    </w:p>
    <w:p w14:paraId="11D68FB2" w14:textId="77777777" w:rsidR="00F90EAD" w:rsidRDefault="00000000">
      <w:r>
        <w:t>The extracted literature supports a multidimensional framework for the digital patient spectrum. The most useful axes appear to be the modeled biological scale, degree of patient specificity, temporal orientation, data-coupling mode, modeling approach, function, and maturity. A definition based only on the phrase digital twin is too coarse for healthcare, where a static image-based simulation, an in silico trial cohort, and a continuously updated patient replica can all be described with adjacent language.</w:t>
      </w:r>
    </w:p>
    <w:p w14:paraId="6F534C3E" w14:textId="77777777" w:rsidR="00F90EAD" w:rsidRDefault="00000000">
      <w:r>
        <w:lastRenderedPageBreak/>
        <w:t>The central translational gap is not lack of enthusiasm; it is lack of operational specificity. Reviews repeatedly describe personalized care, prediction, and treatment planning, but fidelity metrics, validation datasets, uncertainty analysis, reproducibility, and clinical workflow integration are reported inconsistently. This makes it difficult to judge whether a model is a conceptual prototype, a research simulation, a decision-support artifact, or an operational patient twin.</w:t>
      </w:r>
    </w:p>
    <w:p w14:paraId="69A0E9A5" w14:textId="77777777" w:rsidR="00F90EAD" w:rsidRDefault="00000000">
      <w:r>
        <w:t>Future work should prioritize a reporting and appraisal standard for digital patient reviews and primary models. At minimum, studies should report the physical referent, data sources, update frequency, coupling direction, model architecture, validation strategy, uncertainty handling, interoperability standards, governance assumptions, and maturity level. Such a standard would help separate useful analogies from clinically ready infrastructure.</w:t>
      </w:r>
    </w:p>
    <w:p w14:paraId="5D305A32" w14:textId="77777777" w:rsidR="00F90EAD" w:rsidRDefault="00000000">
      <w:r>
        <w:t>This draft should be treated as preliminary. The counts are descriptive summaries from the current extraction workbook, not pooled effect estimates, and some quality appraisal fields remain incomplete. Duplicate reconciliation, reference-manager cleanup, and final team adjudication should precede journal submission.</w:t>
      </w:r>
    </w:p>
    <w:p w14:paraId="41BDE984" w14:textId="765535F9" w:rsidR="00FD5FCE" w:rsidRDefault="00FD5FCE" w:rsidP="002B7A85">
      <w:pPr>
        <w:pStyle w:val="Heading2"/>
      </w:pPr>
      <w:r>
        <w:t>Method</w:t>
      </w:r>
      <w:r w:rsidR="00D15BB5">
        <w:t>s</w:t>
      </w:r>
    </w:p>
    <w:p w14:paraId="230128A7" w14:textId="77777777" w:rsidR="00F90EAD" w:rsidRDefault="00000000">
      <w:r>
        <w:t>We conducted a systematic review of reviews, following the PROSPERO protocol for a meta-review of digital patient frameworks in healthcare. The review question asked how the digital patient spectrum, including digital twins, virtual patients, in silico patients, and synthetic patients, is conceptualized, constructed, validated, applied, and limited across healthcare literature.</w:t>
      </w:r>
    </w:p>
    <w:p w14:paraId="7E814523" w14:textId="77777777" w:rsidR="00F90EAD" w:rsidRDefault="00000000">
      <w:r>
        <w:t>Searches were planned for Web of Science, PubMed, IEEE Xplore, Google Scholar, and grey-literature sources including arXiv, bioRxiv, and medRxiv. The search combined terms for digital twin and adjacent constructs with healthcare terms and review-methodology terms. Eligibility was restricted to English-language reviews from 2020 onward that addressed patient-linked physiological, biomechanical, or biological models; primary studies and non-patient digital twins of hospitals, logistics, infrastructure, or devices without patient-level modeling were excluded.</w:t>
      </w:r>
    </w:p>
    <w:p w14:paraId="404651F1" w14:textId="77777777" w:rsidR="00F90EAD" w:rsidRDefault="00000000">
      <w:r>
        <w:t>Data extraction used a standardized CADIMA-aligned form organized by the six review questions. Extracted fields included bibliographic data, conceptual definitions, related constructs, hierarchy level, model type, data sources, coupling mode, temporal orientation, modeling approach, standards, validation method, application domain, function, maturity, limitations, barriers, future priorities, and reviewer/quality-appraisal fields. Full-text PDFs in the study-selection folder were available for context checks against the extraction sheet.</w:t>
      </w:r>
    </w:p>
    <w:p w14:paraId="64C2588D" w14:textId="77777777" w:rsidR="00F90EAD" w:rsidRDefault="00000000">
      <w:r>
        <w:t>For manuscript development, the extraction framework maps directly to the figure and table plan: PRISMA documents selection, the domain/hierarchy map clarifies conceptual location, the architecture map summarizes data-to-model pipelines, the application map organizes clinical use cases, the validation landscape evaluates fidelity and evidence strength, and the barrier roadmap converts recurring limitations into recommendations.</w:t>
      </w:r>
    </w:p>
    <w:p w14:paraId="0ECBF670" w14:textId="77777777" w:rsidR="00F90EAD" w:rsidRDefault="00000000">
      <w:r>
        <w:lastRenderedPageBreak/>
        <w:t>Synthesis was narrative and descriptive. No quantitative pooling was planned. We summarized coded themes across conceptual framing, construction pipelines, validation and fidelity, application domains, barriers, and standardization priorities.</w:t>
      </w:r>
    </w:p>
    <w:p w14:paraId="3D206709" w14:textId="47D8862E" w:rsidR="00FD5FCE" w:rsidRDefault="00270D7A" w:rsidP="002B7A85">
      <w:pPr>
        <w:pStyle w:val="Heading2"/>
      </w:pPr>
      <w:r>
        <w:t>Data Availability</w:t>
      </w:r>
    </w:p>
    <w:p w14:paraId="41B9D8AA" w14:textId="77777777" w:rsidR="00F90EAD" w:rsidRDefault="00000000">
      <w:r>
        <w:t>The data extraction workbook, protocol draft, and full-text PDF archive are stored in the project folder. Final cleaned extraction data, search strategies, and supplementary tables should be shared with the submitted manuscript after duplicate reconciliation and quality-appraisal review.</w:t>
      </w:r>
    </w:p>
    <w:p w14:paraId="642AD955" w14:textId="10F5B488" w:rsidR="00270D7A" w:rsidRDefault="00270D7A" w:rsidP="002B7A85">
      <w:pPr>
        <w:pStyle w:val="Heading2"/>
      </w:pPr>
      <w:r>
        <w:t>References</w:t>
      </w:r>
    </w:p>
    <w:p w14:paraId="4A6E7342" w14:textId="3B8FC7C4" w:rsidR="00F90EAD" w:rsidRDefault="00F90EAD"/>
    <w:sectPr w:rsidR="00F90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E0"/>
    <w:rsid w:val="00224A81"/>
    <w:rsid w:val="00270D7A"/>
    <w:rsid w:val="002B7A85"/>
    <w:rsid w:val="00625663"/>
    <w:rsid w:val="00625A15"/>
    <w:rsid w:val="00655C0D"/>
    <w:rsid w:val="0066583E"/>
    <w:rsid w:val="007258B2"/>
    <w:rsid w:val="007F7A5B"/>
    <w:rsid w:val="008946BF"/>
    <w:rsid w:val="008C1118"/>
    <w:rsid w:val="008D3523"/>
    <w:rsid w:val="008E5EC0"/>
    <w:rsid w:val="009A548A"/>
    <w:rsid w:val="009D1B38"/>
    <w:rsid w:val="00B5517D"/>
    <w:rsid w:val="00D15BB5"/>
    <w:rsid w:val="00D577D7"/>
    <w:rsid w:val="00D9339D"/>
    <w:rsid w:val="00DE4EE0"/>
    <w:rsid w:val="00E961A9"/>
    <w:rsid w:val="00ED1A3D"/>
    <w:rsid w:val="00EE19DF"/>
    <w:rsid w:val="00F02CEA"/>
    <w:rsid w:val="00F54558"/>
    <w:rsid w:val="00F90EAD"/>
    <w:rsid w:val="00FD5FCE"/>
    <w:rsid w:val="00FF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55B7"/>
  <w15:chartTrackingRefBased/>
  <w15:docId w15:val="{6DAB600B-78B3-2549-8987-FB2CE7DA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9D"/>
    <w:rPr>
      <w:rFonts w:ascii="Arial" w:hAnsi="Arial"/>
      <w:sz w:val="22"/>
    </w:rPr>
  </w:style>
  <w:style w:type="paragraph" w:styleId="Heading1">
    <w:name w:val="heading 1"/>
    <w:basedOn w:val="Normal"/>
    <w:next w:val="Normal"/>
    <w:link w:val="Heading1Char"/>
    <w:uiPriority w:val="9"/>
    <w:qFormat/>
    <w:rsid w:val="00DE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A85"/>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DE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A85"/>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DE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EE0"/>
    <w:rPr>
      <w:rFonts w:eastAsiaTheme="majorEastAsia" w:cstheme="majorBidi"/>
      <w:color w:val="272727" w:themeColor="text1" w:themeTint="D8"/>
    </w:rPr>
  </w:style>
  <w:style w:type="paragraph" w:styleId="Title">
    <w:name w:val="Title"/>
    <w:basedOn w:val="Normal"/>
    <w:next w:val="Normal"/>
    <w:link w:val="TitleChar"/>
    <w:uiPriority w:val="10"/>
    <w:qFormat/>
    <w:rsid w:val="00DE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EE0"/>
    <w:pPr>
      <w:spacing w:before="160"/>
      <w:jc w:val="center"/>
    </w:pPr>
    <w:rPr>
      <w:i/>
      <w:iCs/>
      <w:color w:val="404040" w:themeColor="text1" w:themeTint="BF"/>
    </w:rPr>
  </w:style>
  <w:style w:type="character" w:customStyle="1" w:styleId="QuoteChar">
    <w:name w:val="Quote Char"/>
    <w:basedOn w:val="DefaultParagraphFont"/>
    <w:link w:val="Quote"/>
    <w:uiPriority w:val="29"/>
    <w:rsid w:val="00DE4EE0"/>
    <w:rPr>
      <w:i/>
      <w:iCs/>
      <w:color w:val="404040" w:themeColor="text1" w:themeTint="BF"/>
    </w:rPr>
  </w:style>
  <w:style w:type="paragraph" w:styleId="ListParagraph">
    <w:name w:val="List Paragraph"/>
    <w:basedOn w:val="Normal"/>
    <w:uiPriority w:val="34"/>
    <w:qFormat/>
    <w:rsid w:val="00DE4EE0"/>
    <w:pPr>
      <w:ind w:left="720"/>
      <w:contextualSpacing/>
    </w:pPr>
  </w:style>
  <w:style w:type="character" w:styleId="IntenseEmphasis">
    <w:name w:val="Intense Emphasis"/>
    <w:basedOn w:val="DefaultParagraphFont"/>
    <w:uiPriority w:val="21"/>
    <w:qFormat/>
    <w:rsid w:val="00DE4EE0"/>
    <w:rPr>
      <w:i/>
      <w:iCs/>
      <w:color w:val="0F4761" w:themeColor="accent1" w:themeShade="BF"/>
    </w:rPr>
  </w:style>
  <w:style w:type="paragraph" w:styleId="IntenseQuote">
    <w:name w:val="Intense Quote"/>
    <w:basedOn w:val="Normal"/>
    <w:next w:val="Normal"/>
    <w:link w:val="IntenseQuoteChar"/>
    <w:uiPriority w:val="30"/>
    <w:qFormat/>
    <w:rsid w:val="00DE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EE0"/>
    <w:rPr>
      <w:i/>
      <w:iCs/>
      <w:color w:val="0F4761" w:themeColor="accent1" w:themeShade="BF"/>
    </w:rPr>
  </w:style>
  <w:style w:type="character" w:styleId="IntenseReference">
    <w:name w:val="Intense Reference"/>
    <w:basedOn w:val="DefaultParagraphFont"/>
    <w:uiPriority w:val="32"/>
    <w:qFormat/>
    <w:rsid w:val="00DE4EE0"/>
    <w:rPr>
      <w:b/>
      <w:bCs/>
      <w:smallCaps/>
      <w:color w:val="0F4761" w:themeColor="accent1" w:themeShade="BF"/>
      <w:spacing w:val="5"/>
    </w:rPr>
  </w:style>
  <w:style w:type="paragraph" w:styleId="NoSpacing">
    <w:name w:val="No Spacing"/>
    <w:uiPriority w:val="1"/>
    <w:qFormat/>
    <w:rsid w:val="007258B2"/>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2450</Words>
  <Characters>17229</Characters>
  <Application>Microsoft Office Word</Application>
  <DocSecurity>0</DocSecurity>
  <Lines>478</Lines>
  <Paragraphs>249</Paragraphs>
  <ScaleCrop>false</ScaleCrop>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Ghorbanniahassankiad, Arash</dc:creator>
  <cp:keywords/>
  <dc:description/>
  <cp:lastModifiedBy>Ghorbanniahassankiad, Arash</cp:lastModifiedBy>
  <cp:revision>22</cp:revision>
  <dcterms:created xsi:type="dcterms:W3CDTF">2026-04-03T03:03:00Z</dcterms:created>
  <dcterms:modified xsi:type="dcterms:W3CDTF">2026-06-18T15:28:00Z</dcterms:modified>
</cp:coreProperties>
</file>