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Calibri" w:hAnsi="Calibri"/>
          <w:b/>
          <w:color w:val="8A6A18"/>
          <w:sz w:val="21"/>
        </w:rPr>
        <w:t>COURSE PLANNING GUIDE</w:t>
      </w:r>
    </w:p>
    <w:p>
      <w:pPr>
        <w:spacing w:before="0" w:after="160"/>
        <w:jc w:val="center"/>
      </w:pPr>
      <w:r>
        <w:rPr>
          <w:rFonts w:ascii="Calibri" w:hAnsi="Calibri"/>
          <w:b/>
          <w:color w:val="1F3A5F"/>
          <w:sz w:val="54"/>
        </w:rPr>
        <w:t>From Cell Physiology to Modular EV Biogenesis Simulation</w:t>
      </w:r>
    </w:p>
    <w:p>
      <w:pPr>
        <w:spacing w:before="0" w:after="360"/>
        <w:jc w:val="center"/>
      </w:pPr>
      <w:r>
        <w:rPr>
          <w:rFonts w:ascii="Calibri" w:hAnsi="Calibri"/>
          <w:color w:val="2E74B5"/>
          <w:sz w:val="29"/>
        </w:rPr>
        <w:t>A beginner-first computational systems biology course built around electro-exocytosis</w:t>
      </w:r>
    </w:p>
    <w:p>
      <w:pPr>
        <w:spacing w:before="0" w:after="360"/>
        <w:jc w:val="center"/>
      </w:pPr>
      <w:r>
        <w:rPr>
          <w:rFonts w:ascii="Calibri" w:hAnsi="Calibri"/>
          <w:i/>
          <w:color w:val="5B6573"/>
          <w:sz w:val="21"/>
        </w:rPr>
        <w:t>Source review: BIEN5700 Systems Physiology, BIEN6931 Modeling and Simulations of Integrated Cellular Systems, the EV-biogenesis manuscript, and the executable electroexo model</w:t>
      </w:r>
    </w:p>
    <w:p>
      <w:pPr>
        <w:spacing w:before="80" w:after="100"/>
        <w:jc w:val="center"/>
      </w:pPr>
      <w:r>
        <w:drawing>
          <wp:inline xmlns:a="http://schemas.openxmlformats.org/drawingml/2006/main" xmlns:pic="http://schemas.openxmlformats.org/drawingml/2006/picture">
            <wp:extent cx="5623560" cy="3164934"/>
            <wp:docPr id="1" name="Picture 1" descr="Integrated computational framework connecting nsPEF exposure, membrane electrodynamics, ion and calcium dynamics, repair, extracellular-vesicle biogenesis, cargo, injury, and manufacturing quality." title="Integrated nsPEF-to-EV framework"/>
            <wp:cNvGraphicFramePr>
              <a:graphicFrameLocks noChangeAspect="1"/>
            </wp:cNvGraphicFramePr>
            <a:graphic>
              <a:graphicData uri="http://schemas.openxmlformats.org/drawingml/2006/picture">
                <pic:pic>
                  <pic:nvPicPr>
                    <pic:cNvPr id="0" name="fig01.png"/>
                    <pic:cNvPicPr/>
                  </pic:nvPicPr>
                  <pic:blipFill>
                    <a:blip r:embed="rId13"/>
                    <a:stretch>
                      <a:fillRect/>
                    </a:stretch>
                  </pic:blipFill>
                  <pic:spPr>
                    <a:xfrm>
                      <a:off x="0" y="0"/>
                      <a:ext cx="5623560" cy="3164934"/>
                    </a:xfrm>
                    <a:prstGeom prst="rect"/>
                  </pic:spPr>
                </pic:pic>
              </a:graphicData>
            </a:graphic>
          </wp:inline>
        </w:drawing>
      </w:r>
    </w:p>
    <w:p>
      <w:pPr>
        <w:pStyle w:val="CourseCaption"/>
        <w:jc w:val="center"/>
      </w:pPr>
      <w:r>
        <w:t>The course starts with familiar cell physiology and modeling patterns, then earns its way to this integrated nsPEF-to-EV framework.</w:t>
      </w:r>
    </w:p>
    <w:p>
      <w:pPr>
        <w:spacing w:before="200"/>
        <w:jc w:val="center"/>
      </w:pPr>
      <w:r>
        <w:rPr>
          <w:rFonts w:ascii="Calibri" w:hAnsi="Calibri"/>
          <w:b/>
          <w:color w:val="5B6573"/>
          <w:sz w:val="20"/>
        </w:rPr>
        <w:t>Prepared for long-range course development | August 2026</w:t>
      </w:r>
    </w:p>
    <w:p>
      <w:r>
        <w:br w:type="page"/>
      </w:r>
    </w:p>
    <w:p>
      <w:pPr>
        <w:pStyle w:val="Heading1"/>
        <w:keepNext/>
      </w:pPr>
      <w:r>
        <w:t>1. Executive recommendation</w:t>
      </w:r>
    </w:p>
    <w:tbl>
      <w:tblPr>
        <w:tblW w:type="dxa" w:w="9360"/>
        <w:jc w:val="left"/>
        <w:tblLayout w:type="fixed"/>
        <w:tblLook w:firstColumn="1" w:firstRow="1" w:lastColumn="0" w:lastRow="0" w:noHBand="0" w:noVBand="1" w:val="04A0"/>
        <w:tblInd w:w="120" w:type="dxa"/>
        <w:tblBorders>
          <w:top w:val="single" w:sz="5" w:space="0" w:color="2E74B5"/>
          <w:left w:val="single" w:sz="5" w:space="0" w:color="2E74B5"/>
          <w:bottom w:val="single" w:sz="5" w:space="0" w:color="2E74B5"/>
          <w:right w:val="single" w:sz="5" w:space="0" w:color="2E74B5"/>
          <w:insideH w:val="single" w:sz="5" w:space="0" w:color="2E74B5"/>
          <w:insideV w:val="single" w:sz="5" w:space="0" w:color="2E74B5"/>
        </w:tblBorders>
      </w:tblPr>
      <w:tblGrid>
        <w:gridCol w:w="9360"/>
      </w:tblGrid>
      <w:tr>
        <w:trPr>
          <w:trHeight w:hRule="atLeast"/>
          <w:tblHeader w:val="true"/>
          <w:cantSplit/>
        </w:trPr>
        <w:tc>
          <w:tcPr>
            <w:tcW w:type="dxa" w:w="9360"/>
            <w:vAlign w:val="center"/>
            <w:tcMar>
              <w:top w:w="80" w:type="dxa"/>
              <w:start w:w="120" w:type="dxa"/>
              <w:bottom w:w="80" w:type="dxa"/>
              <w:end w:w="120" w:type="dxa"/>
            </w:tcMar>
            <w:shd w:fill="F4F6F9"/>
          </w:tcPr>
          <w:p>
            <w:pPr>
              <w:spacing w:before="40" w:after="40" w:line="276" w:lineRule="auto"/>
            </w:pPr>
            <w:r>
              <w:rPr>
                <w:rFonts w:ascii="Calibri" w:hAnsi="Calibri"/>
                <w:b/>
                <w:color w:val="2E74B5"/>
                <w:sz w:val="21"/>
              </w:rPr>
              <w:t xml:space="preserve">Recommended structure: </w:t>
            </w:r>
            <w:r>
              <w:rPr>
                <w:rFonts w:ascii="Calibri" w:hAnsi="Calibri"/>
                <w:color w:val="111827"/>
                <w:sz w:val="21"/>
              </w:rPr>
              <w:t>Use a 14-week beginner-first course for the full offering, and retain the existing 10-session slide sequence as a compressed seminar version. The full EV framework should appear only after students can explain a compartment, a mass balance, a membrane voltage, and an exposure-response chain in plain language.</w:t>
            </w:r>
          </w:p>
        </w:tc>
      </w:tr>
    </w:tbl>
    <w:p>
      <w:pPr>
        <w:spacing w:before="80" w:after="80" w:line="240" w:lineRule="auto"/>
      </w:pPr>
      <w:r>
        <w:rPr>
          <w:rFonts w:ascii="Calibri" w:hAnsi="Calibri"/>
          <w:i/>
          <w:color w:val="5B6573"/>
          <w:sz w:val="17"/>
        </w:rPr>
      </w:r>
    </w:p>
    <w:p>
      <w:pPr>
        <w:spacing w:before="0" w:after="120" w:line="300" w:lineRule="auto"/>
      </w:pPr>
      <w:r>
        <w:rPr>
          <w:rFonts w:ascii="Calibri" w:hAnsi="Calibri"/>
          <w:color w:val="111827"/>
          <w:sz w:val="22"/>
        </w:rPr>
        <w:t>The reviewed materials support a coherent progression from physiology to modeling and then to the EV-biogenesis application. The strongest teaching spine is not the order of the manuscript. It is a repeated sequence: biological question, system boundary, stocks and flows, governing balance, simulation, and interpretation.</w:t>
      </w:r>
    </w:p>
    <w:tbl>
      <w:tblPr>
        <w:tblW w:type="dxa" w:w="9360"/>
        <w:tblLayout w:type="fixed"/>
        <w:tblLook w:firstColumn="1" w:firstRow="1" w:lastColumn="0" w:lastRow="0" w:noHBand="0" w:noVBand="1" w:val="04A0"/>
        <w:jc w:val="left"/>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2400"/>
        <w:gridCol w:w="900"/>
        <w:gridCol w:w="6060"/>
      </w:tblGrid>
      <w:tr>
        <w:trPr>
          <w:trHeight w:hRule="atLeast"/>
          <w:tblHeader w:val="true"/>
          <w:cantSplit/>
        </w:trPr>
        <w:tc>
          <w:tcPr>
            <w:tcW w:type="dxa" w:w="2400"/>
            <w:vAlign w:val="center"/>
            <w:tcMar>
              <w:top w:w="80" w:type="dxa"/>
              <w:start w:w="120" w:type="dxa"/>
              <w:bottom w:w="80" w:type="dxa"/>
              <w:end w:w="120" w:type="dxa"/>
            </w:tcMar>
            <w:shd w:fill="E8EEF5"/>
          </w:tcPr>
          <w:p>
            <w:pPr>
              <w:spacing w:before="20" w:after="20" w:line="252" w:lineRule="auto"/>
            </w:pPr>
            <w:r>
              <w:rPr>
                <w:rFonts w:ascii="Calibri" w:hAnsi="Calibri"/>
                <w:b/>
                <w:color w:val="1F3A5F"/>
                <w:sz w:val="19"/>
              </w:rPr>
              <w:t>Course block</w:t>
            </w:r>
          </w:p>
        </w:tc>
        <w:tc>
          <w:tcPr>
            <w:tcW w:type="dxa" w:w="900"/>
            <w:vAlign w:val="center"/>
            <w:tcMar>
              <w:top w:w="80" w:type="dxa"/>
              <w:start w:w="120" w:type="dxa"/>
              <w:bottom w:w="80" w:type="dxa"/>
              <w:end w:w="120" w:type="dxa"/>
            </w:tcMar>
            <w:shd w:fill="E8EEF5"/>
          </w:tcPr>
          <w:p>
            <w:pPr>
              <w:spacing w:before="20" w:after="20" w:line="252" w:lineRule="auto"/>
            </w:pPr>
            <w:r>
              <w:rPr>
                <w:rFonts w:ascii="Calibri" w:hAnsi="Calibri"/>
                <w:b/>
                <w:color w:val="1F3A5F"/>
                <w:sz w:val="19"/>
              </w:rPr>
              <w:t>Weeks</w:t>
            </w:r>
          </w:p>
        </w:tc>
        <w:tc>
          <w:tcPr>
            <w:tcW w:type="dxa" w:w="6060"/>
            <w:vAlign w:val="center"/>
            <w:tcMar>
              <w:top w:w="80" w:type="dxa"/>
              <w:start w:w="120" w:type="dxa"/>
              <w:bottom w:w="80" w:type="dxa"/>
              <w:end w:w="120" w:type="dxa"/>
            </w:tcMar>
            <w:shd w:fill="E8EEF5"/>
          </w:tcPr>
          <w:p>
            <w:pPr>
              <w:spacing w:before="20" w:after="20" w:line="252" w:lineRule="auto"/>
            </w:pPr>
            <w:r>
              <w:rPr>
                <w:rFonts w:ascii="Calibri" w:hAnsi="Calibri"/>
                <w:b/>
                <w:color w:val="1F3A5F"/>
                <w:sz w:val="19"/>
              </w:rPr>
              <w:t>Purpose</w:t>
            </w:r>
          </w:p>
        </w:tc>
      </w:tr>
      <w:tr>
        <w:trPr>
          <w:cantSplit/>
          <w:trHeight w:hRule="atLeast"/>
        </w:trPr>
        <w:tc>
          <w:tcPr>
            <w:tcW w:type="dxa" w:w="2400"/>
            <w:vAlign w:val="center"/>
            <w:tcMar>
              <w:top w:w="80" w:type="dxa"/>
              <w:start w:w="120" w:type="dxa"/>
              <w:bottom w:w="80" w:type="dxa"/>
              <w:end w:w="120" w:type="dxa"/>
            </w:tcMar>
          </w:tcPr>
          <w:p>
            <w:pPr>
              <w:spacing w:before="20" w:after="20" w:line="259" w:lineRule="auto"/>
            </w:pPr>
            <w:r>
              <w:rPr>
                <w:rFonts w:ascii="Calibri" w:hAnsi="Calibri"/>
                <w:b/>
                <w:color w:val="111827"/>
                <w:sz w:val="19"/>
              </w:rPr>
              <w:t>I. Biological and modeling grammar</w:t>
            </w:r>
          </w:p>
        </w:tc>
        <w:tc>
          <w:tcPr>
            <w:tcW w:type="dxa" w:w="900"/>
            <w:vAlign w:val="center"/>
            <w:tcMar>
              <w:top w:w="80" w:type="dxa"/>
              <w:start w:w="120" w:type="dxa"/>
              <w:bottom w:w="80" w:type="dxa"/>
              <w:end w:w="120" w:type="dxa"/>
            </w:tcMar>
          </w:tcPr>
          <w:p>
            <w:pPr>
              <w:spacing w:before="20" w:after="20" w:line="259" w:lineRule="auto"/>
            </w:pPr>
            <w:r>
              <w:rPr>
                <w:rFonts w:ascii="Calibri" w:hAnsi="Calibri"/>
                <w:b w:val="0"/>
                <w:color w:val="111827"/>
                <w:sz w:val="19"/>
              </w:rPr>
              <w:t>1-7</w:t>
            </w:r>
          </w:p>
        </w:tc>
        <w:tc>
          <w:tcPr>
            <w:tcW w:type="dxa" w:w="6060"/>
            <w:vAlign w:val="center"/>
            <w:tcMar>
              <w:top w:w="80" w:type="dxa"/>
              <w:start w:w="120" w:type="dxa"/>
              <w:bottom w:w="80" w:type="dxa"/>
              <w:end w:w="120" w:type="dxa"/>
            </w:tcMar>
          </w:tcPr>
          <w:p>
            <w:pPr>
              <w:spacing w:before="20" w:after="20" w:line="259" w:lineRule="auto"/>
            </w:pPr>
            <w:r>
              <w:rPr>
                <w:rFonts w:ascii="Calibri" w:hAnsi="Calibri"/>
                <w:b w:val="0"/>
                <w:color w:val="111827"/>
                <w:sz w:val="19"/>
              </w:rPr>
              <w:t>Homeostasis, transport, compartments, ODEs, membrane voltage, calcium, and rate laws.</w:t>
            </w:r>
          </w:p>
        </w:tc>
      </w:tr>
      <w:tr>
        <w:trPr>
          <w:cantSplit/>
          <w:trHeight w:hRule="atLeast"/>
        </w:trPr>
        <w:tc>
          <w:tcPr>
            <w:tcW w:type="dxa" w:w="2400"/>
            <w:shd w:fill="FAFBFC"/>
            <w:vAlign w:val="center"/>
            <w:tcMar>
              <w:top w:w="80" w:type="dxa"/>
              <w:start w:w="120" w:type="dxa"/>
              <w:bottom w:w="80" w:type="dxa"/>
              <w:end w:w="120" w:type="dxa"/>
            </w:tcMar>
          </w:tcPr>
          <w:p>
            <w:pPr>
              <w:spacing w:before="20" w:after="20" w:line="259" w:lineRule="auto"/>
            </w:pPr>
            <w:r>
              <w:rPr>
                <w:rFonts w:ascii="Calibri" w:hAnsi="Calibri"/>
                <w:b/>
                <w:color w:val="111827"/>
                <w:sz w:val="19"/>
              </w:rPr>
              <w:t>II. Transferable modeling templates</w:t>
            </w:r>
          </w:p>
        </w:tc>
        <w:tc>
          <w:tcPr>
            <w:tcW w:type="dxa" w:w="90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9"/>
              </w:rPr>
              <w:t>8-9</w:t>
            </w:r>
          </w:p>
        </w:tc>
        <w:tc>
          <w:tcPr>
            <w:tcW w:type="dxa" w:w="60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9"/>
              </w:rPr>
              <w:t>PK/PD, PBPK/PD, physiological flows, variability, and model credibility.</w:t>
            </w:r>
          </w:p>
        </w:tc>
      </w:tr>
      <w:tr>
        <w:trPr>
          <w:cantSplit/>
          <w:trHeight w:hRule="atLeast"/>
        </w:trPr>
        <w:tc>
          <w:tcPr>
            <w:tcW w:type="dxa" w:w="2400"/>
            <w:vAlign w:val="center"/>
            <w:tcMar>
              <w:top w:w="80" w:type="dxa"/>
              <w:start w:w="120" w:type="dxa"/>
              <w:bottom w:w="80" w:type="dxa"/>
              <w:end w:w="120" w:type="dxa"/>
            </w:tcMar>
          </w:tcPr>
          <w:p>
            <w:pPr>
              <w:spacing w:before="20" w:after="20" w:line="259" w:lineRule="auto"/>
            </w:pPr>
            <w:r>
              <w:rPr>
                <w:rFonts w:ascii="Calibri" w:hAnsi="Calibri"/>
                <w:b/>
                <w:color w:val="111827"/>
                <w:sz w:val="19"/>
              </w:rPr>
              <w:t>III. EV-biogenesis capstone</w:t>
            </w:r>
          </w:p>
        </w:tc>
        <w:tc>
          <w:tcPr>
            <w:tcW w:type="dxa" w:w="900"/>
            <w:vAlign w:val="center"/>
            <w:tcMar>
              <w:top w:w="80" w:type="dxa"/>
              <w:start w:w="120" w:type="dxa"/>
              <w:bottom w:w="80" w:type="dxa"/>
              <w:end w:w="120" w:type="dxa"/>
            </w:tcMar>
          </w:tcPr>
          <w:p>
            <w:pPr>
              <w:spacing w:before="20" w:after="20" w:line="259" w:lineRule="auto"/>
            </w:pPr>
            <w:r>
              <w:rPr>
                <w:rFonts w:ascii="Calibri" w:hAnsi="Calibri"/>
                <w:b w:val="0"/>
                <w:color w:val="111827"/>
                <w:sz w:val="19"/>
              </w:rPr>
              <w:t>10-14</w:t>
            </w:r>
          </w:p>
        </w:tc>
        <w:tc>
          <w:tcPr>
            <w:tcW w:type="dxa" w:w="6060"/>
            <w:vAlign w:val="center"/>
            <w:tcMar>
              <w:top w:w="80" w:type="dxa"/>
              <w:start w:w="120" w:type="dxa"/>
              <w:bottom w:w="80" w:type="dxa"/>
              <w:end w:w="120" w:type="dxa"/>
            </w:tcMar>
          </w:tcPr>
          <w:p>
            <w:pPr>
              <w:spacing w:before="20" w:after="20" w:line="259" w:lineRule="auto"/>
            </w:pPr>
            <w:r>
              <w:rPr>
                <w:rFonts w:ascii="Calibri" w:hAnsi="Calibri"/>
                <w:b w:val="0"/>
                <w:color w:val="111827"/>
                <w:sz w:val="19"/>
              </w:rPr>
              <w:t>Walk through the eight electroexo layers, integrate scenarios, and evaluate evidence and limits.</w:t>
            </w:r>
          </w:p>
        </w:tc>
      </w:tr>
    </w:tbl>
    <w:p>
      <w:pPr>
        <w:spacing w:before="80" w:after="80" w:line="240" w:lineRule="auto"/>
      </w:pPr>
      <w:r>
        <w:rPr>
          <w:rFonts w:ascii="Calibri" w:hAnsi="Calibri"/>
          <w:i/>
          <w:color w:val="5B6573"/>
          <w:sz w:val="17"/>
        </w:rPr>
        <w:t>Course blocks are synthesized from the two course syllabi, the manuscript module map, and the current repository examples.</w:t>
      </w:r>
    </w:p>
    <w:p>
      <w:pPr>
        <w:spacing w:before="0" w:after="80" w:line="300" w:lineRule="auto"/>
        <w:numPr>
          <w:ilvl w:val="0"/>
          <w:numId w:val="10"/>
        </w:numPr>
      </w:pPr>
      <w:r>
        <w:rPr>
          <w:rFonts w:ascii="Calibri" w:hAnsi="Calibri"/>
          <w:color w:val="111827"/>
          <w:sz w:val="22"/>
        </w:rPr>
        <w:t>Start with homeostasis and transport, not with code or the manuscript equations.</w:t>
      </w:r>
    </w:p>
    <w:p>
      <w:pPr>
        <w:spacing w:before="0" w:after="80" w:line="300" w:lineRule="auto"/>
        <w:numPr>
          <w:ilvl w:val="0"/>
          <w:numId w:val="10"/>
        </w:numPr>
      </w:pPr>
      <w:r>
        <w:rPr>
          <w:rFonts w:ascii="Calibri" w:hAnsi="Calibri"/>
          <w:color w:val="111827"/>
          <w:sz w:val="22"/>
        </w:rPr>
        <w:t>Introduce ODEs through mass balance and visual stock-flow diagrams; analytical solution methods are optional enrichment.</w:t>
      </w:r>
    </w:p>
    <w:p>
      <w:pPr>
        <w:spacing w:before="0" w:after="80" w:line="300" w:lineRule="auto"/>
        <w:numPr>
          <w:ilvl w:val="0"/>
          <w:numId w:val="10"/>
        </w:numPr>
      </w:pPr>
      <w:r>
        <w:rPr>
          <w:rFonts w:ascii="Calibri" w:hAnsi="Calibri"/>
          <w:color w:val="111827"/>
          <w:sz w:val="22"/>
        </w:rPr>
        <w:t>Use PK/PD and PBPK/PD as modeling templates for staged inputs, compartments, delayed effects, and physiological flows.</w:t>
      </w:r>
    </w:p>
    <w:p>
      <w:pPr>
        <w:spacing w:before="0" w:after="80" w:line="300" w:lineRule="auto"/>
        <w:numPr>
          <w:ilvl w:val="0"/>
          <w:numId w:val="10"/>
        </w:numPr>
      </w:pPr>
      <w:r>
        <w:rPr>
          <w:rFonts w:ascii="Calibri" w:hAnsi="Calibri"/>
          <w:color w:val="111827"/>
          <w:sz w:val="22"/>
        </w:rPr>
        <w:t>Teach resting membrane potential and externally induced transmembrane voltage as related but distinct concepts.</w:t>
      </w:r>
    </w:p>
    <w:p>
      <w:pPr>
        <w:spacing w:before="0" w:after="80" w:line="300" w:lineRule="auto"/>
        <w:numPr>
          <w:ilvl w:val="0"/>
          <w:numId w:val="10"/>
        </w:numPr>
      </w:pPr>
      <w:r>
        <w:rPr>
          <w:rFonts w:ascii="Calibri" w:hAnsi="Calibri"/>
          <w:color w:val="111827"/>
          <w:sz w:val="22"/>
        </w:rPr>
        <w:t>End every module with an input-state-output-evidence summary so students see how modules connect.</w:t>
      </w:r>
    </w:p>
    <w:tbl>
      <w:tblPr>
        <w:tblW w:type="dxa" w:w="9360"/>
        <w:jc w:val="left"/>
        <w:tblLayout w:type="fixed"/>
        <w:tblLook w:firstColumn="1" w:firstRow="1" w:lastColumn="0" w:lastRow="0" w:noHBand="0" w:noVBand="1" w:val="04A0"/>
        <w:tblInd w:w="120" w:type="dxa"/>
        <w:tblBorders>
          <w:top w:val="single" w:sz="5" w:space="0" w:color="8A6A18"/>
          <w:left w:val="single" w:sz="5" w:space="0" w:color="8A6A18"/>
          <w:bottom w:val="single" w:sz="5" w:space="0" w:color="8A6A18"/>
          <w:right w:val="single" w:sz="5" w:space="0" w:color="8A6A18"/>
          <w:insideH w:val="single" w:sz="5" w:space="0" w:color="8A6A18"/>
          <w:insideV w:val="single" w:sz="5" w:space="0" w:color="8A6A18"/>
        </w:tblBorders>
      </w:tblPr>
      <w:tblGrid>
        <w:gridCol w:w="9360"/>
      </w:tblGrid>
      <w:tr>
        <w:trPr>
          <w:trHeight w:hRule="atLeast"/>
          <w:tblHeader w:val="true"/>
          <w:cantSplit/>
        </w:trPr>
        <w:tc>
          <w:tcPr>
            <w:tcW w:type="dxa" w:w="9360"/>
            <w:vAlign w:val="center"/>
            <w:tcMar>
              <w:top w:w="80" w:type="dxa"/>
              <w:start w:w="120" w:type="dxa"/>
              <w:bottom w:w="80" w:type="dxa"/>
              <w:end w:w="120" w:type="dxa"/>
            </w:tcMar>
            <w:shd w:fill="FFF8E8"/>
          </w:tcPr>
          <w:p>
            <w:pPr>
              <w:spacing w:before="40" w:after="40" w:line="276" w:lineRule="auto"/>
            </w:pPr>
            <w:r>
              <w:rPr>
                <w:rFonts w:ascii="Calibri" w:hAnsi="Calibri"/>
                <w:b/>
                <w:color w:val="8A6A18"/>
                <w:sz w:val="21"/>
              </w:rPr>
              <w:t xml:space="preserve">Terminology note: </w:t>
            </w:r>
            <w:r>
              <w:rPr>
                <w:rFonts w:ascii="Calibri" w:hAnsi="Calibri"/>
                <w:color w:val="111827"/>
                <w:sz w:val="21"/>
              </w:rPr>
              <w:t>This plan interprets 'PBPD' as PBPK/PD. That matches the available PBPK_spring_2018.pdf and the standard progression from pharmacokinetics/pharmacodynamics to physiology-based models. If a different PBPD formulation was intended, it can be substituted in Week 9 without changing the course architecture.</w:t>
            </w:r>
          </w:p>
        </w:tc>
      </w:tr>
    </w:tbl>
    <w:p>
      <w:pPr>
        <w:spacing w:before="80" w:after="80" w:line="240" w:lineRule="auto"/>
      </w:pPr>
      <w:r>
        <w:rPr>
          <w:rFonts w:ascii="Calibri" w:hAnsi="Calibri"/>
          <w:i/>
          <w:color w:val="5B6573"/>
          <w:sz w:val="17"/>
        </w:rPr>
      </w:r>
    </w:p>
    <w:p>
      <w:pPr>
        <w:pStyle w:val="Heading1"/>
        <w:keepNext/>
      </w:pPr>
      <w:r>
        <w:t>2. Audience, outcomes, and teaching method</w:t>
      </w:r>
    </w:p>
    <w:p>
      <w:pPr>
        <w:pStyle w:val="Heading2"/>
        <w:keepNext/>
      </w:pPr>
      <w:r>
        <w:t>Audience and prerequisites</w:t>
      </w:r>
    </w:p>
    <w:p>
      <w:pPr>
        <w:spacing w:before="0" w:after="120" w:line="300" w:lineRule="auto"/>
      </w:pPr>
      <w:r>
        <w:rPr>
          <w:rFonts w:ascii="Calibri" w:hAnsi="Calibri"/>
          <w:color w:val="111827"/>
          <w:sz w:val="22"/>
        </w:rPr>
        <w:t>The target audience is senior undergraduates, graduate trainees, clinicians, or life scientists who understand basic cell biology but have little or no computational background. Algebra, graph reading, and willingness to edit a few parameters are sufficient at entry; calculus and programming are introduced as tools rather than gatekeeping prerequisites.</w:t>
      </w:r>
    </w:p>
    <w:p>
      <w:pPr>
        <w:pStyle w:val="Heading2"/>
        <w:keepNext/>
      </w:pPr>
      <w:r>
        <w:t>Learning outcomes</w:t>
      </w:r>
    </w:p>
    <w:p>
      <w:pPr>
        <w:spacing w:before="0" w:after="80" w:line="300" w:lineRule="auto"/>
        <w:numPr>
          <w:ilvl w:val="0"/>
          <w:numId w:val="10"/>
        </w:numPr>
      </w:pPr>
      <w:r>
        <w:rPr>
          <w:rFonts w:ascii="Calibri" w:hAnsi="Calibri"/>
          <w:color w:val="111827"/>
          <w:sz w:val="22"/>
        </w:rPr>
        <w:t>Define a biological system boundary and distinguish inputs, state variables, parameters, and outputs.</w:t>
      </w:r>
    </w:p>
    <w:p>
      <w:pPr>
        <w:spacing w:before="0" w:after="80" w:line="300" w:lineRule="auto"/>
        <w:numPr>
          <w:ilvl w:val="0"/>
          <w:numId w:val="10"/>
        </w:numPr>
      </w:pPr>
      <w:r>
        <w:rPr>
          <w:rFonts w:ascii="Calibri" w:hAnsi="Calibri"/>
          <w:color w:val="111827"/>
          <w:sz w:val="22"/>
        </w:rPr>
        <w:t>Translate a stock-flow diagram into a mass-balance equation and explain every term biologically.</w:t>
      </w:r>
    </w:p>
    <w:p>
      <w:pPr>
        <w:spacing w:before="0" w:after="80" w:line="300" w:lineRule="auto"/>
        <w:numPr>
          <w:ilvl w:val="0"/>
          <w:numId w:val="10"/>
        </w:numPr>
      </w:pPr>
      <w:r>
        <w:rPr>
          <w:rFonts w:ascii="Calibri" w:hAnsi="Calibri"/>
          <w:color w:val="111827"/>
          <w:sz w:val="22"/>
        </w:rPr>
        <w:t>Explain when a well-mixed compartment is useful and when spatial gradients or microdomains matter.</w:t>
      </w:r>
    </w:p>
    <w:p>
      <w:pPr>
        <w:spacing w:before="0" w:after="80" w:line="300" w:lineRule="auto"/>
        <w:numPr>
          <w:ilvl w:val="0"/>
          <w:numId w:val="10"/>
        </w:numPr>
      </w:pPr>
      <w:r>
        <w:rPr>
          <w:rFonts w:ascii="Calibri" w:hAnsi="Calibri"/>
          <w:color w:val="111827"/>
          <w:sz w:val="22"/>
        </w:rPr>
        <w:t>Simulate simple ODE models and interpret time courses, steady states, thresholds, and sensitivity.</w:t>
      </w:r>
    </w:p>
    <w:p>
      <w:pPr>
        <w:spacing w:before="0" w:after="80" w:line="300" w:lineRule="auto"/>
        <w:numPr>
          <w:ilvl w:val="0"/>
          <w:numId w:val="10"/>
        </w:numPr>
      </w:pPr>
      <w:r>
        <w:rPr>
          <w:rFonts w:ascii="Calibri" w:hAnsi="Calibri"/>
          <w:color w:val="111827"/>
          <w:sz w:val="22"/>
        </w:rPr>
        <w:t>Explain Nernst, GHK, membrane capacitance, channel gating, and induced membrane charging without requiring a full Hodgkin-Huxley derivation.</w:t>
      </w:r>
    </w:p>
    <w:p>
      <w:pPr>
        <w:spacing w:before="0" w:after="80" w:line="300" w:lineRule="auto"/>
        <w:numPr>
          <w:ilvl w:val="0"/>
          <w:numId w:val="10"/>
        </w:numPr>
      </w:pPr>
      <w:r>
        <w:rPr>
          <w:rFonts w:ascii="Calibri" w:hAnsi="Calibri"/>
          <w:color w:val="111827"/>
          <w:sz w:val="22"/>
        </w:rPr>
        <w:t>Use PK/PD and PBPK/PD as analogies for staged exposure, distribution, effect, and physiological flow.</w:t>
      </w:r>
    </w:p>
    <w:p>
      <w:pPr>
        <w:spacing w:before="0" w:after="80" w:line="300" w:lineRule="auto"/>
        <w:numPr>
          <w:ilvl w:val="0"/>
          <w:numId w:val="10"/>
        </w:numPr>
      </w:pPr>
      <w:r>
        <w:rPr>
          <w:rFonts w:ascii="Calibri" w:hAnsi="Calibri"/>
          <w:color w:val="111827"/>
          <w:sz w:val="22"/>
        </w:rPr>
        <w:t>Trace an nsPEF protocol through the eight EV-biogenesis model layers to yield, subtype, cargo, potency, purity, and viability.</w:t>
      </w:r>
    </w:p>
    <w:p>
      <w:pPr>
        <w:spacing w:before="0" w:after="80" w:line="300" w:lineRule="auto"/>
        <w:numPr>
          <w:ilvl w:val="0"/>
          <w:numId w:val="10"/>
        </w:numPr>
      </w:pPr>
      <w:r>
        <w:rPr>
          <w:rFonts w:ascii="Calibri" w:hAnsi="Calibri"/>
          <w:color w:val="111827"/>
          <w:sz w:val="22"/>
        </w:rPr>
        <w:t>Critique calibration evidence, identify placeholder assumptions, and propose a focused validation or model-improvement project.</w:t>
      </w:r>
    </w:p>
    <w:p>
      <w:pPr>
        <w:pStyle w:val="Heading2"/>
        <w:keepNext/>
      </w:pPr>
      <w:r>
        <w:t>A repeated six-step lesson pattern</w:t>
      </w:r>
    </w:p>
    <w:p>
      <w:pPr>
        <w:spacing w:before="0" w:after="80" w:line="300" w:lineRule="auto"/>
        <w:numPr>
          <w:ilvl w:val="0"/>
          <w:numId w:val="11"/>
        </w:numPr>
      </w:pPr>
      <w:r>
        <w:rPr>
          <w:rFonts w:ascii="Calibri" w:hAnsi="Calibri"/>
          <w:color w:val="111827"/>
          <w:sz w:val="22"/>
        </w:rPr>
        <w:t>Begin with one biological question that can be answered in words.</w:t>
      </w:r>
    </w:p>
    <w:p>
      <w:pPr>
        <w:spacing w:before="0" w:after="80" w:line="300" w:lineRule="auto"/>
        <w:numPr>
          <w:ilvl w:val="0"/>
          <w:numId w:val="11"/>
        </w:numPr>
      </w:pPr>
      <w:r>
        <w:rPr>
          <w:rFonts w:ascii="Calibri" w:hAnsi="Calibri"/>
          <w:color w:val="111827"/>
          <w:sz w:val="22"/>
        </w:rPr>
        <w:t>Draw the boundary and identify the compartments or pools.</w:t>
      </w:r>
    </w:p>
    <w:p>
      <w:pPr>
        <w:spacing w:before="0" w:after="80" w:line="300" w:lineRule="auto"/>
        <w:numPr>
          <w:ilvl w:val="0"/>
          <w:numId w:val="11"/>
        </w:numPr>
      </w:pPr>
      <w:r>
        <w:rPr>
          <w:rFonts w:ascii="Calibri" w:hAnsi="Calibri"/>
          <w:color w:val="111827"/>
          <w:sz w:val="22"/>
        </w:rPr>
        <w:t>Label inflows, outflows, production, consumption, and feedback.</w:t>
      </w:r>
    </w:p>
    <w:p>
      <w:pPr>
        <w:spacing w:before="0" w:after="80" w:line="300" w:lineRule="auto"/>
        <w:numPr>
          <w:ilvl w:val="0"/>
          <w:numId w:val="11"/>
        </w:numPr>
      </w:pPr>
      <w:r>
        <w:rPr>
          <w:rFonts w:ascii="Calibri" w:hAnsi="Calibri"/>
          <w:color w:val="111827"/>
          <w:sz w:val="22"/>
        </w:rPr>
        <w:t>Write the minimum governing equation and define units.</w:t>
      </w:r>
    </w:p>
    <w:p>
      <w:pPr>
        <w:spacing w:before="0" w:after="80" w:line="300" w:lineRule="auto"/>
        <w:numPr>
          <w:ilvl w:val="0"/>
          <w:numId w:val="11"/>
        </w:numPr>
      </w:pPr>
      <w:r>
        <w:rPr>
          <w:rFonts w:ascii="Calibri" w:hAnsi="Calibri"/>
          <w:color w:val="111827"/>
          <w:sz w:val="22"/>
        </w:rPr>
        <w:t>Run or inspect one simulation, then perturb one parameter.</w:t>
      </w:r>
    </w:p>
    <w:p>
      <w:pPr>
        <w:spacing w:before="0" w:after="80" w:line="300" w:lineRule="auto"/>
        <w:numPr>
          <w:ilvl w:val="0"/>
          <w:numId w:val="11"/>
        </w:numPr>
      </w:pPr>
      <w:r>
        <w:rPr>
          <w:rFonts w:ascii="Calibri" w:hAnsi="Calibri"/>
          <w:color w:val="111827"/>
          <w:sz w:val="22"/>
        </w:rPr>
        <w:t>Interpret the figure, name the assumption, and identify what evidence would test it.</w:t>
      </w:r>
    </w:p>
    <w:p>
      <w:pPr>
        <w:pStyle w:val="Heading1"/>
        <w:keepNext/>
      </w:pPr>
      <w:r>
        <w:t>3. Source review and chapter map</w:t>
      </w:r>
    </w:p>
    <w:p>
      <w:pPr>
        <w:spacing w:before="0" w:after="120" w:line="300" w:lineRule="auto"/>
      </w:pPr>
      <w:r>
        <w:rPr>
          <w:rFonts w:ascii="Calibri" w:hAnsi="Calibri"/>
          <w:color w:val="111827"/>
          <w:sz w:val="22"/>
        </w:rPr>
        <w:t>The source folders contain substantial duplication from backups. The tables below identify the canonical lecture blocks that are most useful for this course and the page ranges that should be adapted. Page numbers refer to PDF pages in the named file, not textbook pages.</w:t>
      </w:r>
    </w:p>
    <w:p>
      <w:pPr>
        <w:pStyle w:val="Heading2"/>
        <w:keepNext/>
      </w:pPr>
      <w:r>
        <w:t>BIEN5700 Systems Physiology: high-value background</w:t>
      </w:r>
    </w:p>
    <w:tbl>
      <w:tblPr>
        <w:tblW w:type="dxa" w:w="9360"/>
        <w:tblLayout w:type="fixed"/>
        <w:tblLook w:firstColumn="1" w:firstRow="1" w:lastColumn="0" w:lastRow="0" w:noHBand="0" w:noVBand="1" w:val="04A0"/>
        <w:jc w:val="left"/>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2450"/>
        <w:gridCol w:w="1050"/>
        <w:gridCol w:w="5860"/>
      </w:tblGrid>
      <w:tr>
        <w:trPr>
          <w:trHeight w:hRule="atLeast"/>
          <w:tblHeader w:val="true"/>
          <w:cantSplit/>
        </w:trPr>
        <w:tc>
          <w:tcPr>
            <w:tcW w:type="dxa" w:w="2450"/>
            <w:vAlign w:val="center"/>
            <w:tcMar>
              <w:top w:w="80" w:type="dxa"/>
              <w:start w:w="120" w:type="dxa"/>
              <w:bottom w:w="80" w:type="dxa"/>
              <w:end w:w="120" w:type="dxa"/>
            </w:tcMar>
            <w:shd w:fill="E8EEF5"/>
          </w:tcPr>
          <w:p>
            <w:pPr>
              <w:spacing w:before="20" w:after="20" w:line="252" w:lineRule="auto"/>
            </w:pPr>
            <w:r>
              <w:rPr>
                <w:rFonts w:ascii="Calibri" w:hAnsi="Calibri"/>
                <w:b/>
                <w:color w:val="1F3A5F"/>
                <w:sz w:val="17"/>
              </w:rPr>
              <w:t>Source</w:t>
            </w:r>
          </w:p>
        </w:tc>
        <w:tc>
          <w:tcPr>
            <w:tcW w:type="dxa" w:w="1050"/>
            <w:vAlign w:val="center"/>
            <w:tcMar>
              <w:top w:w="80" w:type="dxa"/>
              <w:start w:w="120" w:type="dxa"/>
              <w:bottom w:w="80" w:type="dxa"/>
              <w:end w:w="120" w:type="dxa"/>
            </w:tcMar>
            <w:shd w:fill="E8EEF5"/>
          </w:tcPr>
          <w:p>
            <w:pPr>
              <w:spacing w:before="20" w:after="20" w:line="252" w:lineRule="auto"/>
            </w:pPr>
            <w:r>
              <w:rPr>
                <w:rFonts w:ascii="Calibri" w:hAnsi="Calibri"/>
                <w:b/>
                <w:color w:val="1F3A5F"/>
                <w:sz w:val="17"/>
              </w:rPr>
              <w:t>Pages</w:t>
            </w:r>
          </w:p>
        </w:tc>
        <w:tc>
          <w:tcPr>
            <w:tcW w:type="dxa" w:w="5860"/>
            <w:vAlign w:val="center"/>
            <w:tcMar>
              <w:top w:w="80" w:type="dxa"/>
              <w:start w:w="120" w:type="dxa"/>
              <w:bottom w:w="80" w:type="dxa"/>
              <w:end w:w="120" w:type="dxa"/>
            </w:tcMar>
            <w:shd w:fill="E8EEF5"/>
          </w:tcPr>
          <w:p>
            <w:pPr>
              <w:spacing w:before="20" w:after="20" w:line="252" w:lineRule="auto"/>
            </w:pPr>
            <w:r>
              <w:rPr>
                <w:rFonts w:ascii="Calibri" w:hAnsi="Calibri"/>
                <w:b/>
                <w:color w:val="1F3A5F"/>
                <w:sz w:val="17"/>
              </w:rPr>
              <w:t>Recommended teaching use</w:t>
            </w:r>
          </w:p>
        </w:tc>
      </w:tr>
      <w:tr>
        <w:trPr>
          <w:cantSplit/>
          <w:trHeight w:hRule="atLeast"/>
        </w:trPr>
        <w:tc>
          <w:tcPr>
            <w:tcW w:type="dxa" w:w="2450"/>
            <w:vAlign w:val="center"/>
            <w:tcMar>
              <w:top w:w="80" w:type="dxa"/>
              <w:start w:w="120" w:type="dxa"/>
              <w:bottom w:w="80" w:type="dxa"/>
              <w:end w:w="120" w:type="dxa"/>
            </w:tcMar>
          </w:tcPr>
          <w:p>
            <w:pPr>
              <w:spacing w:before="20" w:after="20" w:line="259" w:lineRule="auto"/>
            </w:pPr>
            <w:r>
              <w:rPr>
                <w:rFonts w:ascii="Calibri" w:hAnsi="Calibri"/>
                <w:b/>
                <w:color w:val="111827"/>
                <w:sz w:val="17"/>
              </w:rPr>
              <w:t>Syllabus sp18.pdf</w:t>
            </w:r>
          </w:p>
        </w:tc>
        <w:tc>
          <w:tcPr>
            <w:tcW w:type="dxa" w:w="1050"/>
            <w:vAlign w:val="center"/>
            <w:tcMar>
              <w:top w:w="80" w:type="dxa"/>
              <w:start w:w="120" w:type="dxa"/>
              <w:bottom w:w="80" w:type="dxa"/>
              <w:end w:w="120" w:type="dxa"/>
            </w:tcMar>
          </w:tcPr>
          <w:p>
            <w:pPr>
              <w:spacing w:before="20" w:after="20" w:line="259" w:lineRule="auto"/>
            </w:pPr>
            <w:r>
              <w:rPr>
                <w:rFonts w:ascii="Calibri" w:hAnsi="Calibri"/>
                <w:b w:val="0"/>
                <w:color w:val="111827"/>
                <w:sz w:val="17"/>
              </w:rPr>
              <w:t>p. 2</w:t>
            </w:r>
          </w:p>
        </w:tc>
        <w:tc>
          <w:tcPr>
            <w:tcW w:type="dxa" w:w="5860"/>
            <w:vAlign w:val="center"/>
            <w:tcMar>
              <w:top w:w="80" w:type="dxa"/>
              <w:start w:w="120" w:type="dxa"/>
              <w:bottom w:w="80" w:type="dxa"/>
              <w:end w:w="120" w:type="dxa"/>
            </w:tcMar>
          </w:tcPr>
          <w:p>
            <w:pPr>
              <w:spacing w:before="20" w:after="20" w:line="259" w:lineRule="auto"/>
            </w:pPr>
            <w:r>
              <w:rPr>
                <w:rFonts w:ascii="Calibri" w:hAnsi="Calibri"/>
                <w:b w:val="0"/>
                <w:color w:val="111827"/>
                <w:sz w:val="17"/>
              </w:rPr>
              <w:t>Use the lesson-to-Guyton chapter map: Homeostasis ch. 1; membrane transport ch. 4; membrane potential ch. 5; muscle and neurotransmission chs. 6-8; hemodynamics ch. 14; exchange chs. 15-16; kidney chs. 25-29; metabolism chs. 68-70; energetics chs. 73-74; hormones ch. 75.</w:t>
            </w:r>
          </w:p>
        </w:tc>
      </w:tr>
      <w:tr>
        <w:trPr>
          <w:cantSplit/>
          <w:trHeight w:hRule="atLeast"/>
        </w:trPr>
        <w:tc>
          <w:tcPr>
            <w:tcW w:type="dxa" w:w="2450"/>
            <w:shd w:fill="FAFBFC"/>
            <w:vAlign w:val="center"/>
            <w:tcMar>
              <w:top w:w="80" w:type="dxa"/>
              <w:start w:w="120" w:type="dxa"/>
              <w:bottom w:w="80" w:type="dxa"/>
              <w:end w:w="120" w:type="dxa"/>
            </w:tcMar>
          </w:tcPr>
          <w:p>
            <w:pPr>
              <w:spacing w:before="20" w:after="20" w:line="259" w:lineRule="auto"/>
            </w:pPr>
            <w:r>
              <w:rPr>
                <w:rFonts w:ascii="Calibri" w:hAnsi="Calibri"/>
                <w:b/>
                <w:color w:val="111827"/>
                <w:sz w:val="17"/>
              </w:rPr>
              <w:t>01homeostasis.pdf</w:t>
            </w:r>
          </w:p>
        </w:tc>
        <w:tc>
          <w:tcPr>
            <w:tcW w:type="dxa" w:w="105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pp. 6-12</w:t>
            </w:r>
          </w:p>
        </w:tc>
        <w:tc>
          <w:tcPr>
            <w:tcW w:type="dxa" w:w="58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Core: homeostasis, dynamic steady state, negative and positive feedback.</w:t>
            </w:r>
          </w:p>
        </w:tc>
      </w:tr>
      <w:tr>
        <w:trPr>
          <w:cantSplit/>
          <w:trHeight w:hRule="atLeast"/>
        </w:trPr>
        <w:tc>
          <w:tcPr>
            <w:tcW w:type="dxa" w:w="2450"/>
            <w:vAlign w:val="center"/>
            <w:tcMar>
              <w:top w:w="80" w:type="dxa"/>
              <w:start w:w="120" w:type="dxa"/>
              <w:bottom w:w="80" w:type="dxa"/>
              <w:end w:w="120" w:type="dxa"/>
            </w:tcMar>
          </w:tcPr>
          <w:p>
            <w:pPr>
              <w:spacing w:before="20" w:after="20" w:line="259" w:lineRule="auto"/>
            </w:pPr>
            <w:r>
              <w:rPr>
                <w:rFonts w:ascii="Calibri" w:hAnsi="Calibri"/>
                <w:b/>
                <w:color w:val="111827"/>
                <w:sz w:val="17"/>
              </w:rPr>
              <w:t>01homeostasis.pdf</w:t>
            </w:r>
          </w:p>
        </w:tc>
        <w:tc>
          <w:tcPr>
            <w:tcW w:type="dxa" w:w="1050"/>
            <w:vAlign w:val="center"/>
            <w:tcMar>
              <w:top w:w="80" w:type="dxa"/>
              <w:start w:w="120" w:type="dxa"/>
              <w:bottom w:w="80" w:type="dxa"/>
              <w:end w:w="120" w:type="dxa"/>
            </w:tcMar>
          </w:tcPr>
          <w:p>
            <w:pPr>
              <w:spacing w:before="20" w:after="20" w:line="259" w:lineRule="auto"/>
            </w:pPr>
            <w:r>
              <w:rPr>
                <w:rFonts w:ascii="Calibri" w:hAnsi="Calibri"/>
                <w:b w:val="0"/>
                <w:color w:val="111827"/>
                <w:sz w:val="17"/>
              </w:rPr>
              <w:t>pp. 13-41</w:t>
            </w:r>
          </w:p>
        </w:tc>
        <w:tc>
          <w:tcPr>
            <w:tcW w:type="dxa" w:w="5860"/>
            <w:vAlign w:val="center"/>
            <w:tcMar>
              <w:top w:w="80" w:type="dxa"/>
              <w:start w:w="120" w:type="dxa"/>
              <w:bottom w:w="80" w:type="dxa"/>
              <w:end w:w="120" w:type="dxa"/>
            </w:tcMar>
          </w:tcPr>
          <w:p>
            <w:pPr>
              <w:spacing w:before="20" w:after="20" w:line="259" w:lineRule="auto"/>
            </w:pPr>
            <w:r>
              <w:rPr>
                <w:rFonts w:ascii="Calibri" w:hAnsi="Calibri"/>
                <w:b w:val="0"/>
                <w:color w:val="111827"/>
                <w:sz w:val="17"/>
              </w:rPr>
              <w:t>Core: membrane structure, diffusion, electrical and pressure gradients, facilitated diffusion, osmosis, active transport, endocytosis, and exocytosis.</w:t>
            </w:r>
          </w:p>
        </w:tc>
      </w:tr>
      <w:tr>
        <w:trPr>
          <w:cantSplit/>
          <w:trHeight w:hRule="atLeast"/>
        </w:trPr>
        <w:tc>
          <w:tcPr>
            <w:tcW w:type="dxa" w:w="2450"/>
            <w:shd w:fill="FAFBFC"/>
            <w:vAlign w:val="center"/>
            <w:tcMar>
              <w:top w:w="80" w:type="dxa"/>
              <w:start w:w="120" w:type="dxa"/>
              <w:bottom w:w="80" w:type="dxa"/>
              <w:end w:w="120" w:type="dxa"/>
            </w:tcMar>
          </w:tcPr>
          <w:p>
            <w:pPr>
              <w:spacing w:before="20" w:after="20" w:line="259" w:lineRule="auto"/>
            </w:pPr>
            <w:r>
              <w:rPr>
                <w:rFonts w:ascii="Calibri" w:hAnsi="Calibri"/>
                <w:b/>
                <w:color w:val="111827"/>
                <w:sz w:val="17"/>
              </w:rPr>
              <w:t>01homeostasis.pdf</w:t>
            </w:r>
          </w:p>
        </w:tc>
        <w:tc>
          <w:tcPr>
            <w:tcW w:type="dxa" w:w="105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pp. 42-59</w:t>
            </w:r>
          </w:p>
        </w:tc>
        <w:tc>
          <w:tcPr>
            <w:tcW w:type="dxa" w:w="58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Core: Nernst and GHK intuition, Na/K pump, action potential, voltage clamp, and patch clamp. Pages 60-65 are optional conduction examples.</w:t>
            </w:r>
          </w:p>
        </w:tc>
      </w:tr>
      <w:tr>
        <w:trPr>
          <w:cantSplit/>
          <w:trHeight w:hRule="atLeast"/>
        </w:trPr>
        <w:tc>
          <w:tcPr>
            <w:tcW w:type="dxa" w:w="2450"/>
            <w:vAlign w:val="center"/>
            <w:tcMar>
              <w:top w:w="80" w:type="dxa"/>
              <w:start w:w="120" w:type="dxa"/>
              <w:bottom w:w="80" w:type="dxa"/>
              <w:end w:w="120" w:type="dxa"/>
            </w:tcMar>
          </w:tcPr>
          <w:p>
            <w:pPr>
              <w:spacing w:before="20" w:after="20" w:line="259" w:lineRule="auto"/>
            </w:pPr>
            <w:r>
              <w:rPr>
                <w:rFonts w:ascii="Calibri" w:hAnsi="Calibri"/>
                <w:b/>
                <w:color w:val="111827"/>
                <w:sz w:val="17"/>
              </w:rPr>
              <w:t>02muscle.pdf</w:t>
            </w:r>
          </w:p>
        </w:tc>
        <w:tc>
          <w:tcPr>
            <w:tcW w:type="dxa" w:w="1050"/>
            <w:vAlign w:val="center"/>
            <w:tcMar>
              <w:top w:w="80" w:type="dxa"/>
              <w:start w:w="120" w:type="dxa"/>
              <w:bottom w:w="80" w:type="dxa"/>
              <w:end w:w="120" w:type="dxa"/>
            </w:tcMar>
          </w:tcPr>
          <w:p>
            <w:pPr>
              <w:spacing w:before="20" w:after="20" w:line="259" w:lineRule="auto"/>
            </w:pPr>
            <w:r>
              <w:rPr>
                <w:rFonts w:ascii="Calibri" w:hAnsi="Calibri"/>
                <w:b w:val="0"/>
                <w:color w:val="111827"/>
                <w:sz w:val="17"/>
              </w:rPr>
              <w:t>pp. 33-48</w:t>
            </w:r>
          </w:p>
        </w:tc>
        <w:tc>
          <w:tcPr>
            <w:tcW w:type="dxa" w:w="5860"/>
            <w:vAlign w:val="center"/>
            <w:tcMar>
              <w:top w:w="80" w:type="dxa"/>
              <w:start w:w="120" w:type="dxa"/>
              <w:bottom w:w="80" w:type="dxa"/>
              <w:end w:w="120" w:type="dxa"/>
            </w:tcMar>
          </w:tcPr>
          <w:p>
            <w:pPr>
              <w:spacing w:before="20" w:after="20" w:line="259" w:lineRule="auto"/>
            </w:pPr>
            <w:r>
              <w:rPr>
                <w:rFonts w:ascii="Calibri" w:hAnsi="Calibri"/>
                <w:b w:val="0"/>
                <w:color w:val="111827"/>
                <w:sz w:val="17"/>
              </w:rPr>
              <w:t>Support: neurotransmitter vesicles, depolarization, Ca2+ release, excitation-contraction coupling, and ATP-dependent recovery.</w:t>
            </w:r>
          </w:p>
        </w:tc>
      </w:tr>
      <w:tr>
        <w:trPr>
          <w:cantSplit/>
          <w:trHeight w:hRule="atLeast"/>
        </w:trPr>
        <w:tc>
          <w:tcPr>
            <w:tcW w:type="dxa" w:w="2450"/>
            <w:shd w:fill="FAFBFC"/>
            <w:vAlign w:val="center"/>
            <w:tcMar>
              <w:top w:w="80" w:type="dxa"/>
              <w:start w:w="120" w:type="dxa"/>
              <w:bottom w:w="80" w:type="dxa"/>
              <w:end w:w="120" w:type="dxa"/>
            </w:tcMar>
          </w:tcPr>
          <w:p>
            <w:pPr>
              <w:spacing w:before="20" w:after="20" w:line="259" w:lineRule="auto"/>
            </w:pPr>
            <w:r>
              <w:rPr>
                <w:rFonts w:ascii="Calibri" w:hAnsi="Calibri"/>
                <w:b/>
                <w:color w:val="111827"/>
                <w:sz w:val="17"/>
              </w:rPr>
              <w:t>03circ.pdf</w:t>
            </w:r>
          </w:p>
        </w:tc>
        <w:tc>
          <w:tcPr>
            <w:tcW w:type="dxa" w:w="105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pp. 18-38</w:t>
            </w:r>
          </w:p>
        </w:tc>
        <w:tc>
          <w:tcPr>
            <w:tcW w:type="dxa" w:w="58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Support for PBPK/PD: pressure-flow relations, vascular compartments, capillary exchange, and transport.</w:t>
            </w:r>
          </w:p>
        </w:tc>
      </w:tr>
      <w:tr>
        <w:trPr>
          <w:cantSplit/>
          <w:trHeight w:hRule="atLeast"/>
        </w:trPr>
        <w:tc>
          <w:tcPr>
            <w:tcW w:type="dxa" w:w="2450"/>
            <w:vAlign w:val="center"/>
            <w:tcMar>
              <w:top w:w="80" w:type="dxa"/>
              <w:start w:w="120" w:type="dxa"/>
              <w:bottom w:w="80" w:type="dxa"/>
              <w:end w:w="120" w:type="dxa"/>
            </w:tcMar>
          </w:tcPr>
          <w:p>
            <w:pPr>
              <w:spacing w:before="20" w:after="20" w:line="259" w:lineRule="auto"/>
            </w:pPr>
            <w:r>
              <w:rPr>
                <w:rFonts w:ascii="Calibri" w:hAnsi="Calibri"/>
                <w:b/>
                <w:color w:val="111827"/>
                <w:sz w:val="17"/>
              </w:rPr>
              <w:t>04kidney.pdf</w:t>
            </w:r>
          </w:p>
        </w:tc>
        <w:tc>
          <w:tcPr>
            <w:tcW w:type="dxa" w:w="1050"/>
            <w:vAlign w:val="center"/>
            <w:tcMar>
              <w:top w:w="80" w:type="dxa"/>
              <w:start w:w="120" w:type="dxa"/>
              <w:bottom w:w="80" w:type="dxa"/>
              <w:end w:w="120" w:type="dxa"/>
            </w:tcMar>
          </w:tcPr>
          <w:p>
            <w:pPr>
              <w:spacing w:before="20" w:after="20" w:line="259" w:lineRule="auto"/>
            </w:pPr>
            <w:r>
              <w:rPr>
                <w:rFonts w:ascii="Calibri" w:hAnsi="Calibri"/>
                <w:b w:val="0"/>
                <w:color w:val="111827"/>
                <w:sz w:val="17"/>
              </w:rPr>
              <w:t>pp. 2-4; 40-41</w:t>
            </w:r>
          </w:p>
        </w:tc>
        <w:tc>
          <w:tcPr>
            <w:tcW w:type="dxa" w:w="5860"/>
            <w:vAlign w:val="center"/>
            <w:tcMar>
              <w:top w:w="80" w:type="dxa"/>
              <w:start w:w="120" w:type="dxa"/>
              <w:bottom w:w="80" w:type="dxa"/>
              <w:end w:w="120" w:type="dxa"/>
            </w:tcMar>
          </w:tcPr>
          <w:p>
            <w:pPr>
              <w:spacing w:before="20" w:after="20" w:line="259" w:lineRule="auto"/>
            </w:pPr>
            <w:r>
              <w:rPr>
                <w:rFonts w:ascii="Calibri" w:hAnsi="Calibri"/>
                <w:b w:val="0"/>
                <w:color w:val="111827"/>
                <w:sz w:val="17"/>
              </w:rPr>
              <w:t>Support for compartment volumes and clearance. The detailed nephron sequence is optional.</w:t>
            </w:r>
          </w:p>
        </w:tc>
      </w:tr>
      <w:tr>
        <w:trPr>
          <w:cantSplit/>
          <w:trHeight w:hRule="atLeast"/>
        </w:trPr>
        <w:tc>
          <w:tcPr>
            <w:tcW w:type="dxa" w:w="2450"/>
            <w:shd w:fill="FAFBFC"/>
            <w:vAlign w:val="center"/>
            <w:tcMar>
              <w:top w:w="80" w:type="dxa"/>
              <w:start w:w="120" w:type="dxa"/>
              <w:bottom w:w="80" w:type="dxa"/>
              <w:end w:w="120" w:type="dxa"/>
            </w:tcMar>
          </w:tcPr>
          <w:p>
            <w:pPr>
              <w:spacing w:before="20" w:after="20" w:line="259" w:lineRule="auto"/>
            </w:pPr>
            <w:r>
              <w:rPr>
                <w:rFonts w:ascii="Calibri" w:hAnsi="Calibri"/>
                <w:b/>
                <w:color w:val="111827"/>
                <w:sz w:val="17"/>
              </w:rPr>
              <w:t>06respir.pdf</w:t>
            </w:r>
          </w:p>
        </w:tc>
        <w:tc>
          <w:tcPr>
            <w:tcW w:type="dxa" w:w="105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pp. 30-45</w:t>
            </w:r>
          </w:p>
        </w:tc>
        <w:tc>
          <w:tcPr>
            <w:tcW w:type="dxa" w:w="58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Optional case study for diffusion, exchange surfaces, transport capacity, and coupled compartments.</w:t>
            </w:r>
          </w:p>
        </w:tc>
      </w:tr>
      <w:tr>
        <w:trPr>
          <w:cantSplit/>
          <w:trHeight w:hRule="atLeast"/>
        </w:trPr>
        <w:tc>
          <w:tcPr>
            <w:tcW w:type="dxa" w:w="2450"/>
            <w:vAlign w:val="center"/>
            <w:tcMar>
              <w:top w:w="80" w:type="dxa"/>
              <w:start w:w="120" w:type="dxa"/>
              <w:bottom w:w="80" w:type="dxa"/>
              <w:end w:w="120" w:type="dxa"/>
            </w:tcMar>
          </w:tcPr>
          <w:p>
            <w:pPr>
              <w:spacing w:before="20" w:after="20" w:line="259" w:lineRule="auto"/>
            </w:pPr>
            <w:r>
              <w:rPr>
                <w:rFonts w:ascii="Calibri" w:hAnsi="Calibri"/>
                <w:b/>
                <w:color w:val="111827"/>
                <w:sz w:val="17"/>
              </w:rPr>
              <w:t>10metab.pdf</w:t>
            </w:r>
          </w:p>
        </w:tc>
        <w:tc>
          <w:tcPr>
            <w:tcW w:type="dxa" w:w="1050"/>
            <w:vAlign w:val="center"/>
            <w:tcMar>
              <w:top w:w="80" w:type="dxa"/>
              <w:start w:w="120" w:type="dxa"/>
              <w:bottom w:w="80" w:type="dxa"/>
              <w:end w:w="120" w:type="dxa"/>
            </w:tcMar>
          </w:tcPr>
          <w:p>
            <w:pPr>
              <w:spacing w:before="20" w:after="20" w:line="259" w:lineRule="auto"/>
            </w:pPr>
            <w:r>
              <w:rPr>
                <w:rFonts w:ascii="Calibri" w:hAnsi="Calibri"/>
                <w:b w:val="0"/>
                <w:color w:val="111827"/>
                <w:sz w:val="17"/>
              </w:rPr>
              <w:t>pp. 1-10; 17-24</w:t>
            </w:r>
          </w:p>
        </w:tc>
        <w:tc>
          <w:tcPr>
            <w:tcW w:type="dxa" w:w="5860"/>
            <w:vAlign w:val="center"/>
            <w:tcMar>
              <w:top w:w="80" w:type="dxa"/>
              <w:start w:w="120" w:type="dxa"/>
              <w:bottom w:w="80" w:type="dxa"/>
              <w:end w:w="120" w:type="dxa"/>
            </w:tcMar>
          </w:tcPr>
          <w:p>
            <w:pPr>
              <w:spacing w:before="20" w:after="20" w:line="259" w:lineRule="auto"/>
            </w:pPr>
            <w:r>
              <w:rPr>
                <w:rFonts w:ascii="Calibri" w:hAnsi="Calibri"/>
                <w:b w:val="0"/>
                <w:color w:val="111827"/>
                <w:sz w:val="17"/>
              </w:rPr>
              <w:t>Support for glycolysis, citric acid cycle, electron transport, ATP, energetics, and physiological stress.</w:t>
            </w:r>
          </w:p>
        </w:tc>
      </w:tr>
      <w:tr>
        <w:trPr>
          <w:cantSplit/>
          <w:trHeight w:hRule="atLeast"/>
        </w:trPr>
        <w:tc>
          <w:tcPr>
            <w:tcW w:type="dxa" w:w="2450"/>
            <w:shd w:fill="FAFBFC"/>
            <w:vAlign w:val="center"/>
            <w:tcMar>
              <w:top w:w="80" w:type="dxa"/>
              <w:start w:w="120" w:type="dxa"/>
              <w:bottom w:w="80" w:type="dxa"/>
              <w:end w:w="120" w:type="dxa"/>
            </w:tcMar>
          </w:tcPr>
          <w:p>
            <w:pPr>
              <w:spacing w:before="20" w:after="20" w:line="259" w:lineRule="auto"/>
            </w:pPr>
            <w:r>
              <w:rPr>
                <w:rFonts w:ascii="Calibri" w:hAnsi="Calibri"/>
                <w:b/>
                <w:color w:val="111827"/>
                <w:sz w:val="17"/>
              </w:rPr>
              <w:t>11endo.pdf</w:t>
            </w:r>
          </w:p>
        </w:tc>
        <w:tc>
          <w:tcPr>
            <w:tcW w:type="dxa" w:w="105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pp. 1-7; 30; 44</w:t>
            </w:r>
          </w:p>
        </w:tc>
        <w:tc>
          <w:tcPr>
            <w:tcW w:type="dxa" w:w="58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Support for receptor signaling, second-messenger amplification, and feedback control.</w:t>
            </w:r>
          </w:p>
        </w:tc>
      </w:tr>
    </w:tbl>
    <w:p>
      <w:pPr>
        <w:spacing w:before="80" w:after="80" w:line="240" w:lineRule="auto"/>
      </w:pPr>
      <w:r>
        <w:rPr>
          <w:rFonts w:ascii="Calibri" w:hAnsi="Calibri"/>
          <w:i/>
          <w:color w:val="5B6573"/>
          <w:sz w:val="17"/>
        </w:rPr>
        <w:t>Reviewed root: /Users/aghorban/Library/CloudStorage/OneDrive-Personal/Documents/04-Universities/MCW_MU/Courses/BIEN5700-SystemPhysiology</w:t>
      </w:r>
    </w:p>
    <w:p>
      <w:pPr>
        <w:pStyle w:val="Heading2"/>
        <w:keepNext/>
      </w:pPr>
      <w:r>
        <w:t>BIEN6931 Computational Systems Biology: core modeling sequence</w:t>
      </w:r>
    </w:p>
    <w:tbl>
      <w:tblPr>
        <w:tblW w:type="dxa" w:w="9360"/>
        <w:tblLayout w:type="fixed"/>
        <w:tblLook w:firstColumn="1" w:firstRow="1" w:lastColumn="0" w:lastRow="0" w:noHBand="0" w:noVBand="1" w:val="04A0"/>
        <w:jc w:val="left"/>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2750"/>
        <w:gridCol w:w="1200"/>
        <w:gridCol w:w="5410"/>
      </w:tblGrid>
      <w:tr>
        <w:trPr>
          <w:trHeight w:hRule="atLeast"/>
          <w:tblHeader w:val="true"/>
          <w:cantSplit/>
        </w:trPr>
        <w:tc>
          <w:tcPr>
            <w:tcW w:type="dxa" w:w="2750"/>
            <w:vAlign w:val="center"/>
            <w:tcMar>
              <w:top w:w="80" w:type="dxa"/>
              <w:start w:w="120" w:type="dxa"/>
              <w:bottom w:w="80" w:type="dxa"/>
              <w:end w:w="120" w:type="dxa"/>
            </w:tcMar>
            <w:shd w:fill="E8EEF5"/>
          </w:tcPr>
          <w:p>
            <w:pPr>
              <w:spacing w:before="20" w:after="20" w:line="252" w:lineRule="auto"/>
            </w:pPr>
            <w:r>
              <w:rPr>
                <w:rFonts w:ascii="Calibri" w:hAnsi="Calibri"/>
                <w:b/>
                <w:color w:val="1F3A5F"/>
                <w:sz w:val="17"/>
              </w:rPr>
              <w:t>Source</w:t>
            </w:r>
          </w:p>
        </w:tc>
        <w:tc>
          <w:tcPr>
            <w:tcW w:type="dxa" w:w="1200"/>
            <w:vAlign w:val="center"/>
            <w:tcMar>
              <w:top w:w="80" w:type="dxa"/>
              <w:start w:w="120" w:type="dxa"/>
              <w:bottom w:w="80" w:type="dxa"/>
              <w:end w:w="120" w:type="dxa"/>
            </w:tcMar>
            <w:shd w:fill="E8EEF5"/>
          </w:tcPr>
          <w:p>
            <w:pPr>
              <w:spacing w:before="20" w:after="20" w:line="252" w:lineRule="auto"/>
            </w:pPr>
            <w:r>
              <w:rPr>
                <w:rFonts w:ascii="Calibri" w:hAnsi="Calibri"/>
                <w:b/>
                <w:color w:val="1F3A5F"/>
                <w:sz w:val="17"/>
              </w:rPr>
              <w:t>Pages</w:t>
            </w:r>
          </w:p>
        </w:tc>
        <w:tc>
          <w:tcPr>
            <w:tcW w:type="dxa" w:w="5410"/>
            <w:vAlign w:val="center"/>
            <w:tcMar>
              <w:top w:w="80" w:type="dxa"/>
              <w:start w:w="120" w:type="dxa"/>
              <w:bottom w:w="80" w:type="dxa"/>
              <w:end w:w="120" w:type="dxa"/>
            </w:tcMar>
            <w:shd w:fill="E8EEF5"/>
          </w:tcPr>
          <w:p>
            <w:pPr>
              <w:spacing w:before="20" w:after="20" w:line="252" w:lineRule="auto"/>
            </w:pPr>
            <w:r>
              <w:rPr>
                <w:rFonts w:ascii="Calibri" w:hAnsi="Calibri"/>
                <w:b/>
                <w:color w:val="1F3A5F"/>
                <w:sz w:val="17"/>
              </w:rPr>
              <w:t>Recommended teaching use</w:t>
            </w:r>
          </w:p>
        </w:tc>
      </w:tr>
      <w:tr>
        <w:trPr>
          <w:cantSplit/>
          <w:trHeight w:hRule="atLeast"/>
        </w:trPr>
        <w:tc>
          <w:tcPr>
            <w:tcW w:type="dxa" w:w="2750"/>
            <w:vAlign w:val="center"/>
            <w:tcMar>
              <w:top w:w="80" w:type="dxa"/>
              <w:start w:w="120" w:type="dxa"/>
              <w:bottom w:w="80" w:type="dxa"/>
              <w:end w:w="120" w:type="dxa"/>
            </w:tcMar>
          </w:tcPr>
          <w:p>
            <w:pPr>
              <w:spacing w:before="20" w:after="20" w:line="259" w:lineRule="auto"/>
            </w:pPr>
            <w:r>
              <w:rPr>
                <w:rFonts w:ascii="Calibri" w:hAnsi="Calibri"/>
                <w:b/>
                <w:color w:val="111827"/>
                <w:sz w:val="17"/>
              </w:rPr>
              <w:t>BIEN_6391_Spring_2018_Syllabus1.pdf</w:t>
            </w:r>
          </w:p>
        </w:tc>
        <w:tc>
          <w:tcPr>
            <w:tcW w:type="dxa" w:w="1200"/>
            <w:vAlign w:val="center"/>
            <w:tcMar>
              <w:top w:w="80" w:type="dxa"/>
              <w:start w:w="120" w:type="dxa"/>
              <w:bottom w:w="80" w:type="dxa"/>
              <w:end w:w="120" w:type="dxa"/>
            </w:tcMar>
          </w:tcPr>
          <w:p>
            <w:pPr>
              <w:spacing w:before="20" w:after="20" w:line="259" w:lineRule="auto"/>
            </w:pPr>
            <w:r>
              <w:rPr>
                <w:rFonts w:ascii="Calibri" w:hAnsi="Calibri"/>
                <w:b w:val="0"/>
                <w:color w:val="111827"/>
                <w:sz w:val="17"/>
              </w:rPr>
              <w:t>p. 2</w:t>
            </w:r>
          </w:p>
        </w:tc>
        <w:tc>
          <w:tcPr>
            <w:tcW w:type="dxa" w:w="5410"/>
            <w:vAlign w:val="center"/>
            <w:tcMar>
              <w:top w:w="80" w:type="dxa"/>
              <w:start w:w="120" w:type="dxa"/>
              <w:bottom w:w="80" w:type="dxa"/>
              <w:end w:w="120" w:type="dxa"/>
            </w:tcMar>
          </w:tcPr>
          <w:p>
            <w:pPr>
              <w:spacing w:before="20" w:after="20" w:line="259" w:lineRule="auto"/>
            </w:pPr>
            <w:r>
              <w:rPr>
                <w:rFonts w:ascii="Calibri" w:hAnsi="Calibri"/>
                <w:b w:val="0"/>
                <w:color w:val="111827"/>
                <w:sz w:val="17"/>
              </w:rPr>
              <w:t>Use modules 1-5 and 7 as the conceptual backbone. Cell-cycle modeling is a possible elective, not a prerequisite for EV biogenesis.</w:t>
            </w:r>
          </w:p>
        </w:tc>
      </w:tr>
      <w:tr>
        <w:trPr>
          <w:cantSplit/>
          <w:trHeight w:hRule="atLeast"/>
        </w:trPr>
        <w:tc>
          <w:tcPr>
            <w:tcW w:type="dxa" w:w="2750"/>
            <w:shd w:fill="FAFBFC"/>
            <w:vAlign w:val="center"/>
            <w:tcMar>
              <w:top w:w="80" w:type="dxa"/>
              <w:start w:w="120" w:type="dxa"/>
              <w:bottom w:w="80" w:type="dxa"/>
              <w:end w:w="120" w:type="dxa"/>
            </w:tcMar>
          </w:tcPr>
          <w:p>
            <w:pPr>
              <w:spacing w:before="20" w:after="20" w:line="259" w:lineRule="auto"/>
            </w:pPr>
            <w:r>
              <w:rPr>
                <w:rFonts w:ascii="Calibri" w:hAnsi="Calibri"/>
                <w:b/>
                <w:color w:val="111827"/>
                <w:sz w:val="17"/>
              </w:rPr>
              <w:t>Dash_Lect1_Intro_Sim_Biol_Syst_Spring_2018.pdf</w:t>
            </w:r>
          </w:p>
        </w:tc>
        <w:tc>
          <w:tcPr>
            <w:tcW w:type="dxa" w:w="120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pp. 2-6; 27-37</w:t>
            </w:r>
          </w:p>
        </w:tc>
        <w:tc>
          <w:tcPr>
            <w:tcW w:type="dxa" w:w="541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Core: systems/computational biology, model purpose, iterative modeling, formulation, parameterization, validation, sensitivity, and communication.</w:t>
            </w:r>
          </w:p>
        </w:tc>
      </w:tr>
      <w:tr>
        <w:trPr>
          <w:cantSplit/>
          <w:trHeight w:hRule="atLeast"/>
        </w:trPr>
        <w:tc>
          <w:tcPr>
            <w:tcW w:type="dxa" w:w="2750"/>
            <w:vAlign w:val="center"/>
            <w:tcMar>
              <w:top w:w="80" w:type="dxa"/>
              <w:start w:w="120" w:type="dxa"/>
              <w:bottom w:w="80" w:type="dxa"/>
              <w:end w:w="120" w:type="dxa"/>
            </w:tcMar>
          </w:tcPr>
          <w:p>
            <w:pPr>
              <w:spacing w:before="20" w:after="20" w:line="259" w:lineRule="auto"/>
            </w:pPr>
            <w:r>
              <w:rPr>
                <w:rFonts w:ascii="Calibri" w:hAnsi="Calibri"/>
                <w:b/>
                <w:color w:val="111827"/>
                <w:sz w:val="17"/>
              </w:rPr>
              <w:t>Introduction to Simulation of Biological Systems.pdf</w:t>
            </w:r>
          </w:p>
        </w:tc>
        <w:tc>
          <w:tcPr>
            <w:tcW w:type="dxa" w:w="1200"/>
            <w:vAlign w:val="center"/>
            <w:tcMar>
              <w:top w:w="80" w:type="dxa"/>
              <w:start w:w="120" w:type="dxa"/>
              <w:bottom w:w="80" w:type="dxa"/>
              <w:end w:w="120" w:type="dxa"/>
            </w:tcMar>
          </w:tcPr>
          <w:p>
            <w:pPr>
              <w:spacing w:before="20" w:after="20" w:line="259" w:lineRule="auto"/>
            </w:pPr>
            <w:r>
              <w:rPr>
                <w:rFonts w:ascii="Calibri" w:hAnsi="Calibri"/>
                <w:b w:val="0"/>
                <w:color w:val="111827"/>
                <w:sz w:val="17"/>
              </w:rPr>
              <w:t>pp. 1-20</w:t>
            </w:r>
          </w:p>
        </w:tc>
        <w:tc>
          <w:tcPr>
            <w:tcW w:type="dxa" w:w="5410"/>
            <w:vAlign w:val="center"/>
            <w:tcMar>
              <w:top w:w="80" w:type="dxa"/>
              <w:start w:w="120" w:type="dxa"/>
              <w:bottom w:w="80" w:type="dxa"/>
              <w:end w:w="120" w:type="dxa"/>
            </w:tcMar>
          </w:tcPr>
          <w:p>
            <w:pPr>
              <w:spacing w:before="20" w:after="20" w:line="259" w:lineRule="auto"/>
            </w:pPr>
            <w:r>
              <w:rPr>
                <w:rFonts w:ascii="Calibri" w:hAnsi="Calibri"/>
                <w:b w:val="0"/>
                <w:color w:val="111827"/>
                <w:sz w:val="17"/>
              </w:rPr>
              <w:t>Core case study: model-building workflow and mechanistic versus nonmechanistic modeling through the aquarium example.</w:t>
            </w:r>
          </w:p>
        </w:tc>
      </w:tr>
      <w:tr>
        <w:trPr>
          <w:cantSplit/>
          <w:trHeight w:hRule="atLeast"/>
        </w:trPr>
        <w:tc>
          <w:tcPr>
            <w:tcW w:type="dxa" w:w="2750"/>
            <w:shd w:fill="FAFBFC"/>
            <w:vAlign w:val="center"/>
            <w:tcMar>
              <w:top w:w="80" w:type="dxa"/>
              <w:start w:w="120" w:type="dxa"/>
              <w:bottom w:w="80" w:type="dxa"/>
              <w:end w:w="120" w:type="dxa"/>
            </w:tcMar>
          </w:tcPr>
          <w:p>
            <w:pPr>
              <w:spacing w:before="20" w:after="20" w:line="259" w:lineRule="auto"/>
            </w:pPr>
            <w:r>
              <w:rPr>
                <w:rFonts w:ascii="Calibri" w:hAnsi="Calibri"/>
                <w:b/>
                <w:color w:val="111827"/>
                <w:sz w:val="17"/>
              </w:rPr>
              <w:t>Introduction to Compartmental Modeling (1).pdf</w:t>
            </w:r>
          </w:p>
        </w:tc>
        <w:tc>
          <w:tcPr>
            <w:tcW w:type="dxa" w:w="120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pp. 1-11</w:t>
            </w:r>
          </w:p>
        </w:tc>
        <w:tc>
          <w:tcPr>
            <w:tcW w:type="dxa" w:w="541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Core: well-mixed assumption, amount-concentration-volume relations, one-compartment washout, reactions with flow, and two-compartment exchange.</w:t>
            </w:r>
          </w:p>
        </w:tc>
      </w:tr>
      <w:tr>
        <w:trPr>
          <w:cantSplit/>
          <w:trHeight w:hRule="atLeast"/>
        </w:trPr>
        <w:tc>
          <w:tcPr>
            <w:tcW w:type="dxa" w:w="2750"/>
            <w:vAlign w:val="center"/>
            <w:tcMar>
              <w:top w:w="80" w:type="dxa"/>
              <w:start w:w="120" w:type="dxa"/>
              <w:bottom w:w="80" w:type="dxa"/>
              <w:end w:w="120" w:type="dxa"/>
            </w:tcMar>
          </w:tcPr>
          <w:p>
            <w:pPr>
              <w:spacing w:before="20" w:after="20" w:line="259" w:lineRule="auto"/>
            </w:pPr>
            <w:r>
              <w:rPr>
                <w:rFonts w:ascii="Calibri" w:hAnsi="Calibri"/>
                <w:b/>
                <w:color w:val="111827"/>
                <w:sz w:val="17"/>
              </w:rPr>
              <w:t>Compartmental_modeling_supplement_spring_2018.pdf</w:t>
            </w:r>
          </w:p>
        </w:tc>
        <w:tc>
          <w:tcPr>
            <w:tcW w:type="dxa" w:w="1200"/>
            <w:vAlign w:val="center"/>
            <w:tcMar>
              <w:top w:w="80" w:type="dxa"/>
              <w:start w:w="120" w:type="dxa"/>
              <w:bottom w:w="80" w:type="dxa"/>
              <w:end w:w="120" w:type="dxa"/>
            </w:tcMar>
          </w:tcPr>
          <w:p>
            <w:pPr>
              <w:spacing w:before="20" w:after="20" w:line="259" w:lineRule="auto"/>
            </w:pPr>
            <w:r>
              <w:rPr>
                <w:rFonts w:ascii="Calibri" w:hAnsi="Calibri"/>
                <w:b w:val="0"/>
                <w:color w:val="111827"/>
                <w:sz w:val="17"/>
              </w:rPr>
              <w:t>pp. 1-15</w:t>
            </w:r>
          </w:p>
        </w:tc>
        <w:tc>
          <w:tcPr>
            <w:tcW w:type="dxa" w:w="5410"/>
            <w:vAlign w:val="center"/>
            <w:tcMar>
              <w:top w:w="80" w:type="dxa"/>
              <w:start w:w="120" w:type="dxa"/>
              <w:bottom w:w="80" w:type="dxa"/>
              <w:end w:w="120" w:type="dxa"/>
            </w:tcMar>
          </w:tcPr>
          <w:p>
            <w:pPr>
              <w:spacing w:before="20" w:after="20" w:line="259" w:lineRule="auto"/>
            </w:pPr>
            <w:r>
              <w:rPr>
                <w:rFonts w:ascii="Calibri" w:hAnsi="Calibri"/>
                <w:b w:val="0"/>
                <w:color w:val="111827"/>
                <w:sz w:val="17"/>
              </w:rPr>
              <w:t>Support: transport mechanisms, membrane fluxes, drug absorption/elimination, and hemodialysis.</w:t>
            </w:r>
          </w:p>
        </w:tc>
      </w:tr>
      <w:tr>
        <w:trPr>
          <w:cantSplit/>
          <w:trHeight w:hRule="atLeast"/>
        </w:trPr>
        <w:tc>
          <w:tcPr>
            <w:tcW w:type="dxa" w:w="2750"/>
            <w:shd w:fill="FAFBFC"/>
            <w:vAlign w:val="center"/>
            <w:tcMar>
              <w:top w:w="80" w:type="dxa"/>
              <w:start w:w="120" w:type="dxa"/>
              <w:bottom w:w="80" w:type="dxa"/>
              <w:end w:w="120" w:type="dxa"/>
            </w:tcMar>
          </w:tcPr>
          <w:p>
            <w:pPr>
              <w:spacing w:before="20" w:after="20" w:line="259" w:lineRule="auto"/>
            </w:pPr>
            <w:r>
              <w:rPr>
                <w:rFonts w:ascii="Calibri" w:hAnsi="Calibri"/>
                <w:b/>
                <w:color w:val="111827"/>
                <w:sz w:val="17"/>
              </w:rPr>
              <w:t>Differential equations_Spring_2018.pdf</w:t>
            </w:r>
          </w:p>
        </w:tc>
        <w:tc>
          <w:tcPr>
            <w:tcW w:type="dxa" w:w="120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pp. 1-6</w:t>
            </w:r>
          </w:p>
        </w:tc>
        <w:tc>
          <w:tcPr>
            <w:tcW w:type="dxa" w:w="541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Core ODE vocabulary and initial conditions. Laplace transform pages 7-12 are optional enrichment.</w:t>
            </w:r>
          </w:p>
        </w:tc>
      </w:tr>
      <w:tr>
        <w:trPr>
          <w:cantSplit/>
          <w:trHeight w:hRule="atLeast"/>
        </w:trPr>
        <w:tc>
          <w:tcPr>
            <w:tcW w:type="dxa" w:w="2750"/>
            <w:vAlign w:val="center"/>
            <w:tcMar>
              <w:top w:w="80" w:type="dxa"/>
              <w:start w:w="120" w:type="dxa"/>
              <w:bottom w:w="80" w:type="dxa"/>
              <w:end w:w="120" w:type="dxa"/>
            </w:tcMar>
          </w:tcPr>
          <w:p>
            <w:pPr>
              <w:spacing w:before="20" w:after="20" w:line="259" w:lineRule="auto"/>
            </w:pPr>
            <w:r>
              <w:rPr>
                <w:rFonts w:ascii="Calibri" w:hAnsi="Calibri"/>
                <w:b/>
                <w:color w:val="111827"/>
                <w:sz w:val="17"/>
              </w:rPr>
              <w:t>Numerical_methods_Spring_2018.pdf</w:t>
            </w:r>
          </w:p>
        </w:tc>
        <w:tc>
          <w:tcPr>
            <w:tcW w:type="dxa" w:w="1200"/>
            <w:vAlign w:val="center"/>
            <w:tcMar>
              <w:top w:w="80" w:type="dxa"/>
              <w:start w:w="120" w:type="dxa"/>
              <w:bottom w:w="80" w:type="dxa"/>
              <w:end w:w="120" w:type="dxa"/>
            </w:tcMar>
          </w:tcPr>
          <w:p>
            <w:pPr>
              <w:spacing w:before="20" w:after="20" w:line="259" w:lineRule="auto"/>
            </w:pPr>
            <w:r>
              <w:rPr>
                <w:rFonts w:ascii="Calibri" w:hAnsi="Calibri"/>
                <w:b w:val="0"/>
                <w:color w:val="111827"/>
                <w:sz w:val="17"/>
              </w:rPr>
              <w:t>pp. 1-11; 15-18</w:t>
            </w:r>
          </w:p>
        </w:tc>
        <w:tc>
          <w:tcPr>
            <w:tcW w:type="dxa" w:w="5410"/>
            <w:vAlign w:val="center"/>
            <w:tcMar>
              <w:top w:w="80" w:type="dxa"/>
              <w:start w:w="120" w:type="dxa"/>
              <w:bottom w:w="80" w:type="dxa"/>
              <w:end w:w="120" w:type="dxa"/>
            </w:tcMar>
          </w:tcPr>
          <w:p>
            <w:pPr>
              <w:spacing w:before="20" w:after="20" w:line="259" w:lineRule="auto"/>
            </w:pPr>
            <w:r>
              <w:rPr>
                <w:rFonts w:ascii="Calibri" w:hAnsi="Calibri"/>
                <w:b w:val="0"/>
                <w:color w:val="111827"/>
                <w:sz w:val="17"/>
              </w:rPr>
              <w:t>Core: Euler, Runge-Kutta intuition, errors, convergence, and MATLAB ODE solvers. Stability pages 12-14 are instructor-level or advanced.</w:t>
            </w:r>
          </w:p>
        </w:tc>
      </w:tr>
      <w:tr>
        <w:trPr>
          <w:cantSplit/>
          <w:trHeight w:hRule="atLeast"/>
        </w:trPr>
        <w:tc>
          <w:tcPr>
            <w:tcW w:type="dxa" w:w="2750"/>
            <w:shd w:fill="FAFBFC"/>
            <w:vAlign w:val="center"/>
            <w:tcMar>
              <w:top w:w="80" w:type="dxa"/>
              <w:start w:w="120" w:type="dxa"/>
              <w:bottom w:w="80" w:type="dxa"/>
              <w:end w:w="120" w:type="dxa"/>
            </w:tcMar>
          </w:tcPr>
          <w:p>
            <w:pPr>
              <w:spacing w:before="20" w:after="20" w:line="259" w:lineRule="auto"/>
            </w:pPr>
            <w:r>
              <w:rPr>
                <w:rFonts w:ascii="Calibri" w:hAnsi="Calibri"/>
                <w:b/>
                <w:color w:val="111827"/>
                <w:sz w:val="17"/>
              </w:rPr>
              <w:t>Introduction to Law of Mass Action.pdf</w:t>
            </w:r>
          </w:p>
        </w:tc>
        <w:tc>
          <w:tcPr>
            <w:tcW w:type="dxa" w:w="120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pp. 1-5</w:t>
            </w:r>
          </w:p>
        </w:tc>
        <w:tc>
          <w:tcPr>
            <w:tcW w:type="dxa" w:w="541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Core rate-law vocabulary and units for reversible and irreversible reactions.</w:t>
            </w:r>
          </w:p>
        </w:tc>
      </w:tr>
    </w:tbl>
    <w:p>
      <w:pPr>
        <w:spacing w:before="80" w:after="80" w:line="240" w:lineRule="auto"/>
      </w:pPr>
      <w:r>
        <w:rPr>
          <w:rFonts w:ascii="Calibri" w:hAnsi="Calibri"/>
          <w:i/>
          <w:color w:val="5B6573"/>
          <w:sz w:val="17"/>
        </w:rPr>
        <w:t>Reviewed canonical archive root: /Users/aghorban/Library/CloudStorage/OneDrive-Personal/Documents/04-Universities/MCW_MU/Courses/BIEN6931-TopicsInBiomedicalEngineering/end of the semester back up/BIEN 6931 701 Topics in Biomedical Engr - 5132018 - 1103 PM</w:t>
      </w:r>
    </w:p>
    <w:p>
      <w:pPr>
        <w:pStyle w:val="Heading2"/>
        <w:keepNext/>
      </w:pPr>
      <w:r>
        <w:t>BIEN6931: application templates and advanced bridge</w:t>
      </w:r>
    </w:p>
    <w:tbl>
      <w:tblPr>
        <w:tblW w:type="dxa" w:w="9360"/>
        <w:tblLayout w:type="fixed"/>
        <w:tblLook w:firstColumn="1" w:firstRow="1" w:lastColumn="0" w:lastRow="0" w:noHBand="0" w:noVBand="1" w:val="04A0"/>
        <w:jc w:val="left"/>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2760"/>
        <w:gridCol w:w="1240"/>
        <w:gridCol w:w="5360"/>
      </w:tblGrid>
      <w:tr>
        <w:trPr>
          <w:trHeight w:hRule="atLeast"/>
          <w:tblHeader w:val="true"/>
          <w:cantSplit/>
        </w:trPr>
        <w:tc>
          <w:tcPr>
            <w:tcW w:type="dxa" w:w="2760"/>
            <w:vAlign w:val="center"/>
            <w:tcMar>
              <w:top w:w="80" w:type="dxa"/>
              <w:start w:w="120" w:type="dxa"/>
              <w:bottom w:w="80" w:type="dxa"/>
              <w:end w:w="120" w:type="dxa"/>
            </w:tcMar>
            <w:shd w:fill="E8EEF5"/>
          </w:tcPr>
          <w:p>
            <w:pPr>
              <w:spacing w:before="20" w:after="20" w:line="252" w:lineRule="auto"/>
            </w:pPr>
            <w:r>
              <w:rPr>
                <w:rFonts w:ascii="Calibri" w:hAnsi="Calibri"/>
                <w:b/>
                <w:color w:val="1F3A5F"/>
                <w:sz w:val="16"/>
              </w:rPr>
              <w:t>Source</w:t>
            </w:r>
          </w:p>
        </w:tc>
        <w:tc>
          <w:tcPr>
            <w:tcW w:type="dxa" w:w="1240"/>
            <w:vAlign w:val="center"/>
            <w:tcMar>
              <w:top w:w="80" w:type="dxa"/>
              <w:start w:w="120" w:type="dxa"/>
              <w:bottom w:w="80" w:type="dxa"/>
              <w:end w:w="120" w:type="dxa"/>
            </w:tcMar>
            <w:shd w:fill="E8EEF5"/>
          </w:tcPr>
          <w:p>
            <w:pPr>
              <w:spacing w:before="20" w:after="20" w:line="252" w:lineRule="auto"/>
            </w:pPr>
            <w:r>
              <w:rPr>
                <w:rFonts w:ascii="Calibri" w:hAnsi="Calibri"/>
                <w:b/>
                <w:color w:val="1F3A5F"/>
                <w:sz w:val="16"/>
              </w:rPr>
              <w:t>Pages</w:t>
            </w:r>
          </w:p>
        </w:tc>
        <w:tc>
          <w:tcPr>
            <w:tcW w:type="dxa" w:w="5360"/>
            <w:vAlign w:val="center"/>
            <w:tcMar>
              <w:top w:w="80" w:type="dxa"/>
              <w:start w:w="120" w:type="dxa"/>
              <w:bottom w:w="80" w:type="dxa"/>
              <w:end w:w="120" w:type="dxa"/>
            </w:tcMar>
            <w:shd w:fill="E8EEF5"/>
          </w:tcPr>
          <w:p>
            <w:pPr>
              <w:spacing w:before="20" w:after="20" w:line="252" w:lineRule="auto"/>
            </w:pPr>
            <w:r>
              <w:rPr>
                <w:rFonts w:ascii="Calibri" w:hAnsi="Calibri"/>
                <w:b/>
                <w:color w:val="1F3A5F"/>
                <w:sz w:val="16"/>
              </w:rPr>
              <w:t>Recommended teaching use</w:t>
            </w:r>
          </w:p>
        </w:tc>
      </w:tr>
      <w:tr>
        <w:trPr>
          <w:cantSplit/>
          <w:trHeight w:hRule="atLeast"/>
        </w:trPr>
        <w:tc>
          <w:tcPr>
            <w:tcW w:type="dxa" w:w="2760"/>
            <w:vAlign w:val="center"/>
            <w:tcMar>
              <w:top w:w="80" w:type="dxa"/>
              <w:start w:w="120" w:type="dxa"/>
              <w:bottom w:w="80" w:type="dxa"/>
              <w:end w:w="120" w:type="dxa"/>
            </w:tcMar>
          </w:tcPr>
          <w:p>
            <w:pPr>
              <w:spacing w:before="20" w:after="20" w:line="259" w:lineRule="auto"/>
            </w:pPr>
            <w:r>
              <w:rPr>
                <w:rFonts w:ascii="Calibri" w:hAnsi="Calibri"/>
                <w:b/>
                <w:color w:val="111827"/>
                <w:sz w:val="16"/>
              </w:rPr>
              <w:t>Compartmental_Kinetic_PKPD_Modeling.pdf</w:t>
            </w:r>
          </w:p>
        </w:tc>
        <w:tc>
          <w:tcPr>
            <w:tcW w:type="dxa" w:w="1240"/>
            <w:vAlign w:val="center"/>
            <w:tcMar>
              <w:top w:w="80" w:type="dxa"/>
              <w:start w:w="120" w:type="dxa"/>
              <w:bottom w:w="80" w:type="dxa"/>
              <w:end w:w="120" w:type="dxa"/>
            </w:tcMar>
          </w:tcPr>
          <w:p>
            <w:pPr>
              <w:spacing w:before="20" w:after="20" w:line="259" w:lineRule="auto"/>
            </w:pPr>
            <w:r>
              <w:rPr>
                <w:rFonts w:ascii="Calibri" w:hAnsi="Calibri"/>
                <w:b w:val="0"/>
                <w:color w:val="111827"/>
                <w:sz w:val="16"/>
              </w:rPr>
              <w:t>pp. 2-12; 24-29; 33-55</w:t>
            </w:r>
          </w:p>
        </w:tc>
        <w:tc>
          <w:tcPr>
            <w:tcW w:type="dxa" w:w="5360"/>
            <w:vAlign w:val="center"/>
            <w:tcMar>
              <w:top w:w="80" w:type="dxa"/>
              <w:start w:w="120" w:type="dxa"/>
              <w:bottom w:w="80" w:type="dxa"/>
              <w:end w:w="120" w:type="dxa"/>
            </w:tcMar>
          </w:tcPr>
          <w:p>
            <w:pPr>
              <w:spacing w:before="20" w:after="20" w:line="259" w:lineRule="auto"/>
            </w:pPr>
            <w:r>
              <w:rPr>
                <w:rFonts w:ascii="Calibri" w:hAnsi="Calibri"/>
                <w:b w:val="0"/>
                <w:color w:val="111827"/>
                <w:sz w:val="16"/>
              </w:rPr>
              <w:t>Core: dose-to-effect stages, direct/inverse problems, one- and two-compartment models, absorption, half-life, volume of distribution, and nonlinear kinetics. Pages 13-15 add population variability.</w:t>
            </w:r>
          </w:p>
        </w:tc>
      </w:tr>
      <w:tr>
        <w:trPr>
          <w:cantSplit/>
          <w:trHeight w:hRule="atLeast"/>
        </w:trPr>
        <w:tc>
          <w:tcPr>
            <w:tcW w:type="dxa" w:w="2760"/>
            <w:shd w:fill="FAFBFC"/>
            <w:vAlign w:val="center"/>
            <w:tcMar>
              <w:top w:w="80" w:type="dxa"/>
              <w:start w:w="120" w:type="dxa"/>
              <w:bottom w:w="80" w:type="dxa"/>
              <w:end w:w="120" w:type="dxa"/>
            </w:tcMar>
          </w:tcPr>
          <w:p>
            <w:pPr>
              <w:spacing w:before="20" w:after="20" w:line="259" w:lineRule="auto"/>
            </w:pPr>
            <w:r>
              <w:rPr>
                <w:rFonts w:ascii="Calibri" w:hAnsi="Calibri"/>
                <w:b/>
                <w:color w:val="111827"/>
                <w:sz w:val="16"/>
              </w:rPr>
              <w:t>PBPK_spring_2018.pdf</w:t>
            </w:r>
          </w:p>
        </w:tc>
        <w:tc>
          <w:tcPr>
            <w:tcW w:type="dxa" w:w="124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6"/>
              </w:rPr>
              <w:t>pp. 1-15</w:t>
            </w:r>
          </w:p>
        </w:tc>
        <w:tc>
          <w:tcPr>
            <w:tcW w:type="dxa" w:w="53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6"/>
              </w:rPr>
              <w:t>Core: physiology-based compartments, blood flow, permeability-surface area exchange, organ balances, and applications.</w:t>
            </w:r>
          </w:p>
        </w:tc>
      </w:tr>
      <w:tr>
        <w:trPr>
          <w:cantSplit/>
          <w:trHeight w:hRule="atLeast"/>
        </w:trPr>
        <w:tc>
          <w:tcPr>
            <w:tcW w:type="dxa" w:w="2760"/>
            <w:vAlign w:val="center"/>
            <w:tcMar>
              <w:top w:w="80" w:type="dxa"/>
              <w:start w:w="120" w:type="dxa"/>
              <w:bottom w:w="80" w:type="dxa"/>
              <w:end w:w="120" w:type="dxa"/>
            </w:tcMar>
          </w:tcPr>
          <w:p>
            <w:pPr>
              <w:spacing w:before="20" w:after="20" w:line="259" w:lineRule="auto"/>
            </w:pPr>
            <w:r>
              <w:rPr>
                <w:rFonts w:ascii="Calibri" w:hAnsi="Calibri"/>
                <w:b/>
                <w:color w:val="111827"/>
                <w:sz w:val="16"/>
              </w:rPr>
              <w:t>Facilitated_Diffusion.pdf</w:t>
            </w:r>
          </w:p>
        </w:tc>
        <w:tc>
          <w:tcPr>
            <w:tcW w:type="dxa" w:w="1240"/>
            <w:vAlign w:val="center"/>
            <w:tcMar>
              <w:top w:w="80" w:type="dxa"/>
              <w:start w:w="120" w:type="dxa"/>
              <w:bottom w:w="80" w:type="dxa"/>
              <w:end w:w="120" w:type="dxa"/>
            </w:tcMar>
          </w:tcPr>
          <w:p>
            <w:pPr>
              <w:spacing w:before="20" w:after="20" w:line="259" w:lineRule="auto"/>
            </w:pPr>
            <w:r>
              <w:rPr>
                <w:rFonts w:ascii="Calibri" w:hAnsi="Calibri"/>
                <w:b w:val="0"/>
                <w:color w:val="111827"/>
                <w:sz w:val="16"/>
              </w:rPr>
              <w:t>pp. 1-6</w:t>
            </w:r>
          </w:p>
        </w:tc>
        <w:tc>
          <w:tcPr>
            <w:tcW w:type="dxa" w:w="5360"/>
            <w:vAlign w:val="center"/>
            <w:tcMar>
              <w:top w:w="80" w:type="dxa"/>
              <w:start w:w="120" w:type="dxa"/>
              <w:bottom w:w="80" w:type="dxa"/>
              <w:end w:w="120" w:type="dxa"/>
            </w:tcMar>
          </w:tcPr>
          <w:p>
            <w:pPr>
              <w:spacing w:before="20" w:after="20" w:line="259" w:lineRule="auto"/>
            </w:pPr>
            <w:r>
              <w:rPr>
                <w:rFonts w:ascii="Calibri" w:hAnsi="Calibri"/>
                <w:b w:val="0"/>
                <w:color w:val="111827"/>
                <w:sz w:val="16"/>
              </w:rPr>
              <w:t>Core bridge from membrane biology to saturable carrier models.</w:t>
            </w:r>
          </w:p>
        </w:tc>
      </w:tr>
      <w:tr>
        <w:trPr>
          <w:cantSplit/>
          <w:trHeight w:hRule="atLeast"/>
        </w:trPr>
        <w:tc>
          <w:tcPr>
            <w:tcW w:type="dxa" w:w="2760"/>
            <w:shd w:fill="FAFBFC"/>
            <w:vAlign w:val="center"/>
            <w:tcMar>
              <w:top w:w="80" w:type="dxa"/>
              <w:start w:w="120" w:type="dxa"/>
              <w:bottom w:w="80" w:type="dxa"/>
              <w:end w:w="120" w:type="dxa"/>
            </w:tcMar>
          </w:tcPr>
          <w:p>
            <w:pPr>
              <w:spacing w:before="20" w:after="20" w:line="259" w:lineRule="auto"/>
            </w:pPr>
            <w:r>
              <w:rPr>
                <w:rFonts w:ascii="Calibri" w:hAnsi="Calibri"/>
                <w:b/>
                <w:color w:val="111827"/>
                <w:sz w:val="16"/>
              </w:rPr>
              <w:t>Electrochemical_gradient_4_2_2018.pdf</w:t>
            </w:r>
          </w:p>
        </w:tc>
        <w:tc>
          <w:tcPr>
            <w:tcW w:type="dxa" w:w="124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6"/>
              </w:rPr>
              <w:t>pp. 1-6</w:t>
            </w:r>
          </w:p>
        </w:tc>
        <w:tc>
          <w:tcPr>
            <w:tcW w:type="dxa" w:w="53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6"/>
              </w:rPr>
              <w:t>Core: Fick, Nernst-Planck, GHK flux, and charged-solute compartment balances.</w:t>
            </w:r>
          </w:p>
        </w:tc>
      </w:tr>
      <w:tr>
        <w:trPr>
          <w:cantSplit/>
          <w:trHeight w:hRule="atLeast"/>
        </w:trPr>
        <w:tc>
          <w:tcPr>
            <w:tcW w:type="dxa" w:w="2760"/>
            <w:vAlign w:val="center"/>
            <w:tcMar>
              <w:top w:w="80" w:type="dxa"/>
              <w:start w:w="120" w:type="dxa"/>
              <w:bottom w:w="80" w:type="dxa"/>
              <w:end w:w="120" w:type="dxa"/>
            </w:tcMar>
          </w:tcPr>
          <w:p>
            <w:pPr>
              <w:spacing w:before="20" w:after="20" w:line="259" w:lineRule="auto"/>
            </w:pPr>
            <w:r>
              <w:rPr>
                <w:rFonts w:ascii="Calibri" w:hAnsi="Calibri"/>
                <w:b/>
                <w:color w:val="111827"/>
                <w:sz w:val="16"/>
              </w:rPr>
              <w:t>Resting_membrane_potential_4_2_2-18.pdf</w:t>
            </w:r>
          </w:p>
        </w:tc>
        <w:tc>
          <w:tcPr>
            <w:tcW w:type="dxa" w:w="1240"/>
            <w:vAlign w:val="center"/>
            <w:tcMar>
              <w:top w:w="80" w:type="dxa"/>
              <w:start w:w="120" w:type="dxa"/>
              <w:bottom w:w="80" w:type="dxa"/>
              <w:end w:w="120" w:type="dxa"/>
            </w:tcMar>
          </w:tcPr>
          <w:p>
            <w:pPr>
              <w:spacing w:before="20" w:after="20" w:line="259" w:lineRule="auto"/>
            </w:pPr>
            <w:r>
              <w:rPr>
                <w:rFonts w:ascii="Calibri" w:hAnsi="Calibri"/>
                <w:b w:val="0"/>
                <w:color w:val="111827"/>
                <w:sz w:val="16"/>
              </w:rPr>
              <w:t>pp. 1-10</w:t>
            </w:r>
          </w:p>
        </w:tc>
        <w:tc>
          <w:tcPr>
            <w:tcW w:type="dxa" w:w="5360"/>
            <w:vAlign w:val="center"/>
            <w:tcMar>
              <w:top w:w="80" w:type="dxa"/>
              <w:start w:w="120" w:type="dxa"/>
              <w:bottom w:w="80" w:type="dxa"/>
              <w:end w:w="120" w:type="dxa"/>
            </w:tcMar>
          </w:tcPr>
          <w:p>
            <w:pPr>
              <w:spacing w:before="20" w:after="20" w:line="259" w:lineRule="auto"/>
            </w:pPr>
            <w:r>
              <w:rPr>
                <w:rFonts w:ascii="Calibri" w:hAnsi="Calibri"/>
                <w:b w:val="0"/>
                <w:color w:val="111827"/>
                <w:sz w:val="16"/>
              </w:rPr>
              <w:t>Core: ion gradients, Nernst, resting potential, pump contribution, and voltage-gated channels.</w:t>
            </w:r>
          </w:p>
        </w:tc>
      </w:tr>
      <w:tr>
        <w:trPr>
          <w:cantSplit/>
          <w:trHeight w:hRule="atLeast"/>
        </w:trPr>
        <w:tc>
          <w:tcPr>
            <w:tcW w:type="dxa" w:w="2760"/>
            <w:shd w:fill="FAFBFC"/>
            <w:vAlign w:val="center"/>
            <w:tcMar>
              <w:top w:w="80" w:type="dxa"/>
              <w:start w:w="120" w:type="dxa"/>
              <w:bottom w:w="80" w:type="dxa"/>
              <w:end w:w="120" w:type="dxa"/>
            </w:tcMar>
          </w:tcPr>
          <w:p>
            <w:pPr>
              <w:spacing w:before="20" w:after="20" w:line="259" w:lineRule="auto"/>
            </w:pPr>
            <w:r>
              <w:rPr>
                <w:rFonts w:ascii="Calibri" w:hAnsi="Calibri"/>
                <w:b/>
                <w:color w:val="111827"/>
                <w:sz w:val="16"/>
              </w:rPr>
              <w:t>Dash_Modeling Cellular Electrophysiology(1).pdf</w:t>
            </w:r>
          </w:p>
        </w:tc>
        <w:tc>
          <w:tcPr>
            <w:tcW w:type="dxa" w:w="124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6"/>
              </w:rPr>
              <w:t>pp. 2-19</w:t>
            </w:r>
          </w:p>
        </w:tc>
        <w:tc>
          <w:tcPr>
            <w:tcW w:type="dxa" w:w="53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6"/>
              </w:rPr>
              <w:t>Core/bridge: membranes, Nernst, current-voltage relations, gating variables, HH structure, GHK, and cardiac Ca2+ context. Pages 20-22 are advanced Markov-channel modeling.</w:t>
            </w:r>
          </w:p>
        </w:tc>
      </w:tr>
      <w:tr>
        <w:trPr>
          <w:cantSplit/>
          <w:trHeight w:hRule="atLeast"/>
        </w:trPr>
        <w:tc>
          <w:tcPr>
            <w:tcW w:type="dxa" w:w="2760"/>
            <w:vAlign w:val="center"/>
            <w:tcMar>
              <w:top w:w="80" w:type="dxa"/>
              <w:start w:w="120" w:type="dxa"/>
              <w:bottom w:w="80" w:type="dxa"/>
              <w:end w:w="120" w:type="dxa"/>
            </w:tcMar>
          </w:tcPr>
          <w:p>
            <w:pPr>
              <w:spacing w:before="20" w:after="20" w:line="259" w:lineRule="auto"/>
            </w:pPr>
            <w:r>
              <w:rPr>
                <w:rFonts w:ascii="Calibri" w:hAnsi="Calibri"/>
                <w:b/>
                <w:color w:val="111827"/>
                <w:sz w:val="16"/>
              </w:rPr>
              <w:t>Dash_The Hodgkin-Huxley Model.pdf</w:t>
            </w:r>
          </w:p>
        </w:tc>
        <w:tc>
          <w:tcPr>
            <w:tcW w:type="dxa" w:w="1240"/>
            <w:vAlign w:val="center"/>
            <w:tcMar>
              <w:top w:w="80" w:type="dxa"/>
              <w:start w:w="120" w:type="dxa"/>
              <w:bottom w:w="80" w:type="dxa"/>
              <w:end w:w="120" w:type="dxa"/>
            </w:tcMar>
          </w:tcPr>
          <w:p>
            <w:pPr>
              <w:spacing w:before="20" w:after="20" w:line="259" w:lineRule="auto"/>
            </w:pPr>
            <w:r>
              <w:rPr>
                <w:rFonts w:ascii="Calibri" w:hAnsi="Calibri"/>
                <w:b w:val="0"/>
                <w:color w:val="111827"/>
                <w:sz w:val="16"/>
              </w:rPr>
              <w:t>pp. 1-10</w:t>
            </w:r>
          </w:p>
        </w:tc>
        <w:tc>
          <w:tcPr>
            <w:tcW w:type="dxa" w:w="5360"/>
            <w:vAlign w:val="center"/>
            <w:tcMar>
              <w:top w:w="80" w:type="dxa"/>
              <w:start w:w="120" w:type="dxa"/>
              <w:bottom w:w="80" w:type="dxa"/>
              <w:end w:w="120" w:type="dxa"/>
            </w:tcMar>
          </w:tcPr>
          <w:p>
            <w:pPr>
              <w:spacing w:before="20" w:after="20" w:line="259" w:lineRule="auto"/>
            </w:pPr>
            <w:r>
              <w:rPr>
                <w:rFonts w:ascii="Calibri" w:hAnsi="Calibri"/>
                <w:b w:val="0"/>
                <w:color w:val="111827"/>
                <w:sz w:val="16"/>
              </w:rPr>
              <w:t>Optional advanced reading. Use for structure and gating intuition, not as a prerequisite derivation.</w:t>
            </w:r>
          </w:p>
        </w:tc>
      </w:tr>
      <w:tr>
        <w:trPr>
          <w:cantSplit/>
          <w:trHeight w:hRule="atLeast"/>
        </w:trPr>
        <w:tc>
          <w:tcPr>
            <w:tcW w:type="dxa" w:w="2760"/>
            <w:shd w:fill="FAFBFC"/>
            <w:vAlign w:val="center"/>
            <w:tcMar>
              <w:top w:w="80" w:type="dxa"/>
              <w:start w:w="120" w:type="dxa"/>
              <w:bottom w:w="80" w:type="dxa"/>
              <w:end w:w="120" w:type="dxa"/>
            </w:tcMar>
          </w:tcPr>
          <w:p>
            <w:pPr>
              <w:spacing w:before="20" w:after="20" w:line="259" w:lineRule="auto"/>
            </w:pPr>
            <w:r>
              <w:rPr>
                <w:rFonts w:ascii="Calibri" w:hAnsi="Calibri"/>
                <w:b/>
                <w:color w:val="111827"/>
                <w:sz w:val="16"/>
              </w:rPr>
              <w:t>Dash_Modeling Biochemical Reaction Systems.pdf</w:t>
            </w:r>
          </w:p>
        </w:tc>
        <w:tc>
          <w:tcPr>
            <w:tcW w:type="dxa" w:w="124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6"/>
              </w:rPr>
              <w:t>pp. 4-20</w:t>
            </w:r>
          </w:p>
        </w:tc>
        <w:tc>
          <w:tcPr>
            <w:tcW w:type="dxa" w:w="53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6"/>
              </w:rPr>
              <w:t>Core: mass-conservation matrix, mass action, Gibbs energy, energy coupling, ion transport, enzymes, and Michaelis-Menten. Pages 21-31 are advanced reversible/cooperative/inhibition models.</w:t>
            </w:r>
          </w:p>
        </w:tc>
      </w:tr>
      <w:tr>
        <w:trPr>
          <w:cantSplit/>
          <w:trHeight w:hRule="atLeast"/>
        </w:trPr>
        <w:tc>
          <w:tcPr>
            <w:tcW w:type="dxa" w:w="2760"/>
            <w:vAlign w:val="center"/>
            <w:tcMar>
              <w:top w:w="80" w:type="dxa"/>
              <w:start w:w="120" w:type="dxa"/>
              <w:bottom w:w="80" w:type="dxa"/>
              <w:end w:w="120" w:type="dxa"/>
            </w:tcMar>
          </w:tcPr>
          <w:p>
            <w:pPr>
              <w:spacing w:before="20" w:after="20" w:line="259" w:lineRule="auto"/>
            </w:pPr>
            <w:r>
              <w:rPr>
                <w:rFonts w:ascii="Calibri" w:hAnsi="Calibri"/>
                <w:b/>
                <w:color w:val="111827"/>
                <w:sz w:val="16"/>
              </w:rPr>
              <w:t>Regression_analysis_handout_LM_Spring_2018.pdf</w:t>
            </w:r>
          </w:p>
        </w:tc>
        <w:tc>
          <w:tcPr>
            <w:tcW w:type="dxa" w:w="1240"/>
            <w:vAlign w:val="center"/>
            <w:tcMar>
              <w:top w:w="80" w:type="dxa"/>
              <w:start w:w="120" w:type="dxa"/>
              <w:bottom w:w="80" w:type="dxa"/>
              <w:end w:w="120" w:type="dxa"/>
            </w:tcMar>
          </w:tcPr>
          <w:p>
            <w:pPr>
              <w:spacing w:before="20" w:after="20" w:line="259" w:lineRule="auto"/>
            </w:pPr>
            <w:r>
              <w:rPr>
                <w:rFonts w:ascii="Calibri" w:hAnsi="Calibri"/>
                <w:b w:val="0"/>
                <w:color w:val="111827"/>
                <w:sz w:val="16"/>
              </w:rPr>
              <w:t>pp. 1-8</w:t>
            </w:r>
          </w:p>
        </w:tc>
        <w:tc>
          <w:tcPr>
            <w:tcW w:type="dxa" w:w="5360"/>
            <w:vAlign w:val="center"/>
            <w:tcMar>
              <w:top w:w="80" w:type="dxa"/>
              <w:start w:w="120" w:type="dxa"/>
              <w:bottom w:w="80" w:type="dxa"/>
              <w:end w:w="120" w:type="dxa"/>
            </w:tcMar>
          </w:tcPr>
          <w:p>
            <w:pPr>
              <w:spacing w:before="20" w:after="20" w:line="259" w:lineRule="auto"/>
            </w:pPr>
            <w:r>
              <w:rPr>
                <w:rFonts w:ascii="Calibri" w:hAnsi="Calibri"/>
                <w:b w:val="0"/>
                <w:color w:val="111827"/>
                <w:sz w:val="16"/>
              </w:rPr>
              <w:t>Guided advanced lab: nonlinear regression, local minima, Levenberg-Marquardt, parameter uncertainty, and example fits.</w:t>
            </w:r>
          </w:p>
        </w:tc>
      </w:tr>
      <w:tr>
        <w:trPr>
          <w:cantSplit/>
          <w:trHeight w:hRule="atLeast"/>
        </w:trPr>
        <w:tc>
          <w:tcPr>
            <w:tcW w:type="dxa" w:w="2760"/>
            <w:shd w:fill="FAFBFC"/>
            <w:vAlign w:val="center"/>
            <w:tcMar>
              <w:top w:w="80" w:type="dxa"/>
              <w:start w:w="120" w:type="dxa"/>
              <w:bottom w:w="80" w:type="dxa"/>
              <w:end w:w="120" w:type="dxa"/>
            </w:tcMar>
          </w:tcPr>
          <w:p>
            <w:pPr>
              <w:spacing w:before="20" w:after="20" w:line="259" w:lineRule="auto"/>
            </w:pPr>
            <w:r>
              <w:rPr>
                <w:rFonts w:ascii="Calibri" w:hAnsi="Calibri"/>
                <w:b/>
                <w:color w:val="111827"/>
                <w:sz w:val="16"/>
              </w:rPr>
              <w:t>Model_assessment.pdf</w:t>
            </w:r>
          </w:p>
        </w:tc>
        <w:tc>
          <w:tcPr>
            <w:tcW w:type="dxa" w:w="124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6"/>
              </w:rPr>
              <w:t>p. 1</w:t>
            </w:r>
          </w:p>
        </w:tc>
        <w:tc>
          <w:tcPr>
            <w:tcW w:type="dxa" w:w="53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6"/>
              </w:rPr>
              <w:t>Core checklist for fit and parameter assessment.</w:t>
            </w:r>
          </w:p>
        </w:tc>
      </w:tr>
    </w:tbl>
    <w:p>
      <w:pPr>
        <w:spacing w:before="80" w:after="80" w:line="240" w:lineRule="auto"/>
      </w:pPr>
      <w:r>
        <w:rPr>
          <w:rFonts w:ascii="Calibri" w:hAnsi="Calibri"/>
          <w:i/>
          <w:color w:val="5B6573"/>
          <w:sz w:val="17"/>
        </w:rPr>
        <w:t>The scanned handwritten thermodynamics, enzyme-kinetics, and voltage-gating notes are better retained as instructor references; the clean Dash lecture decks cover the same concepts more accessibly.</w:t>
      </w:r>
    </w:p>
    <w:p>
      <w:pPr>
        <w:pStyle w:val="Heading2"/>
        <w:keepNext/>
      </w:pPr>
      <w:r>
        <w:t>Archive curation decisions</w:t>
      </w:r>
    </w:p>
    <w:tbl>
      <w:tblPr>
        <w:tblW w:type="dxa" w:w="9360"/>
        <w:tblLayout w:type="fixed"/>
        <w:tblLook w:firstColumn="1" w:firstRow="1" w:lastColumn="0" w:lastRow="0" w:noHBand="0" w:noVBand="1" w:val="04A0"/>
        <w:jc w:val="left"/>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2100"/>
        <w:gridCol w:w="7260"/>
      </w:tblGrid>
      <w:tr>
        <w:trPr>
          <w:trHeight w:hRule="atLeast"/>
          <w:tblHeader w:val="true"/>
          <w:cantSplit/>
        </w:trPr>
        <w:tc>
          <w:tcPr>
            <w:tcW w:type="dxa" w:w="2100"/>
            <w:vAlign w:val="center"/>
            <w:tcMar>
              <w:top w:w="80" w:type="dxa"/>
              <w:start w:w="120" w:type="dxa"/>
              <w:bottom w:w="80" w:type="dxa"/>
              <w:end w:w="120" w:type="dxa"/>
            </w:tcMar>
            <w:shd w:fill="E8EEF5"/>
          </w:tcPr>
          <w:p>
            <w:pPr>
              <w:spacing w:before="20" w:after="20" w:line="252" w:lineRule="auto"/>
            </w:pPr>
            <w:r>
              <w:rPr>
                <w:rFonts w:ascii="Calibri" w:hAnsi="Calibri"/>
                <w:b/>
                <w:color w:val="1F3A5F"/>
                <w:sz w:val="18"/>
              </w:rPr>
              <w:t>Decision</w:t>
            </w:r>
          </w:p>
        </w:tc>
        <w:tc>
          <w:tcPr>
            <w:tcW w:type="dxa" w:w="7260"/>
            <w:vAlign w:val="center"/>
            <w:tcMar>
              <w:top w:w="80" w:type="dxa"/>
              <w:start w:w="120" w:type="dxa"/>
              <w:bottom w:w="80" w:type="dxa"/>
              <w:end w:w="120" w:type="dxa"/>
            </w:tcMar>
            <w:shd w:fill="E8EEF5"/>
          </w:tcPr>
          <w:p>
            <w:pPr>
              <w:spacing w:before="20" w:after="20" w:line="252" w:lineRule="auto"/>
            </w:pPr>
            <w:r>
              <w:rPr>
                <w:rFonts w:ascii="Calibri" w:hAnsi="Calibri"/>
                <w:b/>
                <w:color w:val="1F3A5F"/>
                <w:sz w:val="18"/>
              </w:rPr>
              <w:t>Materials</w:t>
            </w:r>
          </w:p>
        </w:tc>
      </w:tr>
      <w:tr>
        <w:trPr>
          <w:cantSplit/>
          <w:trHeight w:hRule="atLeast"/>
        </w:trPr>
        <w:tc>
          <w:tcPr>
            <w:tcW w:type="dxa" w:w="2100"/>
            <w:vAlign w:val="center"/>
            <w:tcMar>
              <w:top w:w="80" w:type="dxa"/>
              <w:start w:w="120" w:type="dxa"/>
              <w:bottom w:w="80" w:type="dxa"/>
              <w:end w:w="120" w:type="dxa"/>
            </w:tcMar>
          </w:tcPr>
          <w:p>
            <w:pPr>
              <w:spacing w:before="20" w:after="20" w:line="259" w:lineRule="auto"/>
            </w:pPr>
            <w:r>
              <w:rPr>
                <w:rFonts w:ascii="Calibri" w:hAnsi="Calibri"/>
                <w:b/>
                <w:color w:val="111827"/>
                <w:sz w:val="18"/>
              </w:rPr>
              <w:t>Use as the student spine</w:t>
            </w:r>
          </w:p>
        </w:tc>
        <w:tc>
          <w:tcPr>
            <w:tcW w:type="dxa" w:w="7260"/>
            <w:vAlign w:val="center"/>
            <w:tcMar>
              <w:top w:w="80" w:type="dxa"/>
              <w:start w:w="120" w:type="dxa"/>
              <w:bottom w:w="80" w:type="dxa"/>
              <w:end w:w="120" w:type="dxa"/>
            </w:tcMar>
          </w:tcPr>
          <w:p>
            <w:pPr>
              <w:spacing w:before="20" w:after="20" w:line="259" w:lineRule="auto"/>
            </w:pPr>
            <w:r>
              <w:rPr>
                <w:rFonts w:ascii="Calibri" w:hAnsi="Calibri"/>
                <w:b w:val="0"/>
                <w:color w:val="111827"/>
                <w:sz w:val="18"/>
              </w:rPr>
              <w:t>01homeostasis; Intro Simulation; Intro Compartmental Modeling; ODEs/numerics; PKPD; PBPK; electrochemical gradient/resting potential; biochemical reactions; the electroexo examples.</w:t>
            </w:r>
          </w:p>
        </w:tc>
      </w:tr>
      <w:tr>
        <w:trPr>
          <w:cantSplit/>
          <w:trHeight w:hRule="atLeast"/>
        </w:trPr>
        <w:tc>
          <w:tcPr>
            <w:tcW w:type="dxa" w:w="2100"/>
            <w:shd w:fill="FAFBFC"/>
            <w:vAlign w:val="center"/>
            <w:tcMar>
              <w:top w:w="80" w:type="dxa"/>
              <w:start w:w="120" w:type="dxa"/>
              <w:bottom w:w="80" w:type="dxa"/>
              <w:end w:w="120" w:type="dxa"/>
            </w:tcMar>
          </w:tcPr>
          <w:p>
            <w:pPr>
              <w:spacing w:before="20" w:after="20" w:line="259" w:lineRule="auto"/>
            </w:pPr>
            <w:r>
              <w:rPr>
                <w:rFonts w:ascii="Calibri" w:hAnsi="Calibri"/>
                <w:b/>
                <w:color w:val="111827"/>
                <w:sz w:val="18"/>
              </w:rPr>
              <w:t>Adapt selectively</w:t>
            </w:r>
          </w:p>
        </w:tc>
        <w:tc>
          <w:tcPr>
            <w:tcW w:type="dxa" w:w="72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8"/>
              </w:rPr>
              <w:t>Muscle/neuro Ca2+ and exocytosis; circulation/kidney/respiratory case studies; full cellular electrophysiology; regression and model assessment.</w:t>
            </w:r>
          </w:p>
        </w:tc>
      </w:tr>
      <w:tr>
        <w:trPr>
          <w:cantSplit/>
          <w:trHeight w:hRule="atLeast"/>
        </w:trPr>
        <w:tc>
          <w:tcPr>
            <w:tcW w:type="dxa" w:w="2100"/>
            <w:vAlign w:val="center"/>
            <w:tcMar>
              <w:top w:w="80" w:type="dxa"/>
              <w:start w:w="120" w:type="dxa"/>
              <w:bottom w:w="80" w:type="dxa"/>
              <w:end w:w="120" w:type="dxa"/>
            </w:tcMar>
          </w:tcPr>
          <w:p>
            <w:pPr>
              <w:spacing w:before="20" w:after="20" w:line="259" w:lineRule="auto"/>
            </w:pPr>
            <w:r>
              <w:rPr>
                <w:rFonts w:ascii="Calibri" w:hAnsi="Calibri"/>
                <w:b/>
                <w:color w:val="111827"/>
                <w:sz w:val="18"/>
              </w:rPr>
              <w:t>Defer or make optional</w:t>
            </w:r>
          </w:p>
        </w:tc>
        <w:tc>
          <w:tcPr>
            <w:tcW w:type="dxa" w:w="7260"/>
            <w:vAlign w:val="center"/>
            <w:tcMar>
              <w:top w:w="80" w:type="dxa"/>
              <w:start w:w="120" w:type="dxa"/>
              <w:bottom w:w="80" w:type="dxa"/>
              <w:end w:w="120" w:type="dxa"/>
            </w:tcMar>
          </w:tcPr>
          <w:p>
            <w:pPr>
              <w:spacing w:before="20" w:after="20" w:line="259" w:lineRule="auto"/>
            </w:pPr>
            <w:r>
              <w:rPr>
                <w:rFonts w:ascii="Calibri" w:hAnsi="Calibri"/>
                <w:b w:val="0"/>
                <w:color w:val="111827"/>
                <w:sz w:val="18"/>
              </w:rPr>
              <w:t>Laplace-transform derivations, exact eigenvalue solutions, full HH derivation, Markov-channel detail, cell-cycle module, whole-organ survey topics unrelated to the EV narrative.</w:t>
            </w:r>
          </w:p>
        </w:tc>
      </w:tr>
      <w:tr>
        <w:trPr>
          <w:cantSplit/>
          <w:trHeight w:hRule="atLeast"/>
        </w:trPr>
        <w:tc>
          <w:tcPr>
            <w:tcW w:type="dxa" w:w="2100"/>
            <w:shd w:fill="FAFBFC"/>
            <w:vAlign w:val="center"/>
            <w:tcMar>
              <w:top w:w="80" w:type="dxa"/>
              <w:start w:w="120" w:type="dxa"/>
              <w:bottom w:w="80" w:type="dxa"/>
              <w:end w:w="120" w:type="dxa"/>
            </w:tcMar>
          </w:tcPr>
          <w:p>
            <w:pPr>
              <w:spacing w:before="20" w:after="20" w:line="259" w:lineRule="auto"/>
            </w:pPr>
            <w:r>
              <w:rPr>
                <w:rFonts w:ascii="Calibri" w:hAnsi="Calibri"/>
                <w:b/>
                <w:color w:val="111827"/>
                <w:sz w:val="18"/>
              </w:rPr>
              <w:t>Instructor-only references</w:t>
            </w:r>
          </w:p>
        </w:tc>
        <w:tc>
          <w:tcPr>
            <w:tcW w:type="dxa" w:w="72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8"/>
              </w:rPr>
              <w:t>Handwritten scanned thermodynamics, simple-enzyme, and voltage-gating notes; backup ZIP duplicates; exam solutions and student submissions.</w:t>
            </w:r>
          </w:p>
        </w:tc>
      </w:tr>
    </w:tbl>
    <w:p>
      <w:pPr>
        <w:spacing w:before="80" w:after="80" w:line="240" w:lineRule="auto"/>
      </w:pPr>
      <w:r>
        <w:rPr>
          <w:rFonts w:ascii="Calibri" w:hAnsi="Calibri"/>
          <w:i/>
          <w:color w:val="5B6573"/>
          <w:sz w:val="17"/>
        </w:rPr>
        <w:t>This curation prevents the beginner course from inheriting the mathematical prerequisite load of the original graduate course.</w:t>
      </w:r>
    </w:p>
    <w:p>
      <w:pPr>
        <w:pStyle w:val="Heading1"/>
        <w:keepNext/>
      </w:pPr>
      <w:r>
        <w:t>4. Recommended 14-week course sequence</w:t>
      </w:r>
    </w:p>
    <w:p>
      <w:pPr>
        <w:spacing w:before="0" w:after="120" w:line="300" w:lineRule="auto"/>
      </w:pPr>
      <w:r>
        <w:rPr>
          <w:rFonts w:ascii="Calibri" w:hAnsi="Calibri"/>
          <w:color w:val="111827"/>
          <w:sz w:val="22"/>
        </w:rPr>
        <w:t>Each week assumes one concept-focused session plus one guided activity or lab. For a lecture-only format, the lab column becomes an in-class figure interpretation or parameter-prediction exercise.</w:t>
      </w:r>
    </w:p>
    <w:tbl>
      <w:tblPr>
        <w:tblW w:type="dxa" w:w="9360"/>
        <w:tblLayout w:type="fixed"/>
        <w:tblLook w:firstColumn="1" w:firstRow="1" w:lastColumn="0" w:lastRow="0" w:noHBand="0" w:noVBand="1" w:val="04A0"/>
        <w:jc w:val="left"/>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560"/>
        <w:gridCol w:w="1470"/>
        <w:gridCol w:w="2390"/>
        <w:gridCol w:w="2320"/>
        <w:gridCol w:w="2620"/>
      </w:tblGrid>
      <w:tr>
        <w:trPr>
          <w:trHeight w:hRule="atLeast"/>
          <w:tblHeader w:val="true"/>
          <w:cantSplit/>
        </w:trPr>
        <w:tc>
          <w:tcPr>
            <w:tcW w:type="dxa" w:w="560"/>
            <w:vAlign w:val="center"/>
            <w:tcMar>
              <w:top w:w="80" w:type="dxa"/>
              <w:start w:w="120" w:type="dxa"/>
              <w:bottom w:w="80" w:type="dxa"/>
              <w:end w:w="120" w:type="dxa"/>
            </w:tcMar>
            <w:shd w:fill="E8EEF5"/>
          </w:tcPr>
          <w:p>
            <w:pPr>
              <w:spacing w:before="20" w:after="20" w:line="252" w:lineRule="auto"/>
            </w:pPr>
            <w:r>
              <w:rPr>
                <w:rFonts w:ascii="Calibri" w:hAnsi="Calibri"/>
                <w:b/>
                <w:color w:val="1F3A5F"/>
                <w:sz w:val="15"/>
              </w:rPr>
              <w:t>Wk</w:t>
            </w:r>
          </w:p>
        </w:tc>
        <w:tc>
          <w:tcPr>
            <w:tcW w:type="dxa" w:w="1470"/>
            <w:vAlign w:val="center"/>
            <w:tcMar>
              <w:top w:w="80" w:type="dxa"/>
              <w:start w:w="120" w:type="dxa"/>
              <w:bottom w:w="80" w:type="dxa"/>
              <w:end w:w="120" w:type="dxa"/>
            </w:tcMar>
            <w:shd w:fill="E8EEF5"/>
          </w:tcPr>
          <w:p>
            <w:pPr>
              <w:spacing w:before="20" w:after="20" w:line="252" w:lineRule="auto"/>
            </w:pPr>
            <w:r>
              <w:rPr>
                <w:rFonts w:ascii="Calibri" w:hAnsi="Calibri"/>
                <w:b/>
                <w:color w:val="1F3A5F"/>
                <w:sz w:val="15"/>
              </w:rPr>
              <w:t>Theme</w:t>
            </w:r>
          </w:p>
        </w:tc>
        <w:tc>
          <w:tcPr>
            <w:tcW w:type="dxa" w:w="2390"/>
            <w:vAlign w:val="center"/>
            <w:tcMar>
              <w:top w:w="80" w:type="dxa"/>
              <w:start w:w="120" w:type="dxa"/>
              <w:bottom w:w="80" w:type="dxa"/>
              <w:end w:w="120" w:type="dxa"/>
            </w:tcMar>
            <w:shd w:fill="E8EEF5"/>
          </w:tcPr>
          <w:p>
            <w:pPr>
              <w:spacing w:before="20" w:after="20" w:line="252" w:lineRule="auto"/>
            </w:pPr>
            <w:r>
              <w:rPr>
                <w:rFonts w:ascii="Calibri" w:hAnsi="Calibri"/>
                <w:b/>
                <w:color w:val="1F3A5F"/>
                <w:sz w:val="15"/>
              </w:rPr>
              <w:t>Core concepts</w:t>
            </w:r>
          </w:p>
        </w:tc>
        <w:tc>
          <w:tcPr>
            <w:tcW w:type="dxa" w:w="2320"/>
            <w:vAlign w:val="center"/>
            <w:tcMar>
              <w:top w:w="80" w:type="dxa"/>
              <w:start w:w="120" w:type="dxa"/>
              <w:bottom w:w="80" w:type="dxa"/>
              <w:end w:w="120" w:type="dxa"/>
            </w:tcMar>
            <w:shd w:fill="E8EEF5"/>
          </w:tcPr>
          <w:p>
            <w:pPr>
              <w:spacing w:before="20" w:after="20" w:line="252" w:lineRule="auto"/>
            </w:pPr>
            <w:r>
              <w:rPr>
                <w:rFonts w:ascii="Calibri" w:hAnsi="Calibri"/>
                <w:b/>
                <w:color w:val="1F3A5F"/>
                <w:sz w:val="15"/>
              </w:rPr>
              <w:t>Activity/lab</w:t>
            </w:r>
          </w:p>
        </w:tc>
        <w:tc>
          <w:tcPr>
            <w:tcW w:type="dxa" w:w="2620"/>
            <w:vAlign w:val="center"/>
            <w:tcMar>
              <w:top w:w="80" w:type="dxa"/>
              <w:start w:w="120" w:type="dxa"/>
              <w:bottom w:w="80" w:type="dxa"/>
              <w:end w:w="120" w:type="dxa"/>
            </w:tcMar>
            <w:shd w:fill="E8EEF5"/>
          </w:tcPr>
          <w:p>
            <w:pPr>
              <w:spacing w:before="20" w:after="20" w:line="252" w:lineRule="auto"/>
            </w:pPr>
            <w:r>
              <w:rPr>
                <w:rFonts w:ascii="Calibri" w:hAnsi="Calibri"/>
                <w:b/>
                <w:color w:val="1F3A5F"/>
                <w:sz w:val="15"/>
              </w:rPr>
              <w:t>Source anchors</w:t>
            </w:r>
          </w:p>
        </w:tc>
      </w:tr>
      <w:tr>
        <w:trPr>
          <w:cantSplit/>
          <w:trHeight w:hRule="atLeast"/>
        </w:trPr>
        <w:tc>
          <w:tcPr>
            <w:tcW w:type="dxa" w:w="560"/>
            <w:vAlign w:val="center"/>
            <w:tcMar>
              <w:top w:w="80" w:type="dxa"/>
              <w:start w:w="120" w:type="dxa"/>
              <w:bottom w:w="80" w:type="dxa"/>
              <w:end w:w="120" w:type="dxa"/>
            </w:tcMar>
          </w:tcPr>
          <w:p>
            <w:pPr>
              <w:spacing w:before="20" w:after="20" w:line="259" w:lineRule="auto"/>
            </w:pPr>
            <w:r>
              <w:rPr>
                <w:rFonts w:ascii="Calibri" w:hAnsi="Calibri"/>
                <w:b/>
                <w:color w:val="111827"/>
                <w:sz w:val="15"/>
              </w:rPr>
              <w:t>1</w:t>
            </w:r>
          </w:p>
        </w:tc>
        <w:tc>
          <w:tcPr>
            <w:tcW w:type="dxa" w:w="1470"/>
            <w:vAlign w:val="center"/>
            <w:tcMar>
              <w:top w:w="80" w:type="dxa"/>
              <w:start w:w="120" w:type="dxa"/>
              <w:bottom w:w="80" w:type="dxa"/>
              <w:end w:w="120" w:type="dxa"/>
            </w:tcMar>
          </w:tcPr>
          <w:p>
            <w:pPr>
              <w:spacing w:before="20" w:after="20" w:line="259" w:lineRule="auto"/>
            </w:pPr>
            <w:r>
              <w:rPr>
                <w:rFonts w:ascii="Calibri" w:hAnsi="Calibri"/>
                <w:b w:val="0"/>
                <w:color w:val="111827"/>
                <w:sz w:val="15"/>
              </w:rPr>
              <w:t>Why model living systems?</w:t>
            </w:r>
          </w:p>
        </w:tc>
        <w:tc>
          <w:tcPr>
            <w:tcW w:type="dxa" w:w="2390"/>
            <w:vAlign w:val="center"/>
            <w:tcMar>
              <w:top w:w="80" w:type="dxa"/>
              <w:start w:w="120" w:type="dxa"/>
              <w:bottom w:w="80" w:type="dxa"/>
              <w:end w:w="120" w:type="dxa"/>
            </w:tcMar>
          </w:tcPr>
          <w:p>
            <w:pPr>
              <w:spacing w:before="20" w:after="20" w:line="259" w:lineRule="auto"/>
            </w:pPr>
            <w:r>
              <w:rPr>
                <w:rFonts w:ascii="Calibri" w:hAnsi="Calibri"/>
                <w:b w:val="0"/>
                <w:color w:val="111827"/>
                <w:sz w:val="15"/>
              </w:rPr>
              <w:t>Homeostasis, feedback, scales, system boundaries, models as useful simplifications.</w:t>
            </w:r>
          </w:p>
        </w:tc>
        <w:tc>
          <w:tcPr>
            <w:tcW w:type="dxa" w:w="2320"/>
            <w:vAlign w:val="center"/>
            <w:tcMar>
              <w:top w:w="80" w:type="dxa"/>
              <w:start w:w="120" w:type="dxa"/>
              <w:bottom w:w="80" w:type="dxa"/>
              <w:end w:w="120" w:type="dxa"/>
            </w:tcMar>
          </w:tcPr>
          <w:p>
            <w:pPr>
              <w:spacing w:before="20" w:after="20" w:line="259" w:lineRule="auto"/>
            </w:pPr>
            <w:r>
              <w:rPr>
                <w:rFonts w:ascii="Calibri" w:hAnsi="Calibri"/>
                <w:b w:val="0"/>
                <w:color w:val="111827"/>
                <w:sz w:val="15"/>
              </w:rPr>
              <w:t>Draw a pulse-to-cell concept map before seeing the formal EV framework.</w:t>
            </w:r>
          </w:p>
        </w:tc>
        <w:tc>
          <w:tcPr>
            <w:tcW w:type="dxa" w:w="2620"/>
            <w:vAlign w:val="center"/>
            <w:tcMar>
              <w:top w:w="80" w:type="dxa"/>
              <w:start w:w="120" w:type="dxa"/>
              <w:bottom w:w="80" w:type="dxa"/>
              <w:end w:w="120" w:type="dxa"/>
            </w:tcMar>
          </w:tcPr>
          <w:p>
            <w:pPr>
              <w:spacing w:before="20" w:after="20" w:line="259" w:lineRule="auto"/>
            </w:pPr>
            <w:r>
              <w:rPr>
                <w:rFonts w:ascii="Calibri" w:hAnsi="Calibri"/>
                <w:b w:val="0"/>
                <w:color w:val="111827"/>
                <w:sz w:val="15"/>
              </w:rPr>
              <w:t>BIEN5700 01homeostasis pp. 6-12; Dash Intro pp. 2-6, 27-37.</w:t>
            </w:r>
          </w:p>
        </w:tc>
      </w:tr>
      <w:tr>
        <w:trPr>
          <w:cantSplit/>
          <w:trHeight w:hRule="atLeast"/>
        </w:trPr>
        <w:tc>
          <w:tcPr>
            <w:tcW w:type="dxa" w:w="560"/>
            <w:shd w:fill="FAFBFC"/>
            <w:vAlign w:val="center"/>
            <w:tcMar>
              <w:top w:w="80" w:type="dxa"/>
              <w:start w:w="120" w:type="dxa"/>
              <w:bottom w:w="80" w:type="dxa"/>
              <w:end w:w="120" w:type="dxa"/>
            </w:tcMar>
          </w:tcPr>
          <w:p>
            <w:pPr>
              <w:spacing w:before="20" w:after="20" w:line="259" w:lineRule="auto"/>
            </w:pPr>
            <w:r>
              <w:rPr>
                <w:rFonts w:ascii="Calibri" w:hAnsi="Calibri"/>
                <w:b/>
                <w:color w:val="111827"/>
                <w:sz w:val="15"/>
              </w:rPr>
              <w:t>2</w:t>
            </w:r>
          </w:p>
        </w:tc>
        <w:tc>
          <w:tcPr>
            <w:tcW w:type="dxa" w:w="147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Cells as compartments</w:t>
            </w:r>
          </w:p>
        </w:tc>
        <w:tc>
          <w:tcPr>
            <w:tcW w:type="dxa" w:w="239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Membranes, organelles, transport, exocytosis, well-mixed assumptions, stocks and flows.</w:t>
            </w:r>
          </w:p>
        </w:tc>
        <w:tc>
          <w:tcPr>
            <w:tcW w:type="dxa" w:w="232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Turn a generic cell into cytosol, ER, mitochondria, membrane, and extracellular compartments.</w:t>
            </w:r>
          </w:p>
        </w:tc>
        <w:tc>
          <w:tcPr>
            <w:tcW w:type="dxa" w:w="262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01homeostasis pp. 13-41; Intro Compartmental pp. 1-3.</w:t>
            </w:r>
          </w:p>
        </w:tc>
      </w:tr>
      <w:tr>
        <w:trPr>
          <w:cantSplit/>
          <w:trHeight w:hRule="atLeast"/>
        </w:trPr>
        <w:tc>
          <w:tcPr>
            <w:tcW w:type="dxa" w:w="560"/>
            <w:vAlign w:val="center"/>
            <w:tcMar>
              <w:top w:w="80" w:type="dxa"/>
              <w:start w:w="120" w:type="dxa"/>
              <w:bottom w:w="80" w:type="dxa"/>
              <w:end w:w="120" w:type="dxa"/>
            </w:tcMar>
          </w:tcPr>
          <w:p>
            <w:pPr>
              <w:spacing w:before="20" w:after="20" w:line="259" w:lineRule="auto"/>
            </w:pPr>
            <w:r>
              <w:rPr>
                <w:rFonts w:ascii="Calibri" w:hAnsi="Calibri"/>
                <w:b/>
                <w:color w:val="111827"/>
                <w:sz w:val="15"/>
              </w:rPr>
              <w:t>3</w:t>
            </w:r>
          </w:p>
        </w:tc>
        <w:tc>
          <w:tcPr>
            <w:tcW w:type="dxa" w:w="1470"/>
            <w:vAlign w:val="center"/>
            <w:tcMar>
              <w:top w:w="80" w:type="dxa"/>
              <w:start w:w="120" w:type="dxa"/>
              <w:bottom w:w="80" w:type="dxa"/>
              <w:end w:w="120" w:type="dxa"/>
            </w:tcMar>
          </w:tcPr>
          <w:p>
            <w:pPr>
              <w:spacing w:before="20" w:after="20" w:line="259" w:lineRule="auto"/>
            </w:pPr>
            <w:r>
              <w:rPr>
                <w:rFonts w:ascii="Calibri" w:hAnsi="Calibri"/>
                <w:b w:val="0"/>
                <w:color w:val="111827"/>
                <w:sz w:val="15"/>
              </w:rPr>
              <w:t>Mass balance and ODEs</w:t>
            </w:r>
          </w:p>
        </w:tc>
        <w:tc>
          <w:tcPr>
            <w:tcW w:type="dxa" w:w="2390"/>
            <w:vAlign w:val="center"/>
            <w:tcMar>
              <w:top w:w="80" w:type="dxa"/>
              <w:start w:w="120" w:type="dxa"/>
              <w:bottom w:w="80" w:type="dxa"/>
              <w:end w:w="120" w:type="dxa"/>
            </w:tcMar>
          </w:tcPr>
          <w:p>
            <w:pPr>
              <w:spacing w:before="20" w:after="20" w:line="259" w:lineRule="auto"/>
            </w:pPr>
            <w:r>
              <w:rPr>
                <w:rFonts w:ascii="Calibri" w:hAnsi="Calibri"/>
                <w:b w:val="0"/>
                <w:color w:val="111827"/>
                <w:sz w:val="15"/>
              </w:rPr>
              <w:t>Amount vs concentration, inflow/outflow, production/consumption, state variables, initial conditions.</w:t>
            </w:r>
          </w:p>
        </w:tc>
        <w:tc>
          <w:tcPr>
            <w:tcW w:type="dxa" w:w="2320"/>
            <w:vAlign w:val="center"/>
            <w:tcMar>
              <w:top w:w="80" w:type="dxa"/>
              <w:start w:w="120" w:type="dxa"/>
              <w:bottom w:w="80" w:type="dxa"/>
              <w:end w:w="120" w:type="dxa"/>
            </w:tcMar>
          </w:tcPr>
          <w:p>
            <w:pPr>
              <w:spacing w:before="20" w:after="20" w:line="259" w:lineRule="auto"/>
            </w:pPr>
            <w:r>
              <w:rPr>
                <w:rFonts w:ascii="Calibri" w:hAnsi="Calibri"/>
                <w:b w:val="0"/>
                <w:color w:val="111827"/>
                <w:sz w:val="15"/>
              </w:rPr>
              <w:t>Build and interpret a one-compartment washout and a two-compartment exchange model.</w:t>
            </w:r>
          </w:p>
        </w:tc>
        <w:tc>
          <w:tcPr>
            <w:tcW w:type="dxa" w:w="2620"/>
            <w:vAlign w:val="center"/>
            <w:tcMar>
              <w:top w:w="80" w:type="dxa"/>
              <w:start w:w="120" w:type="dxa"/>
              <w:bottom w:w="80" w:type="dxa"/>
              <w:end w:w="120" w:type="dxa"/>
            </w:tcMar>
          </w:tcPr>
          <w:p>
            <w:pPr>
              <w:spacing w:before="20" w:after="20" w:line="259" w:lineRule="auto"/>
            </w:pPr>
            <w:r>
              <w:rPr>
                <w:rFonts w:ascii="Calibri" w:hAnsi="Calibri"/>
                <w:b w:val="0"/>
                <w:color w:val="111827"/>
                <w:sz w:val="15"/>
              </w:rPr>
              <w:t>Intro Compartmental pp. 1-11; Differential Equations pp. 1-6.</w:t>
            </w:r>
          </w:p>
        </w:tc>
      </w:tr>
      <w:tr>
        <w:trPr>
          <w:cantSplit/>
          <w:trHeight w:hRule="atLeast"/>
        </w:trPr>
        <w:tc>
          <w:tcPr>
            <w:tcW w:type="dxa" w:w="560"/>
            <w:shd w:fill="FAFBFC"/>
            <w:vAlign w:val="center"/>
            <w:tcMar>
              <w:top w:w="80" w:type="dxa"/>
              <w:start w:w="120" w:type="dxa"/>
              <w:bottom w:w="80" w:type="dxa"/>
              <w:end w:w="120" w:type="dxa"/>
            </w:tcMar>
          </w:tcPr>
          <w:p>
            <w:pPr>
              <w:spacing w:before="20" w:after="20" w:line="259" w:lineRule="auto"/>
            </w:pPr>
            <w:r>
              <w:rPr>
                <w:rFonts w:ascii="Calibri" w:hAnsi="Calibri"/>
                <w:b/>
                <w:color w:val="111827"/>
                <w:sz w:val="15"/>
              </w:rPr>
              <w:t>4</w:t>
            </w:r>
          </w:p>
        </w:tc>
        <w:tc>
          <w:tcPr>
            <w:tcW w:type="dxa" w:w="147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Numerical simulation</w:t>
            </w:r>
          </w:p>
        </w:tc>
        <w:tc>
          <w:tcPr>
            <w:tcW w:type="dxa" w:w="239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Euler and Runge-Kutta intuition, solver output, error, time step, plots, reproducibility.</w:t>
            </w:r>
          </w:p>
        </w:tc>
        <w:tc>
          <w:tcPr>
            <w:tcW w:type="dxa" w:w="232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Compare Euler with solve_ivp; explain when two curves disagree.</w:t>
            </w:r>
          </w:p>
        </w:tc>
        <w:tc>
          <w:tcPr>
            <w:tcW w:type="dxa" w:w="262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Numerical Methods pp. 1-11, 15-18; Intro Simulation pp. 1-20.</w:t>
            </w:r>
          </w:p>
        </w:tc>
      </w:tr>
      <w:tr>
        <w:trPr>
          <w:cantSplit/>
          <w:trHeight w:hRule="atLeast"/>
        </w:trPr>
        <w:tc>
          <w:tcPr>
            <w:tcW w:type="dxa" w:w="560"/>
            <w:vAlign w:val="center"/>
            <w:tcMar>
              <w:top w:w="80" w:type="dxa"/>
              <w:start w:w="120" w:type="dxa"/>
              <w:bottom w:w="80" w:type="dxa"/>
              <w:end w:w="120" w:type="dxa"/>
            </w:tcMar>
          </w:tcPr>
          <w:p>
            <w:pPr>
              <w:spacing w:before="20" w:after="20" w:line="259" w:lineRule="auto"/>
            </w:pPr>
            <w:r>
              <w:rPr>
                <w:rFonts w:ascii="Calibri" w:hAnsi="Calibri"/>
                <w:b/>
                <w:color w:val="111827"/>
                <w:sz w:val="15"/>
              </w:rPr>
              <w:t>5</w:t>
            </w:r>
          </w:p>
        </w:tc>
        <w:tc>
          <w:tcPr>
            <w:tcW w:type="dxa" w:w="1470"/>
            <w:vAlign w:val="center"/>
            <w:tcMar>
              <w:top w:w="80" w:type="dxa"/>
              <w:start w:w="120" w:type="dxa"/>
              <w:bottom w:w="80" w:type="dxa"/>
              <w:end w:w="120" w:type="dxa"/>
            </w:tcMar>
          </w:tcPr>
          <w:p>
            <w:pPr>
              <w:spacing w:before="20" w:after="20" w:line="259" w:lineRule="auto"/>
            </w:pPr>
            <w:r>
              <w:rPr>
                <w:rFonts w:ascii="Calibri" w:hAnsi="Calibri"/>
                <w:b w:val="0"/>
                <w:color w:val="111827"/>
                <w:sz w:val="15"/>
              </w:rPr>
              <w:t>Membrane potential simulation</w:t>
            </w:r>
          </w:p>
        </w:tc>
        <w:tc>
          <w:tcPr>
            <w:tcW w:type="dxa" w:w="2390"/>
            <w:vAlign w:val="center"/>
            <w:tcMar>
              <w:top w:w="80" w:type="dxa"/>
              <w:start w:w="120" w:type="dxa"/>
              <w:bottom w:w="80" w:type="dxa"/>
              <w:end w:w="120" w:type="dxa"/>
            </w:tcMar>
          </w:tcPr>
          <w:p>
            <w:pPr>
              <w:spacing w:before="20" w:after="20" w:line="259" w:lineRule="auto"/>
            </w:pPr>
            <w:r>
              <w:rPr>
                <w:rFonts w:ascii="Calibri" w:hAnsi="Calibri"/>
                <w:b w:val="0"/>
                <w:color w:val="111827"/>
                <w:sz w:val="15"/>
              </w:rPr>
              <w:t>Ion gradients, Nernst, GHK, pumps, capacitance, current versus voltage.</w:t>
            </w:r>
          </w:p>
        </w:tc>
        <w:tc>
          <w:tcPr>
            <w:tcW w:type="dxa" w:w="2320"/>
            <w:vAlign w:val="center"/>
            <w:tcMar>
              <w:top w:w="80" w:type="dxa"/>
              <w:start w:w="120" w:type="dxa"/>
              <w:bottom w:w="80" w:type="dxa"/>
              <w:end w:w="120" w:type="dxa"/>
            </w:tcMar>
          </w:tcPr>
          <w:p>
            <w:pPr>
              <w:spacing w:before="20" w:after="20" w:line="259" w:lineRule="auto"/>
            </w:pPr>
            <w:r>
              <w:rPr>
                <w:rFonts w:ascii="Calibri" w:hAnsi="Calibri"/>
                <w:b w:val="0"/>
                <w:color w:val="111827"/>
                <w:sz w:val="15"/>
              </w:rPr>
              <w:t>Calculate single-ion equilibrium potentials, then vary permeabilities in a simple GHK model.</w:t>
            </w:r>
          </w:p>
        </w:tc>
        <w:tc>
          <w:tcPr>
            <w:tcW w:type="dxa" w:w="2620"/>
            <w:vAlign w:val="center"/>
            <w:tcMar>
              <w:top w:w="80" w:type="dxa"/>
              <w:start w:w="120" w:type="dxa"/>
              <w:bottom w:w="80" w:type="dxa"/>
              <w:end w:w="120" w:type="dxa"/>
            </w:tcMar>
          </w:tcPr>
          <w:p>
            <w:pPr>
              <w:spacing w:before="20" w:after="20" w:line="259" w:lineRule="auto"/>
            </w:pPr>
            <w:r>
              <w:rPr>
                <w:rFonts w:ascii="Calibri" w:hAnsi="Calibri"/>
                <w:b w:val="0"/>
                <w:color w:val="111827"/>
                <w:sz w:val="15"/>
              </w:rPr>
              <w:t>01homeostasis pp. 42-59; Electrochemical Gradient pp. 1-6; Resting Potential pp. 1-10.</w:t>
            </w:r>
          </w:p>
        </w:tc>
      </w:tr>
      <w:tr>
        <w:trPr>
          <w:cantSplit/>
          <w:trHeight w:hRule="atLeast"/>
        </w:trPr>
        <w:tc>
          <w:tcPr>
            <w:tcW w:type="dxa" w:w="560"/>
            <w:shd w:fill="FAFBFC"/>
            <w:vAlign w:val="center"/>
            <w:tcMar>
              <w:top w:w="80" w:type="dxa"/>
              <w:start w:w="120" w:type="dxa"/>
              <w:bottom w:w="80" w:type="dxa"/>
              <w:end w:w="120" w:type="dxa"/>
            </w:tcMar>
          </w:tcPr>
          <w:p>
            <w:pPr>
              <w:spacing w:before="20" w:after="20" w:line="259" w:lineRule="auto"/>
            </w:pPr>
            <w:r>
              <w:rPr>
                <w:rFonts w:ascii="Calibri" w:hAnsi="Calibri"/>
                <w:b/>
                <w:color w:val="111827"/>
                <w:sz w:val="15"/>
              </w:rPr>
              <w:t>6</w:t>
            </w:r>
          </w:p>
        </w:tc>
        <w:tc>
          <w:tcPr>
            <w:tcW w:type="dxa" w:w="147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Channels, calcium, and exocytosis</w:t>
            </w:r>
          </w:p>
        </w:tc>
        <w:tc>
          <w:tcPr>
            <w:tcW w:type="dxa" w:w="239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Voltage gating, Ca2+ as signal and stressor, ER stores, synaptic release, patch-clamp interpretation.</w:t>
            </w:r>
          </w:p>
        </w:tc>
        <w:tc>
          <w:tcPr>
            <w:tcW w:type="dxa" w:w="232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Annotate an action-potential/Ca2+ figure and identify which terms belong in a reduced ODE model.</w:t>
            </w:r>
          </w:p>
        </w:tc>
        <w:tc>
          <w:tcPr>
            <w:tcW w:type="dxa" w:w="262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02muscle pp. 33-48; Cellular Electrophysiology pp. 2-19; HH optional.</w:t>
            </w:r>
          </w:p>
        </w:tc>
      </w:tr>
      <w:tr>
        <w:trPr>
          <w:cantSplit/>
          <w:trHeight w:hRule="atLeast"/>
        </w:trPr>
        <w:tc>
          <w:tcPr>
            <w:tcW w:type="dxa" w:w="560"/>
            <w:vAlign w:val="center"/>
            <w:tcMar>
              <w:top w:w="80" w:type="dxa"/>
              <w:start w:w="120" w:type="dxa"/>
              <w:bottom w:w="80" w:type="dxa"/>
              <w:end w:w="120" w:type="dxa"/>
            </w:tcMar>
          </w:tcPr>
          <w:p>
            <w:pPr>
              <w:spacing w:before="20" w:after="20" w:line="259" w:lineRule="auto"/>
            </w:pPr>
            <w:r>
              <w:rPr>
                <w:rFonts w:ascii="Calibri" w:hAnsi="Calibri"/>
                <w:b/>
                <w:color w:val="111827"/>
                <w:sz w:val="15"/>
              </w:rPr>
              <w:t>7</w:t>
            </w:r>
          </w:p>
        </w:tc>
        <w:tc>
          <w:tcPr>
            <w:tcW w:type="dxa" w:w="1470"/>
            <w:vAlign w:val="center"/>
            <w:tcMar>
              <w:top w:w="80" w:type="dxa"/>
              <w:start w:w="120" w:type="dxa"/>
              <w:bottom w:w="80" w:type="dxa"/>
              <w:end w:w="120" w:type="dxa"/>
            </w:tcMar>
          </w:tcPr>
          <w:p>
            <w:pPr>
              <w:spacing w:before="20" w:after="20" w:line="259" w:lineRule="auto"/>
            </w:pPr>
            <w:r>
              <w:rPr>
                <w:rFonts w:ascii="Calibri" w:hAnsi="Calibri"/>
                <w:b w:val="0"/>
                <w:color w:val="111827"/>
                <w:sz w:val="15"/>
              </w:rPr>
              <w:t>Biochemical rate laws</w:t>
            </w:r>
          </w:p>
        </w:tc>
        <w:tc>
          <w:tcPr>
            <w:tcW w:type="dxa" w:w="2390"/>
            <w:vAlign w:val="center"/>
            <w:tcMar>
              <w:top w:w="80" w:type="dxa"/>
              <w:start w:w="120" w:type="dxa"/>
              <w:bottom w:w="80" w:type="dxa"/>
              <w:end w:w="120" w:type="dxa"/>
            </w:tcMar>
          </w:tcPr>
          <w:p>
            <w:pPr>
              <w:spacing w:before="20" w:after="20" w:line="259" w:lineRule="auto"/>
            </w:pPr>
            <w:r>
              <w:rPr>
                <w:rFonts w:ascii="Calibri" w:hAnsi="Calibri"/>
                <w:b w:val="0"/>
                <w:color w:val="111827"/>
                <w:sz w:val="15"/>
              </w:rPr>
              <w:t>Mass action, reversible reactions, saturation, Michaelis-Menten, Hill activation, energy coupling.</w:t>
            </w:r>
          </w:p>
        </w:tc>
        <w:tc>
          <w:tcPr>
            <w:tcW w:type="dxa" w:w="2320"/>
            <w:vAlign w:val="center"/>
            <w:tcMar>
              <w:top w:w="80" w:type="dxa"/>
              <w:start w:w="120" w:type="dxa"/>
              <w:bottom w:w="80" w:type="dxa"/>
              <w:end w:w="120" w:type="dxa"/>
            </w:tcMar>
          </w:tcPr>
          <w:p>
            <w:pPr>
              <w:spacing w:before="20" w:after="20" w:line="259" w:lineRule="auto"/>
            </w:pPr>
            <w:r>
              <w:rPr>
                <w:rFonts w:ascii="Calibri" w:hAnsi="Calibri"/>
                <w:b w:val="0"/>
                <w:color w:val="111827"/>
                <w:sz w:val="15"/>
              </w:rPr>
              <w:t>Build a two-state reaction and a Hill switch; connect them to repair or secretion.</w:t>
            </w:r>
          </w:p>
        </w:tc>
        <w:tc>
          <w:tcPr>
            <w:tcW w:type="dxa" w:w="2620"/>
            <w:vAlign w:val="center"/>
            <w:tcMar>
              <w:top w:w="80" w:type="dxa"/>
              <w:start w:w="120" w:type="dxa"/>
              <w:bottom w:w="80" w:type="dxa"/>
              <w:end w:w="120" w:type="dxa"/>
            </w:tcMar>
          </w:tcPr>
          <w:p>
            <w:pPr>
              <w:spacing w:before="20" w:after="20" w:line="259" w:lineRule="auto"/>
            </w:pPr>
            <w:r>
              <w:rPr>
                <w:rFonts w:ascii="Calibri" w:hAnsi="Calibri"/>
                <w:b w:val="0"/>
                <w:color w:val="111827"/>
                <w:sz w:val="15"/>
              </w:rPr>
              <w:t>Law of Mass Action pp. 1-5; Biochemical Reaction Systems pp. 4-20; Endocrine pp. 1-7.</w:t>
            </w:r>
          </w:p>
        </w:tc>
      </w:tr>
    </w:tbl>
    <w:p>
      <w:pPr>
        <w:spacing w:before="80" w:after="80" w:line="240" w:lineRule="auto"/>
      </w:pPr>
      <w:r>
        <w:rPr>
          <w:rFonts w:ascii="Calibri" w:hAnsi="Calibri"/>
          <w:i/>
          <w:color w:val="5B6573"/>
          <w:sz w:val="17"/>
        </w:rPr>
        <w:t>Weeks 1-7 establish the biological and mathematical grammar used repeatedly in the EV model.</w:t>
      </w:r>
    </w:p>
    <w:tbl>
      <w:tblPr>
        <w:tblW w:type="dxa" w:w="9360"/>
        <w:tblLayout w:type="fixed"/>
        <w:tblLook w:firstColumn="1" w:firstRow="1" w:lastColumn="0" w:lastRow="0" w:noHBand="0" w:noVBand="1" w:val="04A0"/>
        <w:jc w:val="left"/>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560"/>
        <w:gridCol w:w="1470"/>
        <w:gridCol w:w="2390"/>
        <w:gridCol w:w="2320"/>
        <w:gridCol w:w="2620"/>
      </w:tblGrid>
      <w:tr>
        <w:trPr>
          <w:trHeight w:hRule="atLeast"/>
          <w:tblHeader w:val="true"/>
          <w:cantSplit/>
        </w:trPr>
        <w:tc>
          <w:tcPr>
            <w:tcW w:type="dxa" w:w="560"/>
            <w:vAlign w:val="center"/>
            <w:tcMar>
              <w:top w:w="80" w:type="dxa"/>
              <w:start w:w="120" w:type="dxa"/>
              <w:bottom w:w="80" w:type="dxa"/>
              <w:end w:w="120" w:type="dxa"/>
            </w:tcMar>
            <w:shd w:fill="E8EEF5"/>
          </w:tcPr>
          <w:p>
            <w:pPr>
              <w:spacing w:before="20" w:after="20" w:line="252" w:lineRule="auto"/>
            </w:pPr>
            <w:r>
              <w:rPr>
                <w:rFonts w:ascii="Calibri" w:hAnsi="Calibri"/>
                <w:b/>
                <w:color w:val="1F3A5F"/>
                <w:sz w:val="15"/>
              </w:rPr>
              <w:t>Wk</w:t>
            </w:r>
          </w:p>
        </w:tc>
        <w:tc>
          <w:tcPr>
            <w:tcW w:type="dxa" w:w="1470"/>
            <w:vAlign w:val="center"/>
            <w:tcMar>
              <w:top w:w="80" w:type="dxa"/>
              <w:start w:w="120" w:type="dxa"/>
              <w:bottom w:w="80" w:type="dxa"/>
              <w:end w:w="120" w:type="dxa"/>
            </w:tcMar>
            <w:shd w:fill="E8EEF5"/>
          </w:tcPr>
          <w:p>
            <w:pPr>
              <w:spacing w:before="20" w:after="20" w:line="252" w:lineRule="auto"/>
            </w:pPr>
            <w:r>
              <w:rPr>
                <w:rFonts w:ascii="Calibri" w:hAnsi="Calibri"/>
                <w:b/>
                <w:color w:val="1F3A5F"/>
                <w:sz w:val="15"/>
              </w:rPr>
              <w:t>Theme</w:t>
            </w:r>
          </w:p>
        </w:tc>
        <w:tc>
          <w:tcPr>
            <w:tcW w:type="dxa" w:w="2390"/>
            <w:vAlign w:val="center"/>
            <w:tcMar>
              <w:top w:w="80" w:type="dxa"/>
              <w:start w:w="120" w:type="dxa"/>
              <w:bottom w:w="80" w:type="dxa"/>
              <w:end w:w="120" w:type="dxa"/>
            </w:tcMar>
            <w:shd w:fill="E8EEF5"/>
          </w:tcPr>
          <w:p>
            <w:pPr>
              <w:spacing w:before="20" w:after="20" w:line="252" w:lineRule="auto"/>
            </w:pPr>
            <w:r>
              <w:rPr>
                <w:rFonts w:ascii="Calibri" w:hAnsi="Calibri"/>
                <w:b/>
                <w:color w:val="1F3A5F"/>
                <w:sz w:val="15"/>
              </w:rPr>
              <w:t>Core concepts</w:t>
            </w:r>
          </w:p>
        </w:tc>
        <w:tc>
          <w:tcPr>
            <w:tcW w:type="dxa" w:w="2320"/>
            <w:vAlign w:val="center"/>
            <w:tcMar>
              <w:top w:w="80" w:type="dxa"/>
              <w:start w:w="120" w:type="dxa"/>
              <w:bottom w:w="80" w:type="dxa"/>
              <w:end w:w="120" w:type="dxa"/>
            </w:tcMar>
            <w:shd w:fill="E8EEF5"/>
          </w:tcPr>
          <w:p>
            <w:pPr>
              <w:spacing w:before="20" w:after="20" w:line="252" w:lineRule="auto"/>
            </w:pPr>
            <w:r>
              <w:rPr>
                <w:rFonts w:ascii="Calibri" w:hAnsi="Calibri"/>
                <w:b/>
                <w:color w:val="1F3A5F"/>
                <w:sz w:val="15"/>
              </w:rPr>
              <w:t>Activity/lab</w:t>
            </w:r>
          </w:p>
        </w:tc>
        <w:tc>
          <w:tcPr>
            <w:tcW w:type="dxa" w:w="2620"/>
            <w:vAlign w:val="center"/>
            <w:tcMar>
              <w:top w:w="80" w:type="dxa"/>
              <w:start w:w="120" w:type="dxa"/>
              <w:bottom w:w="80" w:type="dxa"/>
              <w:end w:w="120" w:type="dxa"/>
            </w:tcMar>
            <w:shd w:fill="E8EEF5"/>
          </w:tcPr>
          <w:p>
            <w:pPr>
              <w:spacing w:before="20" w:after="20" w:line="252" w:lineRule="auto"/>
            </w:pPr>
            <w:r>
              <w:rPr>
                <w:rFonts w:ascii="Calibri" w:hAnsi="Calibri"/>
                <w:b/>
                <w:color w:val="1F3A5F"/>
                <w:sz w:val="15"/>
              </w:rPr>
              <w:t>Source anchors</w:t>
            </w:r>
          </w:p>
        </w:tc>
      </w:tr>
      <w:tr>
        <w:trPr>
          <w:cantSplit/>
          <w:trHeight w:hRule="atLeast"/>
        </w:trPr>
        <w:tc>
          <w:tcPr>
            <w:tcW w:type="dxa" w:w="560"/>
            <w:vAlign w:val="center"/>
            <w:tcMar>
              <w:top w:w="80" w:type="dxa"/>
              <w:start w:w="120" w:type="dxa"/>
              <w:bottom w:w="80" w:type="dxa"/>
              <w:end w:w="120" w:type="dxa"/>
            </w:tcMar>
          </w:tcPr>
          <w:p>
            <w:pPr>
              <w:spacing w:before="20" w:after="20" w:line="259" w:lineRule="auto"/>
            </w:pPr>
            <w:r>
              <w:rPr>
                <w:rFonts w:ascii="Calibri" w:hAnsi="Calibri"/>
                <w:b/>
                <w:color w:val="111827"/>
                <w:sz w:val="15"/>
              </w:rPr>
              <w:t>8</w:t>
            </w:r>
          </w:p>
        </w:tc>
        <w:tc>
          <w:tcPr>
            <w:tcW w:type="dxa" w:w="1470"/>
            <w:vAlign w:val="center"/>
            <w:tcMar>
              <w:top w:w="80" w:type="dxa"/>
              <w:start w:w="120" w:type="dxa"/>
              <w:bottom w:w="80" w:type="dxa"/>
              <w:end w:w="120" w:type="dxa"/>
            </w:tcMar>
          </w:tcPr>
          <w:p>
            <w:pPr>
              <w:spacing w:before="20" w:after="20" w:line="259" w:lineRule="auto"/>
            </w:pPr>
            <w:r>
              <w:rPr>
                <w:rFonts w:ascii="Calibri" w:hAnsi="Calibri"/>
                <w:b w:val="0"/>
                <w:color w:val="111827"/>
                <w:sz w:val="15"/>
              </w:rPr>
              <w:t>PK/PD as a template</w:t>
            </w:r>
          </w:p>
        </w:tc>
        <w:tc>
          <w:tcPr>
            <w:tcW w:type="dxa" w:w="2390"/>
            <w:vAlign w:val="center"/>
            <w:tcMar>
              <w:top w:w="80" w:type="dxa"/>
              <w:start w:w="120" w:type="dxa"/>
              <w:bottom w:w="80" w:type="dxa"/>
              <w:end w:w="120" w:type="dxa"/>
            </w:tcMar>
          </w:tcPr>
          <w:p>
            <w:pPr>
              <w:spacing w:before="20" w:after="20" w:line="259" w:lineRule="auto"/>
            </w:pPr>
            <w:r>
              <w:rPr>
                <w:rFonts w:ascii="Calibri" w:hAnsi="Calibri"/>
                <w:b w:val="0"/>
                <w:color w:val="111827"/>
                <w:sz w:val="15"/>
              </w:rPr>
              <w:t>Dose-exposure-effect, one/two compartments, absorption, half-life, volume, nonlinear elimination, Emax/Hill effect.</w:t>
            </w:r>
          </w:p>
        </w:tc>
        <w:tc>
          <w:tcPr>
            <w:tcW w:type="dxa" w:w="2320"/>
            <w:vAlign w:val="center"/>
            <w:tcMar>
              <w:top w:w="80" w:type="dxa"/>
              <w:start w:w="120" w:type="dxa"/>
              <w:bottom w:w="80" w:type="dxa"/>
              <w:end w:w="120" w:type="dxa"/>
            </w:tcMar>
          </w:tcPr>
          <w:p>
            <w:pPr>
              <w:spacing w:before="20" w:after="20" w:line="259" w:lineRule="auto"/>
            </w:pPr>
            <w:r>
              <w:rPr>
                <w:rFonts w:ascii="Calibri" w:hAnsi="Calibri"/>
                <w:b w:val="0"/>
                <w:color w:val="111827"/>
                <w:sz w:val="15"/>
              </w:rPr>
              <w:t>Simulate a one-compartment PK model and map concentration to effect.</w:t>
            </w:r>
          </w:p>
        </w:tc>
        <w:tc>
          <w:tcPr>
            <w:tcW w:type="dxa" w:w="2620"/>
            <w:vAlign w:val="center"/>
            <w:tcMar>
              <w:top w:w="80" w:type="dxa"/>
              <w:start w:w="120" w:type="dxa"/>
              <w:bottom w:w="80" w:type="dxa"/>
              <w:end w:w="120" w:type="dxa"/>
            </w:tcMar>
          </w:tcPr>
          <w:p>
            <w:pPr>
              <w:spacing w:before="20" w:after="20" w:line="259" w:lineRule="auto"/>
            </w:pPr>
            <w:r>
              <w:rPr>
                <w:rFonts w:ascii="Calibri" w:hAnsi="Calibri"/>
                <w:b w:val="0"/>
                <w:color w:val="111827"/>
                <w:sz w:val="15"/>
              </w:rPr>
              <w:t>PKPD pp. 2-12, 24-29, 33-55.</w:t>
            </w:r>
          </w:p>
        </w:tc>
      </w:tr>
      <w:tr>
        <w:trPr>
          <w:cantSplit/>
          <w:trHeight w:hRule="atLeast"/>
        </w:trPr>
        <w:tc>
          <w:tcPr>
            <w:tcW w:type="dxa" w:w="560"/>
            <w:shd w:fill="FAFBFC"/>
            <w:vAlign w:val="center"/>
            <w:tcMar>
              <w:top w:w="80" w:type="dxa"/>
              <w:start w:w="120" w:type="dxa"/>
              <w:bottom w:w="80" w:type="dxa"/>
              <w:end w:w="120" w:type="dxa"/>
            </w:tcMar>
          </w:tcPr>
          <w:p>
            <w:pPr>
              <w:spacing w:before="20" w:after="20" w:line="259" w:lineRule="auto"/>
            </w:pPr>
            <w:r>
              <w:rPr>
                <w:rFonts w:ascii="Calibri" w:hAnsi="Calibri"/>
                <w:b/>
                <w:color w:val="111827"/>
                <w:sz w:val="15"/>
              </w:rPr>
              <w:t>9</w:t>
            </w:r>
          </w:p>
        </w:tc>
        <w:tc>
          <w:tcPr>
            <w:tcW w:type="dxa" w:w="147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PBPK/PD and credibility</w:t>
            </w:r>
          </w:p>
        </w:tc>
        <w:tc>
          <w:tcPr>
            <w:tcW w:type="dxa" w:w="239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Physiological compartments, blood flow, permeability, clearance, variability, fitting, sensitivity, and limits.</w:t>
            </w:r>
          </w:p>
        </w:tc>
        <w:tc>
          <w:tcPr>
            <w:tcW w:type="dxa" w:w="232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Extend to two organs or compartments; perturb flow/permeability; write a model-credibility note.</w:t>
            </w:r>
          </w:p>
        </w:tc>
        <w:tc>
          <w:tcPr>
            <w:tcW w:type="dxa" w:w="262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PBPK pp. 1-15; circulation pp. 18-38; kidney pp. 2-4, 40-41; Model Assessment.</w:t>
            </w:r>
          </w:p>
        </w:tc>
      </w:tr>
      <w:tr>
        <w:trPr>
          <w:cantSplit/>
          <w:trHeight w:hRule="atLeast"/>
        </w:trPr>
        <w:tc>
          <w:tcPr>
            <w:tcW w:type="dxa" w:w="560"/>
            <w:vAlign w:val="center"/>
            <w:tcMar>
              <w:top w:w="80" w:type="dxa"/>
              <w:start w:w="120" w:type="dxa"/>
              <w:bottom w:w="80" w:type="dxa"/>
              <w:end w:w="120" w:type="dxa"/>
            </w:tcMar>
          </w:tcPr>
          <w:p>
            <w:pPr>
              <w:spacing w:before="20" w:after="20" w:line="259" w:lineRule="auto"/>
            </w:pPr>
            <w:r>
              <w:rPr>
                <w:rFonts w:ascii="Calibri" w:hAnsi="Calibri"/>
                <w:b/>
                <w:color w:val="111827"/>
                <w:sz w:val="15"/>
              </w:rPr>
              <w:t>10</w:t>
            </w:r>
          </w:p>
        </w:tc>
        <w:tc>
          <w:tcPr>
            <w:tcW w:type="dxa" w:w="1470"/>
            <w:vAlign w:val="center"/>
            <w:tcMar>
              <w:top w:w="80" w:type="dxa"/>
              <w:start w:w="120" w:type="dxa"/>
              <w:bottom w:w="80" w:type="dxa"/>
              <w:end w:w="120" w:type="dxa"/>
            </w:tcMar>
          </w:tcPr>
          <w:p>
            <w:pPr>
              <w:spacing w:before="20" w:after="20" w:line="259" w:lineRule="auto"/>
            </w:pPr>
            <w:r>
              <w:rPr>
                <w:rFonts w:ascii="Calibri" w:hAnsi="Calibri"/>
                <w:b w:val="0"/>
                <w:color w:val="111827"/>
                <w:sz w:val="15"/>
              </w:rPr>
              <w:t>Layer 1: pulse and dosimetry</w:t>
            </w:r>
          </w:p>
        </w:tc>
        <w:tc>
          <w:tcPr>
            <w:tcW w:type="dxa" w:w="2390"/>
            <w:vAlign w:val="center"/>
            <w:tcMar>
              <w:top w:w="80" w:type="dxa"/>
              <w:start w:w="120" w:type="dxa"/>
              <w:bottom w:w="80" w:type="dxa"/>
              <w:end w:w="120" w:type="dxa"/>
            </w:tcMar>
          </w:tcPr>
          <w:p>
            <w:pPr>
              <w:spacing w:before="20" w:after="20" w:line="259" w:lineRule="auto"/>
            </w:pPr>
            <w:r>
              <w:rPr>
                <w:rFonts w:ascii="Calibri" w:hAnsi="Calibri"/>
                <w:b w:val="0"/>
                <w:color w:val="111827"/>
                <w:sz w:val="15"/>
              </w:rPr>
              <w:t>Pulse amplitude, width, number, repetition rate, waveform, geometry, conductivity, energy, temperature.</w:t>
            </w:r>
          </w:p>
        </w:tc>
        <w:tc>
          <w:tcPr>
            <w:tcW w:type="dxa" w:w="2320"/>
            <w:vAlign w:val="center"/>
            <w:tcMar>
              <w:top w:w="80" w:type="dxa"/>
              <w:start w:w="120" w:type="dxa"/>
              <w:bottom w:w="80" w:type="dxa"/>
              <w:end w:w="120" w:type="dxa"/>
            </w:tcMar>
          </w:tcPr>
          <w:p>
            <w:pPr>
              <w:spacing w:before="20" w:after="20" w:line="259" w:lineRule="auto"/>
            </w:pPr>
            <w:r>
              <w:rPr>
                <w:rFonts w:ascii="Calibri" w:hAnsi="Calibri"/>
                <w:b w:val="0"/>
                <w:color w:val="111827"/>
                <w:sz w:val="15"/>
              </w:rPr>
              <w:t>Run compare_dosimetry_models.py and separate field, dose, and heating interpretations.</w:t>
            </w:r>
          </w:p>
        </w:tc>
        <w:tc>
          <w:tcPr>
            <w:tcW w:type="dxa" w:w="2620"/>
            <w:vAlign w:val="center"/>
            <w:tcMar>
              <w:top w:w="80" w:type="dxa"/>
              <w:start w:w="120" w:type="dxa"/>
              <w:bottom w:w="80" w:type="dxa"/>
              <w:end w:w="120" w:type="dxa"/>
            </w:tcMar>
          </w:tcPr>
          <w:p>
            <w:pPr>
              <w:spacing w:before="20" w:after="20" w:line="259" w:lineRule="auto"/>
            </w:pPr>
            <w:r>
              <w:rPr>
                <w:rFonts w:ascii="Calibri" w:hAnsi="Calibri"/>
                <w:b w:val="0"/>
                <w:color w:val="111827"/>
                <w:sz w:val="15"/>
              </w:rPr>
              <w:t>Manuscript Layer 1; README; compare_dosimetry_models.py.</w:t>
            </w:r>
          </w:p>
        </w:tc>
      </w:tr>
      <w:tr>
        <w:trPr>
          <w:cantSplit/>
          <w:trHeight w:hRule="atLeast"/>
        </w:trPr>
        <w:tc>
          <w:tcPr>
            <w:tcW w:type="dxa" w:w="560"/>
            <w:shd w:fill="FAFBFC"/>
            <w:vAlign w:val="center"/>
            <w:tcMar>
              <w:top w:w="80" w:type="dxa"/>
              <w:start w:w="120" w:type="dxa"/>
              <w:bottom w:w="80" w:type="dxa"/>
              <w:end w:w="120" w:type="dxa"/>
            </w:tcMar>
          </w:tcPr>
          <w:p>
            <w:pPr>
              <w:spacing w:before="20" w:after="20" w:line="259" w:lineRule="auto"/>
            </w:pPr>
            <w:r>
              <w:rPr>
                <w:rFonts w:ascii="Calibri" w:hAnsi="Calibri"/>
                <w:b/>
                <w:color w:val="111827"/>
                <w:sz w:val="15"/>
              </w:rPr>
              <w:t>11</w:t>
            </w:r>
          </w:p>
        </w:tc>
        <w:tc>
          <w:tcPr>
            <w:tcW w:type="dxa" w:w="147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Layer 2: electrodynamics</w:t>
            </w:r>
          </w:p>
        </w:tc>
        <w:tc>
          <w:tcPr>
            <w:tcW w:type="dxa" w:w="239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Resting Vm versus induced Delta Vm, RC/Schwan charging, organelle membranes, permeability and pore proxies.</w:t>
            </w:r>
          </w:p>
        </w:tc>
        <w:tc>
          <w:tcPr>
            <w:tcW w:type="dxa" w:w="232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Run compare_membrane_electrodynamics.py; vary pulse width and cell radius.</w:t>
            </w:r>
          </w:p>
        </w:tc>
        <w:tc>
          <w:tcPr>
            <w:tcW w:type="dxa" w:w="262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Manuscript Layer 2; electrodynamics.py; membrane-voltage figure.</w:t>
            </w:r>
          </w:p>
        </w:tc>
      </w:tr>
      <w:tr>
        <w:trPr>
          <w:cantSplit/>
          <w:trHeight w:hRule="atLeast"/>
        </w:trPr>
        <w:tc>
          <w:tcPr>
            <w:tcW w:type="dxa" w:w="560"/>
            <w:vAlign w:val="center"/>
            <w:tcMar>
              <w:top w:w="80" w:type="dxa"/>
              <w:start w:w="120" w:type="dxa"/>
              <w:bottom w:w="80" w:type="dxa"/>
              <w:end w:w="120" w:type="dxa"/>
            </w:tcMar>
          </w:tcPr>
          <w:p>
            <w:pPr>
              <w:spacing w:before="20" w:after="20" w:line="259" w:lineRule="auto"/>
            </w:pPr>
            <w:r>
              <w:rPr>
                <w:rFonts w:ascii="Calibri" w:hAnsi="Calibri"/>
                <w:b/>
                <w:color w:val="111827"/>
                <w:sz w:val="15"/>
              </w:rPr>
              <w:t>12</w:t>
            </w:r>
          </w:p>
        </w:tc>
        <w:tc>
          <w:tcPr>
            <w:tcW w:type="dxa" w:w="1470"/>
            <w:vAlign w:val="center"/>
            <w:tcMar>
              <w:top w:w="80" w:type="dxa"/>
              <w:start w:w="120" w:type="dxa"/>
              <w:bottom w:w="80" w:type="dxa"/>
              <w:end w:w="120" w:type="dxa"/>
            </w:tcMar>
          </w:tcPr>
          <w:p>
            <w:pPr>
              <w:spacing w:before="20" w:after="20" w:line="259" w:lineRule="auto"/>
            </w:pPr>
            <w:r>
              <w:rPr>
                <w:rFonts w:ascii="Calibri" w:hAnsi="Calibri"/>
                <w:b w:val="0"/>
                <w:color w:val="111827"/>
                <w:sz w:val="15"/>
              </w:rPr>
              <w:t>Layers 3-4: signaling and repair</w:t>
            </w:r>
          </w:p>
        </w:tc>
        <w:tc>
          <w:tcPr>
            <w:tcW w:type="dxa" w:w="2390"/>
            <w:vAlign w:val="center"/>
            <w:tcMar>
              <w:top w:w="80" w:type="dxa"/>
              <w:start w:w="120" w:type="dxa"/>
              <w:bottom w:w="80" w:type="dxa"/>
              <w:end w:w="120" w:type="dxa"/>
            </w:tcMar>
          </w:tcPr>
          <w:p>
            <w:pPr>
              <w:spacing w:before="20" w:after="20" w:line="259" w:lineRule="auto"/>
            </w:pPr>
            <w:r>
              <w:rPr>
                <w:rFonts w:ascii="Calibri" w:hAnsi="Calibri"/>
                <w:b w:val="0"/>
                <w:color w:val="111827"/>
                <w:sz w:val="15"/>
              </w:rPr>
              <w:t>Ca2+ fluxes and stores, ROS, ATP, osmotic stress, PS, calpain, annexin, actin, resealing.</w:t>
            </w:r>
          </w:p>
        </w:tc>
        <w:tc>
          <w:tcPr>
            <w:tcW w:type="dxa" w:w="2320"/>
            <w:vAlign w:val="center"/>
            <w:tcMar>
              <w:top w:w="80" w:type="dxa"/>
              <w:start w:w="120" w:type="dxa"/>
              <w:bottom w:w="80" w:type="dxa"/>
              <w:end w:w="120" w:type="dxa"/>
            </w:tcMar>
          </w:tcPr>
          <w:p>
            <w:pPr>
              <w:spacing w:before="20" w:after="20" w:line="259" w:lineRule="auto"/>
            </w:pPr>
            <w:r>
              <w:rPr>
                <w:rFonts w:ascii="Calibri" w:hAnsi="Calibri"/>
                <w:b w:val="0"/>
                <w:color w:val="111827"/>
                <w:sz w:val="15"/>
              </w:rPr>
              <w:t>Compare baseline, high-dose, Ca-limited, and repair-supported scenarios.</w:t>
            </w:r>
          </w:p>
        </w:tc>
        <w:tc>
          <w:tcPr>
            <w:tcW w:type="dxa" w:w="2620"/>
            <w:vAlign w:val="center"/>
            <w:tcMar>
              <w:top w:w="80" w:type="dxa"/>
              <w:start w:w="120" w:type="dxa"/>
              <w:bottom w:w="80" w:type="dxa"/>
              <w:end w:w="120" w:type="dxa"/>
            </w:tcMar>
          </w:tcPr>
          <w:p>
            <w:pPr>
              <w:spacing w:before="20" w:after="20" w:line="259" w:lineRule="auto"/>
            </w:pPr>
            <w:r>
              <w:rPr>
                <w:rFonts w:ascii="Calibri" w:hAnsi="Calibri"/>
                <w:b w:val="0"/>
                <w:color w:val="111827"/>
                <w:sz w:val="15"/>
              </w:rPr>
              <w:t>ion_transport.py; remodeling_repair.py; comparison examples and figures.</w:t>
            </w:r>
          </w:p>
        </w:tc>
      </w:tr>
      <w:tr>
        <w:trPr>
          <w:cantSplit/>
          <w:trHeight w:hRule="atLeast"/>
        </w:trPr>
        <w:tc>
          <w:tcPr>
            <w:tcW w:type="dxa" w:w="560"/>
            <w:shd w:fill="FAFBFC"/>
            <w:vAlign w:val="center"/>
            <w:tcMar>
              <w:top w:w="80" w:type="dxa"/>
              <w:start w:w="120" w:type="dxa"/>
              <w:bottom w:w="80" w:type="dxa"/>
              <w:end w:w="120" w:type="dxa"/>
            </w:tcMar>
          </w:tcPr>
          <w:p>
            <w:pPr>
              <w:spacing w:before="20" w:after="20" w:line="259" w:lineRule="auto"/>
            </w:pPr>
            <w:r>
              <w:rPr>
                <w:rFonts w:ascii="Calibri" w:hAnsi="Calibri"/>
                <w:b/>
                <w:color w:val="111827"/>
                <w:sz w:val="15"/>
              </w:rPr>
              <w:t>13</w:t>
            </w:r>
          </w:p>
        </w:tc>
        <w:tc>
          <w:tcPr>
            <w:tcW w:type="dxa" w:w="147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Layers 5-8: EV product</w:t>
            </w:r>
          </w:p>
        </w:tc>
        <w:tc>
          <w:tcPr>
            <w:tcW w:type="dxa" w:w="239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MVB/ILV pools, fusion, budding, apoptotic bodies, cargo, potency, injury mixture, purity, recovery, batch effects.</w:t>
            </w:r>
          </w:p>
        </w:tc>
        <w:tc>
          <w:tcPr>
            <w:tcW w:type="dxa" w:w="232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Contrast secretory, direct-loading, and injury-dominant regimes; defend which product is acceptable.</w:t>
            </w:r>
          </w:p>
        </w:tc>
        <w:tc>
          <w:tcPr>
            <w:tcW w:type="dxa" w:w="262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5"/>
              </w:rPr>
              <w:t>ev_release.py; cargo_potency.py; injury_quality.py; manufacturing_qc.py.</w:t>
            </w:r>
          </w:p>
        </w:tc>
      </w:tr>
      <w:tr>
        <w:trPr>
          <w:cantSplit/>
          <w:trHeight w:hRule="atLeast"/>
        </w:trPr>
        <w:tc>
          <w:tcPr>
            <w:tcW w:type="dxa" w:w="560"/>
            <w:vAlign w:val="center"/>
            <w:tcMar>
              <w:top w:w="80" w:type="dxa"/>
              <w:start w:w="120" w:type="dxa"/>
              <w:bottom w:w="80" w:type="dxa"/>
              <w:end w:w="120" w:type="dxa"/>
            </w:tcMar>
          </w:tcPr>
          <w:p>
            <w:pPr>
              <w:spacing w:before="20" w:after="20" w:line="259" w:lineRule="auto"/>
            </w:pPr>
            <w:r>
              <w:rPr>
                <w:rFonts w:ascii="Calibri" w:hAnsi="Calibri"/>
                <w:b/>
                <w:color w:val="111827"/>
                <w:sz w:val="15"/>
              </w:rPr>
              <w:t>14</w:t>
            </w:r>
          </w:p>
        </w:tc>
        <w:tc>
          <w:tcPr>
            <w:tcW w:type="dxa" w:w="1470"/>
            <w:vAlign w:val="center"/>
            <w:tcMar>
              <w:top w:w="80" w:type="dxa"/>
              <w:start w:w="120" w:type="dxa"/>
              <w:bottom w:w="80" w:type="dxa"/>
              <w:end w:w="120" w:type="dxa"/>
            </w:tcMar>
          </w:tcPr>
          <w:p>
            <w:pPr>
              <w:spacing w:before="20" w:after="20" w:line="259" w:lineRule="auto"/>
            </w:pPr>
            <w:r>
              <w:rPr>
                <w:rFonts w:ascii="Calibri" w:hAnsi="Calibri"/>
                <w:b w:val="0"/>
                <w:color w:val="111827"/>
                <w:sz w:val="15"/>
              </w:rPr>
              <w:t>Integration and capstone</w:t>
            </w:r>
          </w:p>
        </w:tc>
        <w:tc>
          <w:tcPr>
            <w:tcW w:type="dxa" w:w="2390"/>
            <w:vAlign w:val="center"/>
            <w:tcMar>
              <w:top w:w="80" w:type="dxa"/>
              <w:start w:w="120" w:type="dxa"/>
              <w:bottom w:w="80" w:type="dxa"/>
              <w:end w:w="120" w:type="dxa"/>
            </w:tcMar>
          </w:tcPr>
          <w:p>
            <w:pPr>
              <w:spacing w:before="20" w:after="20" w:line="259" w:lineRule="auto"/>
            </w:pPr>
            <w:r>
              <w:rPr>
                <w:rFonts w:ascii="Calibri" w:hAnsi="Calibri"/>
                <w:b w:val="0"/>
                <w:color w:val="111827"/>
                <w:sz w:val="15"/>
              </w:rPr>
              <w:t>Cell-state modifiers, multiscale storyboard, solution spaces, calibration order, evidence, and honest uncertainty.</w:t>
            </w:r>
          </w:p>
        </w:tc>
        <w:tc>
          <w:tcPr>
            <w:tcW w:type="dxa" w:w="2320"/>
            <w:vAlign w:val="center"/>
            <w:tcMar>
              <w:top w:w="80" w:type="dxa"/>
              <w:start w:w="120" w:type="dxa"/>
              <w:bottom w:w="80" w:type="dxa"/>
              <w:end w:w="120" w:type="dxa"/>
            </w:tcMar>
          </w:tcPr>
          <w:p>
            <w:pPr>
              <w:spacing w:before="20" w:after="20" w:line="259" w:lineRule="auto"/>
            </w:pPr>
            <w:r>
              <w:rPr>
                <w:rFonts w:ascii="Calibri" w:hAnsi="Calibri"/>
                <w:b w:val="0"/>
                <w:color w:val="111827"/>
                <w:sz w:val="15"/>
              </w:rPr>
              <w:t>Present one submodel improvement, evidence table, validation plan, or teaching simulation.</w:t>
            </w:r>
          </w:p>
        </w:tc>
        <w:tc>
          <w:tcPr>
            <w:tcW w:type="dxa" w:w="2620"/>
            <w:vAlign w:val="center"/>
            <w:tcMar>
              <w:top w:w="80" w:type="dxa"/>
              <w:start w:w="120" w:type="dxa"/>
              <w:bottom w:w="80" w:type="dxa"/>
              <w:end w:w="120" w:type="dxa"/>
            </w:tcMar>
          </w:tcPr>
          <w:p>
            <w:pPr>
              <w:spacing w:before="20" w:after="20" w:line="259" w:lineRule="auto"/>
            </w:pPr>
            <w:r>
              <w:rPr>
                <w:rFonts w:ascii="Calibri" w:hAnsi="Calibri"/>
                <w:b w:val="0"/>
                <w:color w:val="111827"/>
                <w:sz w:val="15"/>
              </w:rPr>
              <w:t>storyboard_multilayer_overview.py; solution_space_analysis; model assumptions and evidence targets.</w:t>
            </w:r>
          </w:p>
        </w:tc>
      </w:tr>
    </w:tbl>
    <w:p>
      <w:pPr>
        <w:spacing w:before="80" w:after="80" w:line="240" w:lineRule="auto"/>
      </w:pPr>
      <w:r>
        <w:rPr>
          <w:rFonts w:ascii="Calibri" w:hAnsi="Calibri"/>
          <w:i/>
          <w:color w:val="5B6573"/>
          <w:sz w:val="17"/>
        </w:rPr>
        <w:t>If a 15th week is available, split Week 9 into separate PBPK/PD and model-credibility weeks.</w:t>
      </w:r>
    </w:p>
    <w:p>
      <w:pPr>
        <w:pStyle w:val="Heading1"/>
        <w:keepNext/>
      </w:pPr>
      <w:r>
        <w:t>5. From prerequisites to the modular EV-biogenesis framework</w:t>
      </w:r>
    </w:p>
    <w:tbl>
      <w:tblPr>
        <w:tblW w:type="dxa" w:w="9360"/>
        <w:jc w:val="left"/>
        <w:tblLayout w:type="fixed"/>
        <w:tblLook w:firstColumn="1" w:firstRow="1" w:lastColumn="0" w:lastRow="0" w:noHBand="0" w:noVBand="1" w:val="04A0"/>
        <w:tblInd w:w="120" w:type="dxa"/>
        <w:tblBorders>
          <w:top w:val="single" w:sz="5" w:space="0" w:color="2E74B5"/>
          <w:left w:val="single" w:sz="5" w:space="0" w:color="2E74B5"/>
          <w:bottom w:val="single" w:sz="5" w:space="0" w:color="2E74B5"/>
          <w:right w:val="single" w:sz="5" w:space="0" w:color="2E74B5"/>
          <w:insideH w:val="single" w:sz="5" w:space="0" w:color="2E74B5"/>
          <w:insideV w:val="single" w:sz="5" w:space="0" w:color="2E74B5"/>
        </w:tblBorders>
      </w:tblPr>
      <w:tblGrid>
        <w:gridCol w:w="9360"/>
      </w:tblGrid>
      <w:tr>
        <w:trPr>
          <w:trHeight w:hRule="atLeast"/>
          <w:tblHeader w:val="true"/>
          <w:cantSplit/>
        </w:trPr>
        <w:tc>
          <w:tcPr>
            <w:tcW w:type="dxa" w:w="9360"/>
            <w:vAlign w:val="center"/>
            <w:tcMar>
              <w:top w:w="80" w:type="dxa"/>
              <w:start w:w="120" w:type="dxa"/>
              <w:bottom w:w="80" w:type="dxa"/>
              <w:end w:w="120" w:type="dxa"/>
            </w:tcMar>
            <w:shd w:fill="F4F6F9"/>
          </w:tcPr>
          <w:p>
            <w:pPr>
              <w:spacing w:before="40" w:after="40" w:line="276" w:lineRule="auto"/>
            </w:pPr>
            <w:r>
              <w:rPr>
                <w:rFonts w:ascii="Calibri" w:hAnsi="Calibri"/>
                <w:b/>
                <w:color w:val="2E74B5"/>
                <w:sz w:val="21"/>
              </w:rPr>
              <w:t xml:space="preserve">Plain-language organizing question: </w:t>
            </w:r>
            <w:r>
              <w:rPr>
                <w:rFonts w:ascii="Calibri" w:hAnsi="Calibri"/>
                <w:color w:val="111827"/>
                <w:sz w:val="21"/>
              </w:rPr>
              <w:t>What happens between an electrical pulse delivered outside a cell and a useful, high-quality EV product collected hours later? Each layer answers one part of that question and passes a compact set of outputs to the next layer.</w:t>
            </w:r>
          </w:p>
        </w:tc>
      </w:tr>
    </w:tbl>
    <w:p>
      <w:pPr>
        <w:spacing w:before="80" w:after="80" w:line="240" w:lineRule="auto"/>
      </w:pPr>
      <w:r>
        <w:rPr>
          <w:rFonts w:ascii="Calibri" w:hAnsi="Calibri"/>
          <w:i/>
          <w:color w:val="5B6573"/>
          <w:sz w:val="17"/>
        </w:rPr>
      </w:r>
    </w:p>
    <w:tbl>
      <w:tblPr>
        <w:tblW w:type="dxa" w:w="9360"/>
        <w:tblLayout w:type="fixed"/>
        <w:tblLook w:firstColumn="1" w:firstRow="1" w:lastColumn="0" w:lastRow="0" w:noHBand="0" w:noVBand="1" w:val="04A0"/>
        <w:jc w:val="left"/>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2100"/>
        <w:gridCol w:w="3600"/>
        <w:gridCol w:w="3660"/>
      </w:tblGrid>
      <w:tr>
        <w:trPr>
          <w:trHeight w:hRule="atLeast"/>
          <w:tblHeader w:val="true"/>
          <w:cantSplit/>
        </w:trPr>
        <w:tc>
          <w:tcPr>
            <w:tcW w:type="dxa" w:w="2100"/>
            <w:vAlign w:val="center"/>
            <w:tcMar>
              <w:top w:w="80" w:type="dxa"/>
              <w:start w:w="120" w:type="dxa"/>
              <w:bottom w:w="80" w:type="dxa"/>
              <w:end w:w="120" w:type="dxa"/>
            </w:tcMar>
            <w:shd w:fill="E8EEF5"/>
          </w:tcPr>
          <w:p>
            <w:pPr>
              <w:spacing w:before="20" w:after="20" w:line="252" w:lineRule="auto"/>
            </w:pPr>
            <w:r>
              <w:rPr>
                <w:rFonts w:ascii="Calibri" w:hAnsi="Calibri"/>
                <w:b/>
                <w:color w:val="1F3A5F"/>
                <w:sz w:val="16"/>
              </w:rPr>
              <w:t>Module</w:t>
            </w:r>
          </w:p>
        </w:tc>
        <w:tc>
          <w:tcPr>
            <w:tcW w:type="dxa" w:w="3600"/>
            <w:vAlign w:val="center"/>
            <w:tcMar>
              <w:top w:w="80" w:type="dxa"/>
              <w:start w:w="120" w:type="dxa"/>
              <w:bottom w:w="80" w:type="dxa"/>
              <w:end w:w="120" w:type="dxa"/>
            </w:tcMar>
            <w:shd w:fill="E8EEF5"/>
          </w:tcPr>
          <w:p>
            <w:pPr>
              <w:spacing w:before="20" w:after="20" w:line="252" w:lineRule="auto"/>
            </w:pPr>
            <w:r>
              <w:rPr>
                <w:rFonts w:ascii="Calibri" w:hAnsi="Calibri"/>
                <w:b/>
                <w:color w:val="1F3A5F"/>
                <w:sz w:val="16"/>
              </w:rPr>
              <w:t>What the module contributes</w:t>
            </w:r>
          </w:p>
        </w:tc>
        <w:tc>
          <w:tcPr>
            <w:tcW w:type="dxa" w:w="3660"/>
            <w:vAlign w:val="center"/>
            <w:tcMar>
              <w:top w:w="80" w:type="dxa"/>
              <w:start w:w="120" w:type="dxa"/>
              <w:bottom w:w="80" w:type="dxa"/>
              <w:end w:w="120" w:type="dxa"/>
            </w:tcMar>
            <w:shd w:fill="E8EEF5"/>
          </w:tcPr>
          <w:p>
            <w:pPr>
              <w:spacing w:before="20" w:after="20" w:line="252" w:lineRule="auto"/>
            </w:pPr>
            <w:r>
              <w:rPr>
                <w:rFonts w:ascii="Calibri" w:hAnsi="Calibri"/>
                <w:b/>
                <w:color w:val="1F3A5F"/>
                <w:sz w:val="16"/>
              </w:rPr>
              <w:t>Background concept and classroom demonstration</w:t>
            </w:r>
          </w:p>
        </w:tc>
      </w:tr>
      <w:tr>
        <w:trPr>
          <w:cantSplit/>
          <w:trHeight w:hRule="atLeast"/>
        </w:trPr>
        <w:tc>
          <w:tcPr>
            <w:tcW w:type="dxa" w:w="2100"/>
            <w:vAlign w:val="center"/>
            <w:tcMar>
              <w:top w:w="80" w:type="dxa"/>
              <w:start w:w="120" w:type="dxa"/>
              <w:bottom w:w="80" w:type="dxa"/>
              <w:end w:w="120" w:type="dxa"/>
            </w:tcMar>
          </w:tcPr>
          <w:p>
            <w:pPr>
              <w:spacing w:before="20" w:after="20" w:line="259" w:lineRule="auto"/>
            </w:pPr>
            <w:r>
              <w:rPr>
                <w:rFonts w:ascii="Calibri" w:hAnsi="Calibri"/>
                <w:b/>
                <w:color w:val="111827"/>
                <w:sz w:val="16"/>
              </w:rPr>
              <w:t>1. Pulse delivery and dosimetry</w:t>
            </w:r>
          </w:p>
        </w:tc>
        <w:tc>
          <w:tcPr>
            <w:tcW w:type="dxa" w:w="3600"/>
            <w:vAlign w:val="center"/>
            <w:tcMar>
              <w:top w:w="80" w:type="dxa"/>
              <w:start w:w="120" w:type="dxa"/>
              <w:bottom w:w="80" w:type="dxa"/>
              <w:end w:w="120" w:type="dxa"/>
            </w:tcMar>
          </w:tcPr>
          <w:p>
            <w:pPr>
              <w:spacing w:before="20" w:after="20" w:line="259" w:lineRule="auto"/>
            </w:pPr>
            <w:r>
              <w:rPr>
                <w:rFonts w:ascii="Calibri" w:hAnsi="Calibri"/>
                <w:b w:val="0"/>
                <w:color w:val="111827"/>
                <w:sz w:val="16"/>
              </w:rPr>
              <w:t>Defines the external recipe and translates it into field, dose, energy, and temperature descriptors.</w:t>
            </w:r>
          </w:p>
        </w:tc>
        <w:tc>
          <w:tcPr>
            <w:tcW w:type="dxa" w:w="3660"/>
            <w:vAlign w:val="center"/>
            <w:tcMar>
              <w:top w:w="80" w:type="dxa"/>
              <w:start w:w="120" w:type="dxa"/>
              <w:bottom w:w="80" w:type="dxa"/>
              <w:end w:w="120" w:type="dxa"/>
            </w:tcMar>
          </w:tcPr>
          <w:p>
            <w:pPr>
              <w:spacing w:before="20" w:after="20" w:line="259" w:lineRule="auto"/>
            </w:pPr>
            <w:r>
              <w:rPr>
                <w:rFonts w:ascii="Calibri" w:hAnsi="Calibri"/>
                <w:b w:val="0"/>
                <w:color w:val="111827"/>
                <w:sz w:val="16"/>
              </w:rPr>
              <w:t>Prerequisite: units, external inputs, energy balances. Demo: compare dosimetry formulations.</w:t>
            </w:r>
          </w:p>
        </w:tc>
      </w:tr>
      <w:tr>
        <w:trPr>
          <w:cantSplit/>
          <w:trHeight w:hRule="atLeast"/>
        </w:trPr>
        <w:tc>
          <w:tcPr>
            <w:tcW w:type="dxa" w:w="2100"/>
            <w:shd w:fill="FAFBFC"/>
            <w:vAlign w:val="center"/>
            <w:tcMar>
              <w:top w:w="80" w:type="dxa"/>
              <w:start w:w="120" w:type="dxa"/>
              <w:bottom w:w="80" w:type="dxa"/>
              <w:end w:w="120" w:type="dxa"/>
            </w:tcMar>
          </w:tcPr>
          <w:p>
            <w:pPr>
              <w:spacing w:before="20" w:after="20" w:line="259" w:lineRule="auto"/>
            </w:pPr>
            <w:r>
              <w:rPr>
                <w:rFonts w:ascii="Calibri" w:hAnsi="Calibri"/>
                <w:b/>
                <w:color w:val="111827"/>
                <w:sz w:val="16"/>
              </w:rPr>
              <w:t>2. Membrane/organelle electrodynamics</w:t>
            </w:r>
          </w:p>
        </w:tc>
        <w:tc>
          <w:tcPr>
            <w:tcW w:type="dxa" w:w="360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6"/>
              </w:rPr>
              <w:t>Converts the field into induced transmembrane voltages, conductance, permeability, and pore proxies.</w:t>
            </w:r>
          </w:p>
        </w:tc>
        <w:tc>
          <w:tcPr>
            <w:tcW w:type="dxa" w:w="36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6"/>
              </w:rPr>
              <w:t>Prerequisite: membrane potential, capacitance, Nernst/GHK. Demo: pulse-width and cell-size sensitivity.</w:t>
            </w:r>
          </w:p>
        </w:tc>
      </w:tr>
      <w:tr>
        <w:trPr>
          <w:cantSplit/>
          <w:trHeight w:hRule="atLeast"/>
        </w:trPr>
        <w:tc>
          <w:tcPr>
            <w:tcW w:type="dxa" w:w="2100"/>
            <w:vAlign w:val="center"/>
            <w:tcMar>
              <w:top w:w="80" w:type="dxa"/>
              <w:start w:w="120" w:type="dxa"/>
              <w:bottom w:w="80" w:type="dxa"/>
              <w:end w:w="120" w:type="dxa"/>
            </w:tcMar>
          </w:tcPr>
          <w:p>
            <w:pPr>
              <w:spacing w:before="20" w:after="20" w:line="259" w:lineRule="auto"/>
            </w:pPr>
            <w:r>
              <w:rPr>
                <w:rFonts w:ascii="Calibri" w:hAnsi="Calibri"/>
                <w:b/>
                <w:color w:val="111827"/>
                <w:sz w:val="16"/>
              </w:rPr>
              <w:t>3. Ion transport, Ca2+, ROS, ATP</w:t>
            </w:r>
          </w:p>
        </w:tc>
        <w:tc>
          <w:tcPr>
            <w:tcW w:type="dxa" w:w="3600"/>
            <w:vAlign w:val="center"/>
            <w:tcMar>
              <w:top w:w="80" w:type="dxa"/>
              <w:start w:w="120" w:type="dxa"/>
              <w:bottom w:w="80" w:type="dxa"/>
              <w:end w:w="120" w:type="dxa"/>
            </w:tcMar>
          </w:tcPr>
          <w:p>
            <w:pPr>
              <w:spacing w:before="20" w:after="20" w:line="259" w:lineRule="auto"/>
            </w:pPr>
            <w:r>
              <w:rPr>
                <w:rFonts w:ascii="Calibri" w:hAnsi="Calibri"/>
                <w:b w:val="0"/>
                <w:color w:val="111827"/>
                <w:sz w:val="16"/>
              </w:rPr>
              <w:t>Uses compartmental flux-balance ODEs to turn a brief electrical event into longer cellular trajectories.</w:t>
            </w:r>
          </w:p>
        </w:tc>
        <w:tc>
          <w:tcPr>
            <w:tcW w:type="dxa" w:w="3660"/>
            <w:vAlign w:val="center"/>
            <w:tcMar>
              <w:top w:w="80" w:type="dxa"/>
              <w:start w:w="120" w:type="dxa"/>
              <w:bottom w:w="80" w:type="dxa"/>
              <w:end w:w="120" w:type="dxa"/>
            </w:tcMar>
          </w:tcPr>
          <w:p>
            <w:pPr>
              <w:spacing w:before="20" w:after="20" w:line="259" w:lineRule="auto"/>
            </w:pPr>
            <w:r>
              <w:rPr>
                <w:rFonts w:ascii="Calibri" w:hAnsi="Calibri"/>
                <w:b w:val="0"/>
                <w:color w:val="111827"/>
                <w:sz w:val="16"/>
              </w:rPr>
              <w:t>Prerequisite: compartments, fluxes, pumps, channels, reactions. Demo: baseline vs high dose vs Ca-limited.</w:t>
            </w:r>
          </w:p>
        </w:tc>
      </w:tr>
      <w:tr>
        <w:trPr>
          <w:cantSplit/>
          <w:trHeight w:hRule="atLeast"/>
        </w:trPr>
        <w:tc>
          <w:tcPr>
            <w:tcW w:type="dxa" w:w="2100"/>
            <w:shd w:fill="FAFBFC"/>
            <w:vAlign w:val="center"/>
            <w:tcMar>
              <w:top w:w="80" w:type="dxa"/>
              <w:start w:w="120" w:type="dxa"/>
              <w:bottom w:w="80" w:type="dxa"/>
              <w:end w:w="120" w:type="dxa"/>
            </w:tcMar>
          </w:tcPr>
          <w:p>
            <w:pPr>
              <w:spacing w:before="20" w:after="20" w:line="259" w:lineRule="auto"/>
            </w:pPr>
            <w:r>
              <w:rPr>
                <w:rFonts w:ascii="Calibri" w:hAnsi="Calibri"/>
                <w:b/>
                <w:color w:val="111827"/>
                <w:sz w:val="16"/>
              </w:rPr>
              <w:t>4. Remodeling and repair</w:t>
            </w:r>
          </w:p>
        </w:tc>
        <w:tc>
          <w:tcPr>
            <w:tcW w:type="dxa" w:w="360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6"/>
              </w:rPr>
              <w:t>Maps Ca2+ and stress into PS exposure, calpain, annexin, actin remodeling, lysosomal repair, and resealing.</w:t>
            </w:r>
          </w:p>
        </w:tc>
        <w:tc>
          <w:tcPr>
            <w:tcW w:type="dxa" w:w="36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6"/>
              </w:rPr>
              <w:t>Prerequisite: Hill activation, feedback, competing processes. Demo: buffering, inhibition, repair support.</w:t>
            </w:r>
          </w:p>
        </w:tc>
      </w:tr>
      <w:tr>
        <w:trPr>
          <w:cantSplit/>
          <w:trHeight w:hRule="atLeast"/>
        </w:trPr>
        <w:tc>
          <w:tcPr>
            <w:tcW w:type="dxa" w:w="2100"/>
            <w:vAlign w:val="center"/>
            <w:tcMar>
              <w:top w:w="80" w:type="dxa"/>
              <w:start w:w="120" w:type="dxa"/>
              <w:bottom w:w="80" w:type="dxa"/>
              <w:end w:w="120" w:type="dxa"/>
            </w:tcMar>
          </w:tcPr>
          <w:p>
            <w:pPr>
              <w:spacing w:before="20" w:after="20" w:line="259" w:lineRule="auto"/>
            </w:pPr>
            <w:r>
              <w:rPr>
                <w:rFonts w:ascii="Calibri" w:hAnsi="Calibri"/>
                <w:b/>
                <w:color w:val="111827"/>
                <w:sz w:val="16"/>
              </w:rPr>
              <w:t>5. EV biogenesis and subtype release</w:t>
            </w:r>
          </w:p>
        </w:tc>
        <w:tc>
          <w:tcPr>
            <w:tcW w:type="dxa" w:w="3600"/>
            <w:vAlign w:val="center"/>
            <w:tcMar>
              <w:top w:w="80" w:type="dxa"/>
              <w:start w:w="120" w:type="dxa"/>
              <w:bottom w:w="80" w:type="dxa"/>
              <w:end w:w="120" w:type="dxa"/>
            </w:tcMar>
          </w:tcPr>
          <w:p>
            <w:pPr>
              <w:spacing w:before="20" w:after="20" w:line="259" w:lineRule="auto"/>
            </w:pPr>
            <w:r>
              <w:rPr>
                <w:rFonts w:ascii="Calibri" w:hAnsi="Calibri"/>
                <w:b w:val="0"/>
                <w:color w:val="111827"/>
                <w:sz w:val="16"/>
              </w:rPr>
              <w:t>Tracks MVB/ILV/docking pools, plasma-membrane budding, fusion, and apoptotic-body production.</w:t>
            </w:r>
          </w:p>
        </w:tc>
        <w:tc>
          <w:tcPr>
            <w:tcW w:type="dxa" w:w="3660"/>
            <w:vAlign w:val="center"/>
            <w:tcMar>
              <w:top w:w="80" w:type="dxa"/>
              <w:start w:w="120" w:type="dxa"/>
              <w:bottom w:w="80" w:type="dxa"/>
              <w:end w:w="120" w:type="dxa"/>
            </w:tcMar>
          </w:tcPr>
          <w:p>
            <w:pPr>
              <w:spacing w:before="20" w:after="20" w:line="259" w:lineRule="auto"/>
            </w:pPr>
            <w:r>
              <w:rPr>
                <w:rFonts w:ascii="Calibri" w:hAnsi="Calibri"/>
                <w:b w:val="0"/>
                <w:color w:val="111827"/>
                <w:sz w:val="16"/>
              </w:rPr>
              <w:t>Prerequisite: pool balances, exocytosis, rate laws. Demo: Rab/ESCRT-limited vs ceramide-favored vs injury-shifted.</w:t>
            </w:r>
          </w:p>
        </w:tc>
      </w:tr>
      <w:tr>
        <w:trPr>
          <w:cantSplit/>
          <w:trHeight w:hRule="atLeast"/>
        </w:trPr>
        <w:tc>
          <w:tcPr>
            <w:tcW w:type="dxa" w:w="2100"/>
            <w:shd w:fill="FAFBFC"/>
            <w:vAlign w:val="center"/>
            <w:tcMar>
              <w:top w:w="80" w:type="dxa"/>
              <w:start w:w="120" w:type="dxa"/>
              <w:bottom w:w="80" w:type="dxa"/>
              <w:end w:w="120" w:type="dxa"/>
            </w:tcMar>
          </w:tcPr>
          <w:p>
            <w:pPr>
              <w:spacing w:before="20" w:after="20" w:line="259" w:lineRule="auto"/>
            </w:pPr>
            <w:r>
              <w:rPr>
                <w:rFonts w:ascii="Calibri" w:hAnsi="Calibri"/>
                <w:b/>
                <w:color w:val="111827"/>
                <w:sz w:val="16"/>
              </w:rPr>
              <w:t>6. Cargo, composition, and potency</w:t>
            </w:r>
          </w:p>
        </w:tc>
        <w:tc>
          <w:tcPr>
            <w:tcW w:type="dxa" w:w="360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6"/>
              </w:rPr>
              <w:t>Combines subtype-weighted protein, RNA, lipid, antigen, and direct-loading states into functional output.</w:t>
            </w:r>
          </w:p>
        </w:tc>
        <w:tc>
          <w:tcPr>
            <w:tcW w:type="dxa" w:w="36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6"/>
              </w:rPr>
              <w:t>Prerequisite: PK/PD-style effect mapping and saturation. Demo: endogenous sorting vs direct loading.</w:t>
            </w:r>
          </w:p>
        </w:tc>
      </w:tr>
      <w:tr>
        <w:trPr>
          <w:cantSplit/>
          <w:trHeight w:hRule="atLeast"/>
        </w:trPr>
        <w:tc>
          <w:tcPr>
            <w:tcW w:type="dxa" w:w="2100"/>
            <w:vAlign w:val="center"/>
            <w:tcMar>
              <w:top w:w="80" w:type="dxa"/>
              <w:start w:w="120" w:type="dxa"/>
              <w:bottom w:w="80" w:type="dxa"/>
              <w:end w:w="120" w:type="dxa"/>
            </w:tcMar>
          </w:tcPr>
          <w:p>
            <w:pPr>
              <w:spacing w:before="20" w:after="20" w:line="259" w:lineRule="auto"/>
            </w:pPr>
            <w:r>
              <w:rPr>
                <w:rFonts w:ascii="Calibri" w:hAnsi="Calibri"/>
                <w:b/>
                <w:color w:val="111827"/>
                <w:sz w:val="16"/>
              </w:rPr>
              <w:t>7. Injury, debris, and quality gate</w:t>
            </w:r>
          </w:p>
        </w:tc>
        <w:tc>
          <w:tcPr>
            <w:tcW w:type="dxa" w:w="3600"/>
            <w:vAlign w:val="center"/>
            <w:tcMar>
              <w:top w:w="80" w:type="dxa"/>
              <w:start w:w="120" w:type="dxa"/>
              <w:bottom w:w="80" w:type="dxa"/>
              <w:end w:w="120" w:type="dxa"/>
            </w:tcMar>
          </w:tcPr>
          <w:p>
            <w:pPr>
              <w:spacing w:before="20" w:after="20" w:line="259" w:lineRule="auto"/>
            </w:pPr>
            <w:r>
              <w:rPr>
                <w:rFonts w:ascii="Calibri" w:hAnsi="Calibri"/>
                <w:b w:val="0"/>
                <w:color w:val="111827"/>
                <w:sz w:val="16"/>
              </w:rPr>
              <w:t>Separates useful EVs from stressed cells, apoptosis, necrosis, debris, and aggregates using thresholds and mixtures.</w:t>
            </w:r>
          </w:p>
        </w:tc>
        <w:tc>
          <w:tcPr>
            <w:tcW w:type="dxa" w:w="3660"/>
            <w:vAlign w:val="center"/>
            <w:tcMar>
              <w:top w:w="80" w:type="dxa"/>
              <w:start w:w="120" w:type="dxa"/>
              <w:bottom w:w="80" w:type="dxa"/>
              <w:end w:w="120" w:type="dxa"/>
            </w:tcMar>
          </w:tcPr>
          <w:p>
            <w:pPr>
              <w:spacing w:before="20" w:after="20" w:line="259" w:lineRule="auto"/>
            </w:pPr>
            <w:r>
              <w:rPr>
                <w:rFonts w:ascii="Calibri" w:hAnsi="Calibri"/>
                <w:b w:val="0"/>
                <w:color w:val="111827"/>
                <w:sz w:val="16"/>
              </w:rPr>
              <w:t>Prerequisite: nonlinear switches, mixture accounting, model credibility. Demo: high particle count that fails quality.</w:t>
            </w:r>
          </w:p>
        </w:tc>
      </w:tr>
      <w:tr>
        <w:trPr>
          <w:cantSplit/>
          <w:trHeight w:hRule="atLeast"/>
        </w:trPr>
        <w:tc>
          <w:tcPr>
            <w:tcW w:type="dxa" w:w="2100"/>
            <w:shd w:fill="FAFBFC"/>
            <w:vAlign w:val="center"/>
            <w:tcMar>
              <w:top w:w="80" w:type="dxa"/>
              <w:start w:w="120" w:type="dxa"/>
              <w:bottom w:w="80" w:type="dxa"/>
              <w:end w:w="120" w:type="dxa"/>
            </w:tcMar>
          </w:tcPr>
          <w:p>
            <w:pPr>
              <w:spacing w:before="20" w:after="20" w:line="259" w:lineRule="auto"/>
            </w:pPr>
            <w:r>
              <w:rPr>
                <w:rFonts w:ascii="Calibri" w:hAnsi="Calibri"/>
                <w:b/>
                <w:color w:val="111827"/>
                <w:sz w:val="16"/>
              </w:rPr>
              <w:t>8. Manufacturing, isolation, and QC</w:t>
            </w:r>
          </w:p>
        </w:tc>
        <w:tc>
          <w:tcPr>
            <w:tcW w:type="dxa" w:w="360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6"/>
              </w:rPr>
              <w:t>Converts cellular release into isolated yield, recovery, purity, batch consistency, scale, and an optimization objective.</w:t>
            </w:r>
          </w:p>
        </w:tc>
        <w:tc>
          <w:tcPr>
            <w:tcW w:type="dxa" w:w="36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6"/>
              </w:rPr>
              <w:t>Prerequisite: process mass balance, PBPK/flow intuition, constraints. Demo: yield-purity-viability tradeoff.</w:t>
            </w:r>
          </w:p>
        </w:tc>
      </w:tr>
      <w:tr>
        <w:trPr>
          <w:cantSplit/>
          <w:trHeight w:hRule="atLeast"/>
        </w:trPr>
        <w:tc>
          <w:tcPr>
            <w:tcW w:type="dxa" w:w="2100"/>
            <w:vAlign w:val="center"/>
            <w:tcMar>
              <w:top w:w="80" w:type="dxa"/>
              <w:start w:w="120" w:type="dxa"/>
              <w:bottom w:w="80" w:type="dxa"/>
              <w:end w:w="120" w:type="dxa"/>
            </w:tcMar>
          </w:tcPr>
          <w:p>
            <w:pPr>
              <w:spacing w:before="20" w:after="20" w:line="259" w:lineRule="auto"/>
            </w:pPr>
            <w:r>
              <w:rPr>
                <w:rFonts w:ascii="Calibri" w:hAnsi="Calibri"/>
                <w:b/>
                <w:color w:val="111827"/>
                <w:sz w:val="16"/>
              </w:rPr>
              <w:t>Cross-cutting cell-state modifiers</w:t>
            </w:r>
          </w:p>
        </w:tc>
        <w:tc>
          <w:tcPr>
            <w:tcW w:type="dxa" w:w="3600"/>
            <w:vAlign w:val="center"/>
            <w:tcMar>
              <w:top w:w="80" w:type="dxa"/>
              <w:start w:w="120" w:type="dxa"/>
              <w:bottom w:w="80" w:type="dxa"/>
              <w:end w:w="120" w:type="dxa"/>
            </w:tcMar>
          </w:tcPr>
          <w:p>
            <w:pPr>
              <w:spacing w:before="20" w:after="20" w:line="259" w:lineRule="auto"/>
            </w:pPr>
            <w:r>
              <w:rPr>
                <w:rFonts w:ascii="Calibri" w:hAnsi="Calibri"/>
                <w:b w:val="0"/>
                <w:color w:val="111827"/>
                <w:sz w:val="16"/>
              </w:rPr>
              <w:t>Scales parameters for cell type, disease state, membrane composition, Ca2+ handling, metabolism, and stress susceptibility.</w:t>
            </w:r>
          </w:p>
        </w:tc>
        <w:tc>
          <w:tcPr>
            <w:tcW w:type="dxa" w:w="3660"/>
            <w:vAlign w:val="center"/>
            <w:tcMar>
              <w:top w:w="80" w:type="dxa"/>
              <w:start w:w="120" w:type="dxa"/>
              <w:bottom w:w="80" w:type="dxa"/>
              <w:end w:w="120" w:type="dxa"/>
            </w:tcMar>
          </w:tcPr>
          <w:p>
            <w:pPr>
              <w:spacing w:before="20" w:after="20" w:line="259" w:lineRule="auto"/>
            </w:pPr>
            <w:r>
              <w:rPr>
                <w:rFonts w:ascii="Calibri" w:hAnsi="Calibri"/>
                <w:b w:val="0"/>
                <w:color w:val="111827"/>
                <w:sz w:val="16"/>
              </w:rPr>
              <w:t>Prerequisite: variability, parameter distributions, sensitivity. Demo: resilient-secretory vs fragile-stress-biased cells.</w:t>
            </w:r>
          </w:p>
        </w:tc>
      </w:tr>
    </w:tbl>
    <w:p>
      <w:pPr>
        <w:spacing w:before="80" w:after="80" w:line="240" w:lineRule="auto"/>
      </w:pPr>
      <w:r>
        <w:rPr>
          <w:rFonts w:ascii="Calibri" w:hAnsi="Calibri"/>
          <w:i/>
          <w:color w:val="5B6573"/>
          <w:sz w:val="17"/>
        </w:rPr>
        <w:t>Module names and interfaces follow main.tex, README.md, docs/model_assumptions.md, and the model files under electro_exocytosis/models.</w:t>
      </w:r>
    </w:p>
    <w:p>
      <w:pPr>
        <w:pStyle w:val="Heading2"/>
        <w:keepNext/>
      </w:pPr>
      <w:r>
        <w:t>The module contract students should use</w:t>
      </w:r>
    </w:p>
    <w:p>
      <w:pPr>
        <w:spacing w:before="0" w:after="80" w:line="300" w:lineRule="auto"/>
        <w:numPr>
          <w:ilvl w:val="0"/>
          <w:numId w:val="10"/>
        </w:numPr>
      </w:pPr>
      <w:r>
        <w:rPr>
          <w:rFonts w:ascii="Calibri" w:hAnsi="Calibri"/>
          <w:b/>
          <w:color w:val="111827"/>
          <w:sz w:val="22"/>
        </w:rPr>
        <w:t>Input:</w:t>
      </w:r>
      <w:r>
        <w:rPr>
          <w:rFonts w:ascii="Calibri" w:hAnsi="Calibri"/>
          <w:color w:val="111827"/>
          <w:sz w:val="22"/>
        </w:rPr>
        <w:t xml:space="preserve"> what arrives from the experiment or the previous module?</w:t>
      </w:r>
    </w:p>
    <w:p>
      <w:pPr>
        <w:spacing w:before="0" w:after="80" w:line="300" w:lineRule="auto"/>
        <w:numPr>
          <w:ilvl w:val="0"/>
          <w:numId w:val="10"/>
        </w:numPr>
      </w:pPr>
      <w:r>
        <w:rPr>
          <w:rFonts w:ascii="Calibri" w:hAnsi="Calibri"/>
          <w:b/>
          <w:color w:val="111827"/>
          <w:sz w:val="22"/>
        </w:rPr>
        <w:t>State:</w:t>
      </w:r>
      <w:r>
        <w:rPr>
          <w:rFonts w:ascii="Calibri" w:hAnsi="Calibri"/>
          <w:color w:val="111827"/>
          <w:sz w:val="22"/>
        </w:rPr>
        <w:t xml:space="preserve"> what quantities must be remembered over time?</w:t>
      </w:r>
    </w:p>
    <w:p>
      <w:pPr>
        <w:spacing w:before="0" w:after="80" w:line="300" w:lineRule="auto"/>
        <w:numPr>
          <w:ilvl w:val="0"/>
          <w:numId w:val="10"/>
        </w:numPr>
      </w:pPr>
      <w:r>
        <w:rPr>
          <w:rFonts w:ascii="Calibri" w:hAnsi="Calibri"/>
          <w:b/>
          <w:color w:val="111827"/>
          <w:sz w:val="22"/>
        </w:rPr>
        <w:t>Process:</w:t>
      </w:r>
      <w:r>
        <w:rPr>
          <w:rFonts w:ascii="Calibri" w:hAnsi="Calibri"/>
          <w:color w:val="111827"/>
          <w:sz w:val="22"/>
        </w:rPr>
        <w:t xml:space="preserve"> what balance, rate law, threshold, or mapping changes those states?</w:t>
      </w:r>
    </w:p>
    <w:p>
      <w:pPr>
        <w:spacing w:before="0" w:after="80" w:line="300" w:lineRule="auto"/>
        <w:numPr>
          <w:ilvl w:val="0"/>
          <w:numId w:val="10"/>
        </w:numPr>
      </w:pPr>
      <w:r>
        <w:rPr>
          <w:rFonts w:ascii="Calibri" w:hAnsi="Calibri"/>
          <w:b/>
          <w:color w:val="111827"/>
          <w:sz w:val="22"/>
        </w:rPr>
        <w:t>Output:</w:t>
      </w:r>
      <w:r>
        <w:rPr>
          <w:rFonts w:ascii="Calibri" w:hAnsi="Calibri"/>
          <w:color w:val="111827"/>
          <w:sz w:val="22"/>
        </w:rPr>
        <w:t xml:space="preserve"> what is passed downstream and what can be measured?</w:t>
      </w:r>
    </w:p>
    <w:p>
      <w:pPr>
        <w:spacing w:before="0" w:after="80" w:line="300" w:lineRule="auto"/>
        <w:numPr>
          <w:ilvl w:val="0"/>
          <w:numId w:val="10"/>
        </w:numPr>
      </w:pPr>
      <w:r>
        <w:rPr>
          <w:rFonts w:ascii="Calibri" w:hAnsi="Calibri"/>
          <w:b/>
          <w:color w:val="111827"/>
          <w:sz w:val="22"/>
        </w:rPr>
        <w:t>Evidence:</w:t>
      </w:r>
      <w:r>
        <w:rPr>
          <w:rFonts w:ascii="Calibri" w:hAnsi="Calibri"/>
          <w:color w:val="111827"/>
          <w:sz w:val="22"/>
        </w:rPr>
        <w:t xml:space="preserve"> which experiment or source can constrain the parameters or test the behavior?</w:t>
      </w:r>
    </w:p>
    <w:p>
      <w:pPr>
        <w:spacing w:before="0" w:after="80" w:line="300" w:lineRule="auto"/>
        <w:numPr>
          <w:ilvl w:val="0"/>
          <w:numId w:val="10"/>
        </w:numPr>
      </w:pPr>
      <w:r>
        <w:rPr>
          <w:rFonts w:ascii="Calibri" w:hAnsi="Calibri"/>
          <w:b/>
          <w:color w:val="111827"/>
          <w:sz w:val="22"/>
        </w:rPr>
        <w:t>Limitation:</w:t>
      </w:r>
      <w:r>
        <w:rPr>
          <w:rFonts w:ascii="Calibri" w:hAnsi="Calibri"/>
          <w:color w:val="111827"/>
          <w:sz w:val="22"/>
        </w:rPr>
        <w:t xml:space="preserve"> which assumption is most likely to fail for this cell type, timescale, or protocol?</w:t>
      </w:r>
    </w:p>
    <w:p>
      <w:pPr>
        <w:spacing w:before="200" w:after="80"/>
        <w:jc w:val="center"/>
      </w:pPr>
      <w:r>
        <w:drawing>
          <wp:inline xmlns:a="http://schemas.openxmlformats.org/drawingml/2006/main" xmlns:pic="http://schemas.openxmlformats.org/drawingml/2006/picture">
            <wp:extent cx="5806440" cy="3193542"/>
            <wp:docPr id="2" name="Picture 2" descr="Three-row course storyboard comparing mild, productive, and injury-prone stimulation across exposure, electrical response, cell state, EV release, and quality outcomes." title="EV biogenesis scenario storyboard"/>
            <wp:cNvGraphicFramePr>
              <a:graphicFrameLocks noChangeAspect="1"/>
            </wp:cNvGraphicFramePr>
            <a:graphic>
              <a:graphicData uri="http://schemas.openxmlformats.org/drawingml/2006/picture">
                <pic:pic>
                  <pic:nvPicPr>
                    <pic:cNvPr id="0" name="multilayer_storyboard.png"/>
                    <pic:cNvPicPr/>
                  </pic:nvPicPr>
                  <pic:blipFill>
                    <a:blip r:embed="rId14"/>
                    <a:stretch>
                      <a:fillRect/>
                    </a:stretch>
                  </pic:blipFill>
                  <pic:spPr>
                    <a:xfrm>
                      <a:off x="0" y="0"/>
                      <a:ext cx="5806440" cy="3193542"/>
                    </a:xfrm>
                    <a:prstGeom prst="rect"/>
                  </pic:spPr>
                </pic:pic>
              </a:graphicData>
            </a:graphic>
          </wp:inline>
        </w:drawing>
      </w:r>
    </w:p>
    <w:p>
      <w:pPr>
        <w:pStyle w:val="CourseCaption"/>
        <w:jc w:val="center"/>
      </w:pPr>
      <w:r>
        <w:t>Integrated storyboard across Layers 1-5. Use it after the individual modules, not before, so students can explain why mild, productive-secretory, and injury-dominant regimes diverge.</w:t>
      </w:r>
    </w:p>
    <w:p>
      <w:pPr>
        <w:spacing w:before="80" w:after="80" w:line="240" w:lineRule="auto"/>
      </w:pPr>
      <w:r>
        <w:rPr>
          <w:rFonts w:ascii="Calibri" w:hAnsi="Calibri"/>
          <w:i/>
          <w:color w:val="5B6573"/>
          <w:sz w:val="17"/>
        </w:rPr>
        <w:t>Source figure: /Users/aghorban/code/electro-exocytosis/figs/multilayer_storyboard.png</w:t>
      </w:r>
    </w:p>
    <w:p>
      <w:pPr>
        <w:pStyle w:val="Heading1"/>
        <w:keepNext/>
      </w:pPr>
      <w:r>
        <w:t>6. Labs, assessment, and capstone</w:t>
      </w:r>
    </w:p>
    <w:p>
      <w:pPr>
        <w:pStyle w:val="Heading2"/>
        <w:keepNext/>
      </w:pPr>
      <w:r>
        <w:t>Computational scaffolding</w:t>
      </w:r>
    </w:p>
    <w:p>
      <w:pPr>
        <w:spacing w:before="0" w:after="120" w:line="300" w:lineRule="auto"/>
      </w:pPr>
      <w:r>
        <w:rPr>
          <w:rFonts w:ascii="Calibri" w:hAnsi="Calibri"/>
          <w:color w:val="111827"/>
          <w:sz w:val="22"/>
        </w:rPr>
        <w:t>Use a no-code to guided-code to independent-analysis progression. In the first weeks, students predict curves and edit diagrams. By Weeks 3-5, they modify one equation or parameter in a prepared notebook. In the EV block, they run existing repository examples and explain the output before changing implementation details.</w:t>
      </w:r>
    </w:p>
    <w:p>
      <w:pPr>
        <w:spacing w:before="0" w:after="80" w:line="300" w:lineRule="auto"/>
        <w:numPr>
          <w:ilvl w:val="0"/>
          <w:numId w:val="10"/>
        </w:numPr>
      </w:pPr>
      <w:r>
        <w:rPr>
          <w:rFonts w:ascii="Calibri" w:hAnsi="Calibri"/>
          <w:b/>
          <w:color w:val="111827"/>
          <w:sz w:val="22"/>
        </w:rPr>
        <w:t>Lab 1 - One-box washout:</w:t>
      </w:r>
      <w:r>
        <w:rPr>
          <w:rFonts w:ascii="Calibri" w:hAnsi="Calibri"/>
          <w:color w:val="111827"/>
          <w:sz w:val="22"/>
        </w:rPr>
        <w:t xml:space="preserve"> define volume, concentration, flow, time constant, and conserved amount.</w:t>
      </w:r>
    </w:p>
    <w:p>
      <w:pPr>
        <w:spacing w:before="0" w:after="80" w:line="300" w:lineRule="auto"/>
        <w:numPr>
          <w:ilvl w:val="0"/>
          <w:numId w:val="10"/>
        </w:numPr>
      </w:pPr>
      <w:r>
        <w:rPr>
          <w:rFonts w:ascii="Calibri" w:hAnsi="Calibri"/>
          <w:b/>
          <w:color w:val="111827"/>
          <w:sz w:val="22"/>
        </w:rPr>
        <w:t>Lab 2 - Two-compartment exchange:</w:t>
      </w:r>
      <w:r>
        <w:rPr>
          <w:rFonts w:ascii="Calibri" w:hAnsi="Calibri"/>
          <w:color w:val="111827"/>
          <w:sz w:val="22"/>
        </w:rPr>
        <w:t xml:space="preserve"> change volume and permeability-surface area; explain equilibrium and timescale.</w:t>
      </w:r>
    </w:p>
    <w:p>
      <w:pPr>
        <w:spacing w:before="0" w:after="80" w:line="300" w:lineRule="auto"/>
        <w:numPr>
          <w:ilvl w:val="0"/>
          <w:numId w:val="10"/>
        </w:numPr>
      </w:pPr>
      <w:r>
        <w:rPr>
          <w:rFonts w:ascii="Calibri" w:hAnsi="Calibri"/>
          <w:b/>
          <w:color w:val="111827"/>
          <w:sz w:val="22"/>
        </w:rPr>
        <w:t>Lab 3 - Membrane potential:</w:t>
      </w:r>
      <w:r>
        <w:rPr>
          <w:rFonts w:ascii="Calibri" w:hAnsi="Calibri"/>
          <w:color w:val="111827"/>
          <w:sz w:val="22"/>
        </w:rPr>
        <w:t xml:space="preserve"> compare Nernst single-ion predictions with a multi-ion GHK result.</w:t>
      </w:r>
    </w:p>
    <w:p>
      <w:pPr>
        <w:spacing w:before="0" w:after="80" w:line="300" w:lineRule="auto"/>
        <w:numPr>
          <w:ilvl w:val="0"/>
          <w:numId w:val="10"/>
        </w:numPr>
      </w:pPr>
      <w:r>
        <w:rPr>
          <w:rFonts w:ascii="Calibri" w:hAnsi="Calibri"/>
          <w:b/>
          <w:color w:val="111827"/>
          <w:sz w:val="22"/>
        </w:rPr>
        <w:t>Lab 4 - PK/PD:</w:t>
      </w:r>
      <w:r>
        <w:rPr>
          <w:rFonts w:ascii="Calibri" w:hAnsi="Calibri"/>
          <w:color w:val="111827"/>
          <w:sz w:val="22"/>
        </w:rPr>
        <w:t xml:space="preserve"> connect a one-compartment concentration curve to an Emax or Hill effect curve.</w:t>
      </w:r>
    </w:p>
    <w:p>
      <w:pPr>
        <w:spacing w:before="0" w:after="80" w:line="300" w:lineRule="auto"/>
        <w:numPr>
          <w:ilvl w:val="0"/>
          <w:numId w:val="10"/>
        </w:numPr>
      </w:pPr>
      <w:r>
        <w:rPr>
          <w:rFonts w:ascii="Calibri" w:hAnsi="Calibri"/>
          <w:b/>
          <w:color w:val="111827"/>
          <w:sz w:val="22"/>
        </w:rPr>
        <w:t>Lab 5 - PBPK/PD:</w:t>
      </w:r>
      <w:r>
        <w:rPr>
          <w:rFonts w:ascii="Calibri" w:hAnsi="Calibri"/>
          <w:color w:val="111827"/>
          <w:sz w:val="22"/>
        </w:rPr>
        <w:t xml:space="preserve"> add flow and tissue exchange; perform a one-parameter sensitivity analysis.</w:t>
      </w:r>
    </w:p>
    <w:p>
      <w:pPr>
        <w:spacing w:before="0" w:after="80" w:line="300" w:lineRule="auto"/>
        <w:numPr>
          <w:ilvl w:val="0"/>
          <w:numId w:val="10"/>
        </w:numPr>
      </w:pPr>
      <w:r>
        <w:rPr>
          <w:rFonts w:ascii="Calibri" w:hAnsi="Calibri"/>
          <w:b/>
          <w:color w:val="111827"/>
          <w:sz w:val="22"/>
        </w:rPr>
        <w:t>Lab 6 - electroexo Layers 1-2:</w:t>
      </w:r>
      <w:r>
        <w:rPr>
          <w:rFonts w:ascii="Calibri" w:hAnsi="Calibri"/>
          <w:color w:val="111827"/>
          <w:sz w:val="22"/>
        </w:rPr>
        <w:t xml:space="preserve"> compare dosimetry and membrane charging across pulse protocols.</w:t>
      </w:r>
    </w:p>
    <w:p>
      <w:pPr>
        <w:spacing w:before="0" w:after="80" w:line="300" w:lineRule="auto"/>
        <w:numPr>
          <w:ilvl w:val="0"/>
          <w:numId w:val="10"/>
        </w:numPr>
      </w:pPr>
      <w:r>
        <w:rPr>
          <w:rFonts w:ascii="Calibri" w:hAnsi="Calibri"/>
          <w:b/>
          <w:color w:val="111827"/>
          <w:sz w:val="22"/>
        </w:rPr>
        <w:t>Lab 7 - Layers 3-4:</w:t>
      </w:r>
      <w:r>
        <w:rPr>
          <w:rFonts w:ascii="Calibri" w:hAnsi="Calibri"/>
          <w:color w:val="111827"/>
          <w:sz w:val="22"/>
        </w:rPr>
        <w:t xml:space="preserve"> interpret Ca2+/ROS/ATP and repair trajectories across biological hypotheses.</w:t>
      </w:r>
    </w:p>
    <w:p>
      <w:pPr>
        <w:spacing w:before="0" w:after="80" w:line="300" w:lineRule="auto"/>
        <w:numPr>
          <w:ilvl w:val="0"/>
          <w:numId w:val="10"/>
        </w:numPr>
      </w:pPr>
      <w:r>
        <w:rPr>
          <w:rFonts w:ascii="Calibri" w:hAnsi="Calibri"/>
          <w:b/>
          <w:color w:val="111827"/>
          <w:sz w:val="22"/>
        </w:rPr>
        <w:t>Lab 8 - Layers 5-8:</w:t>
      </w:r>
      <w:r>
        <w:rPr>
          <w:rFonts w:ascii="Calibri" w:hAnsi="Calibri"/>
          <w:color w:val="111827"/>
          <w:sz w:val="22"/>
        </w:rPr>
        <w:t xml:space="preserve"> classify a scenario as productive, direct-loading, or injury-dominant and justify the quality gate.</w:t>
      </w:r>
    </w:p>
    <w:p>
      <w:pPr>
        <w:pStyle w:val="Heading2"/>
        <w:keepNext/>
      </w:pPr>
      <w:r>
        <w:t>Example assessment mix</w:t>
      </w:r>
    </w:p>
    <w:p>
      <w:pPr>
        <w:spacing w:before="0" w:after="80" w:line="300" w:lineRule="auto"/>
        <w:numPr>
          <w:ilvl w:val="0"/>
          <w:numId w:val="10"/>
        </w:numPr>
      </w:pPr>
      <w:r>
        <w:rPr>
          <w:rFonts w:ascii="Calibri" w:hAnsi="Calibri"/>
          <w:color w:val="111827"/>
          <w:sz w:val="22"/>
        </w:rPr>
        <w:t>15% concept checks and figure explanations</w:t>
      </w:r>
    </w:p>
    <w:p>
      <w:pPr>
        <w:spacing w:before="0" w:after="80" w:line="300" w:lineRule="auto"/>
        <w:numPr>
          <w:ilvl w:val="0"/>
          <w:numId w:val="10"/>
        </w:numPr>
      </w:pPr>
      <w:r>
        <w:rPr>
          <w:rFonts w:ascii="Calibri" w:hAnsi="Calibri"/>
          <w:color w:val="111827"/>
          <w:sz w:val="22"/>
        </w:rPr>
        <w:t>35% guided computational labs</w:t>
      </w:r>
    </w:p>
    <w:p>
      <w:pPr>
        <w:spacing w:before="0" w:after="80" w:line="300" w:lineRule="auto"/>
        <w:numPr>
          <w:ilvl w:val="0"/>
          <w:numId w:val="10"/>
        </w:numPr>
      </w:pPr>
      <w:r>
        <w:rPr>
          <w:rFonts w:ascii="Calibri" w:hAnsi="Calibri"/>
          <w:color w:val="111827"/>
          <w:sz w:val="22"/>
        </w:rPr>
        <w:t>15% source/evidence critique</w:t>
      </w:r>
    </w:p>
    <w:p>
      <w:pPr>
        <w:spacing w:before="0" w:after="80" w:line="300" w:lineRule="auto"/>
        <w:numPr>
          <w:ilvl w:val="0"/>
          <w:numId w:val="10"/>
        </w:numPr>
      </w:pPr>
      <w:r>
        <w:rPr>
          <w:rFonts w:ascii="Calibri" w:hAnsi="Calibri"/>
          <w:color w:val="111827"/>
          <w:sz w:val="22"/>
        </w:rPr>
        <w:t>35% capstone proposal, simulation, presentation, and reflection</w:t>
      </w:r>
    </w:p>
    <w:p>
      <w:pPr>
        <w:pStyle w:val="Heading2"/>
        <w:keepNext/>
      </w:pPr>
      <w:r>
        <w:t>Strong capstone formats</w:t>
      </w:r>
    </w:p>
    <w:p>
      <w:pPr>
        <w:spacing w:before="0" w:after="80" w:line="300" w:lineRule="auto"/>
        <w:numPr>
          <w:ilvl w:val="0"/>
          <w:numId w:val="10"/>
        </w:numPr>
      </w:pPr>
      <w:r>
        <w:rPr>
          <w:rFonts w:ascii="Calibri" w:hAnsi="Calibri"/>
          <w:color w:val="111827"/>
          <w:sz w:val="22"/>
        </w:rPr>
        <w:t>Improve one submodel and explain the biological assumption it replaces.</w:t>
      </w:r>
    </w:p>
    <w:p>
      <w:pPr>
        <w:spacing w:before="0" w:after="80" w:line="300" w:lineRule="auto"/>
        <w:numPr>
          <w:ilvl w:val="0"/>
          <w:numId w:val="10"/>
        </w:numPr>
      </w:pPr>
      <w:r>
        <w:rPr>
          <w:rFonts w:ascii="Calibri" w:hAnsi="Calibri"/>
          <w:color w:val="111827"/>
          <w:sz w:val="22"/>
        </w:rPr>
        <w:t>Build one evidence-to-parameter table for a chosen layer and cell type.</w:t>
      </w:r>
    </w:p>
    <w:p>
      <w:pPr>
        <w:spacing w:before="0" w:after="80" w:line="300" w:lineRule="auto"/>
        <w:numPr>
          <w:ilvl w:val="0"/>
          <w:numId w:val="10"/>
        </w:numPr>
      </w:pPr>
      <w:r>
        <w:rPr>
          <w:rFonts w:ascii="Calibri" w:hAnsi="Calibri"/>
          <w:color w:val="111827"/>
          <w:sz w:val="22"/>
        </w:rPr>
        <w:t>Design one validation experiment with measurable module inputs and outputs.</w:t>
      </w:r>
    </w:p>
    <w:p>
      <w:pPr>
        <w:spacing w:before="0" w:after="80" w:line="300" w:lineRule="auto"/>
        <w:numPr>
          <w:ilvl w:val="0"/>
          <w:numId w:val="10"/>
        </w:numPr>
      </w:pPr>
      <w:r>
        <w:rPr>
          <w:rFonts w:ascii="Calibri" w:hAnsi="Calibri"/>
          <w:color w:val="111827"/>
          <w:sz w:val="22"/>
        </w:rPr>
        <w:t>Create one beginner-facing simulation or visualization that teaches a difficult concept correctly.</w:t>
      </w:r>
    </w:p>
    <w:p>
      <w:pPr>
        <w:spacing w:before="0" w:after="80" w:line="300" w:lineRule="auto"/>
        <w:numPr>
          <w:ilvl w:val="0"/>
          <w:numId w:val="10"/>
        </w:numPr>
      </w:pPr>
      <w:r>
        <w:rPr>
          <w:rFonts w:ascii="Calibri" w:hAnsi="Calibri"/>
          <w:color w:val="111827"/>
          <w:sz w:val="22"/>
        </w:rPr>
        <w:t>Compare two cell-state parameterizations and identify which data would discriminate them.</w:t>
      </w:r>
    </w:p>
    <w:tbl>
      <w:tblPr>
        <w:tblW w:type="dxa" w:w="9360"/>
        <w:jc w:val="left"/>
        <w:tblLayout w:type="fixed"/>
        <w:tblLook w:firstColumn="1" w:firstRow="1" w:lastColumn="0" w:lastRow="0" w:noHBand="0" w:noVBand="1" w:val="04A0"/>
        <w:tblInd w:w="120" w:type="dxa"/>
        <w:tblBorders>
          <w:top w:val="single" w:sz="5" w:space="0" w:color="9B1C1C"/>
          <w:left w:val="single" w:sz="5" w:space="0" w:color="9B1C1C"/>
          <w:bottom w:val="single" w:sz="5" w:space="0" w:color="9B1C1C"/>
          <w:right w:val="single" w:sz="5" w:space="0" w:color="9B1C1C"/>
          <w:insideH w:val="single" w:sz="5" w:space="0" w:color="9B1C1C"/>
          <w:insideV w:val="single" w:sz="5" w:space="0" w:color="9B1C1C"/>
        </w:tblBorders>
      </w:tblPr>
      <w:tblGrid>
        <w:gridCol w:w="9360"/>
      </w:tblGrid>
      <w:tr>
        <w:trPr>
          <w:trHeight w:hRule="atLeast"/>
          <w:tblHeader w:val="true"/>
          <w:cantSplit/>
        </w:trPr>
        <w:tc>
          <w:tcPr>
            <w:tcW w:type="dxa" w:w="9360"/>
            <w:vAlign w:val="center"/>
            <w:tcMar>
              <w:top w:w="80" w:type="dxa"/>
              <w:start w:w="120" w:type="dxa"/>
              <w:bottom w:w="80" w:type="dxa"/>
              <w:end w:w="120" w:type="dxa"/>
            </w:tcMar>
            <w:shd w:fill="FFF1F1"/>
          </w:tcPr>
          <w:p>
            <w:pPr>
              <w:spacing w:before="40" w:after="40" w:line="276" w:lineRule="auto"/>
            </w:pPr>
            <w:r>
              <w:rPr>
                <w:rFonts w:ascii="Calibri" w:hAnsi="Calibri"/>
                <w:b/>
                <w:color w:val="9B1C1C"/>
                <w:sz w:val="21"/>
              </w:rPr>
              <w:t xml:space="preserve">Scientific honesty requirement: </w:t>
            </w:r>
            <w:r>
              <w:rPr>
                <w:rFonts w:ascii="Calibri" w:hAnsi="Calibri"/>
                <w:color w:val="111827"/>
                <w:sz w:val="21"/>
              </w:rPr>
              <w:t>The current software is structurally complete but scientifically provisional. Students must distinguish a runnable model from a validated model and label placeholder parameters, assumptions, and evidence gaps explicitly.</w:t>
            </w:r>
          </w:p>
        </w:tc>
      </w:tr>
    </w:tbl>
    <w:p>
      <w:pPr>
        <w:spacing w:before="80" w:after="80" w:line="240" w:lineRule="auto"/>
      </w:pPr>
      <w:r>
        <w:rPr>
          <w:rFonts w:ascii="Calibri" w:hAnsi="Calibri"/>
          <w:i/>
          <w:color w:val="5B6573"/>
          <w:sz w:val="17"/>
        </w:rPr>
      </w:r>
    </w:p>
    <w:p>
      <w:pPr>
        <w:pStyle w:val="Heading1"/>
        <w:keepNext/>
      </w:pPr>
      <w:r>
        <w:t>7. Likely teaching pitfalls and how to avoid them</w:t>
      </w:r>
    </w:p>
    <w:tbl>
      <w:tblPr>
        <w:tblW w:type="dxa" w:w="9360"/>
        <w:tblLayout w:type="fixed"/>
        <w:tblLook w:firstColumn="1" w:firstRow="1" w:lastColumn="0" w:lastRow="0" w:noHBand="0" w:noVBand="1" w:val="04A0"/>
        <w:jc w:val="left"/>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3000"/>
        <w:gridCol w:w="6360"/>
      </w:tblGrid>
      <w:tr>
        <w:trPr>
          <w:trHeight w:hRule="atLeast"/>
          <w:tblHeader w:val="true"/>
          <w:cantSplit/>
        </w:trPr>
        <w:tc>
          <w:tcPr>
            <w:tcW w:type="dxa" w:w="3000"/>
            <w:vAlign w:val="center"/>
            <w:tcMar>
              <w:top w:w="80" w:type="dxa"/>
              <w:start w:w="120" w:type="dxa"/>
              <w:bottom w:w="80" w:type="dxa"/>
              <w:end w:w="120" w:type="dxa"/>
            </w:tcMar>
            <w:shd w:fill="E8EEF5"/>
          </w:tcPr>
          <w:p>
            <w:pPr>
              <w:spacing w:before="20" w:after="20" w:line="252" w:lineRule="auto"/>
            </w:pPr>
            <w:r>
              <w:rPr>
                <w:rFonts w:ascii="Calibri" w:hAnsi="Calibri"/>
                <w:b/>
                <w:color w:val="1F3A5F"/>
                <w:sz w:val="18"/>
              </w:rPr>
              <w:t>Pitfall</w:t>
            </w:r>
          </w:p>
        </w:tc>
        <w:tc>
          <w:tcPr>
            <w:tcW w:type="dxa" w:w="6360"/>
            <w:vAlign w:val="center"/>
            <w:tcMar>
              <w:top w:w="80" w:type="dxa"/>
              <w:start w:w="120" w:type="dxa"/>
              <w:bottom w:w="80" w:type="dxa"/>
              <w:end w:w="120" w:type="dxa"/>
            </w:tcMar>
            <w:shd w:fill="E8EEF5"/>
          </w:tcPr>
          <w:p>
            <w:pPr>
              <w:spacing w:before="20" w:after="20" w:line="252" w:lineRule="auto"/>
            </w:pPr>
            <w:r>
              <w:rPr>
                <w:rFonts w:ascii="Calibri" w:hAnsi="Calibri"/>
                <w:b/>
                <w:color w:val="1F3A5F"/>
                <w:sz w:val="18"/>
              </w:rPr>
              <w:t>Teaching response</w:t>
            </w:r>
          </w:p>
        </w:tc>
      </w:tr>
      <w:tr>
        <w:trPr>
          <w:cantSplit/>
          <w:trHeight w:hRule="atLeast"/>
        </w:trPr>
        <w:tc>
          <w:tcPr>
            <w:tcW w:type="dxa" w:w="3000"/>
            <w:vAlign w:val="center"/>
            <w:tcMar>
              <w:top w:w="80" w:type="dxa"/>
              <w:start w:w="120" w:type="dxa"/>
              <w:bottom w:w="80" w:type="dxa"/>
              <w:end w:w="120" w:type="dxa"/>
            </w:tcMar>
          </w:tcPr>
          <w:p>
            <w:pPr>
              <w:spacing w:before="20" w:after="20" w:line="259" w:lineRule="auto"/>
            </w:pPr>
            <w:r>
              <w:rPr>
                <w:rFonts w:ascii="Calibri" w:hAnsi="Calibri"/>
                <w:b/>
                <w:color w:val="111827"/>
                <w:sz w:val="18"/>
              </w:rPr>
              <w:t>Starting with the full HH model</w:t>
            </w:r>
          </w:p>
        </w:tc>
        <w:tc>
          <w:tcPr>
            <w:tcW w:type="dxa" w:w="6360"/>
            <w:vAlign w:val="center"/>
            <w:tcMar>
              <w:top w:w="80" w:type="dxa"/>
              <w:start w:w="120" w:type="dxa"/>
              <w:bottom w:w="80" w:type="dxa"/>
              <w:end w:w="120" w:type="dxa"/>
            </w:tcMar>
          </w:tcPr>
          <w:p>
            <w:pPr>
              <w:spacing w:before="20" w:after="20" w:line="259" w:lineRule="auto"/>
            </w:pPr>
            <w:r>
              <w:rPr>
                <w:rFonts w:ascii="Calibri" w:hAnsi="Calibri"/>
                <w:b w:val="0"/>
                <w:color w:val="111827"/>
                <w:sz w:val="18"/>
              </w:rPr>
              <w:t>Use Nernst, GHK, capacitance, and one gating variable first. HH is optional structure, not the entry point.</w:t>
            </w:r>
          </w:p>
        </w:tc>
      </w:tr>
      <w:tr>
        <w:trPr>
          <w:cantSplit/>
          <w:trHeight w:hRule="atLeast"/>
        </w:trPr>
        <w:tc>
          <w:tcPr>
            <w:tcW w:type="dxa" w:w="3000"/>
            <w:shd w:fill="FAFBFC"/>
            <w:vAlign w:val="center"/>
            <w:tcMar>
              <w:top w:w="80" w:type="dxa"/>
              <w:start w:w="120" w:type="dxa"/>
              <w:bottom w:w="80" w:type="dxa"/>
              <w:end w:w="120" w:type="dxa"/>
            </w:tcMar>
          </w:tcPr>
          <w:p>
            <w:pPr>
              <w:spacing w:before="20" w:after="20" w:line="259" w:lineRule="auto"/>
            </w:pPr>
            <w:r>
              <w:rPr>
                <w:rFonts w:ascii="Calibri" w:hAnsi="Calibri"/>
                <w:b/>
                <w:color w:val="111827"/>
                <w:sz w:val="18"/>
              </w:rPr>
              <w:t>Confusing resting Vm with induced Delta Vm</w:t>
            </w:r>
          </w:p>
        </w:tc>
        <w:tc>
          <w:tcPr>
            <w:tcW w:type="dxa" w:w="63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8"/>
              </w:rPr>
              <w:t>Name the source of each voltage every time: ionic gradients/permeability versus external-field charging.</w:t>
            </w:r>
          </w:p>
        </w:tc>
      </w:tr>
      <w:tr>
        <w:trPr>
          <w:cantSplit/>
          <w:trHeight w:hRule="atLeast"/>
        </w:trPr>
        <w:tc>
          <w:tcPr>
            <w:tcW w:type="dxa" w:w="3000"/>
            <w:vAlign w:val="center"/>
            <w:tcMar>
              <w:top w:w="80" w:type="dxa"/>
              <w:start w:w="120" w:type="dxa"/>
              <w:bottom w:w="80" w:type="dxa"/>
              <w:end w:w="120" w:type="dxa"/>
            </w:tcMar>
          </w:tcPr>
          <w:p>
            <w:pPr>
              <w:spacing w:before="20" w:after="20" w:line="259" w:lineRule="auto"/>
            </w:pPr>
            <w:r>
              <w:rPr>
                <w:rFonts w:ascii="Calibri" w:hAnsi="Calibri"/>
                <w:b/>
                <w:color w:val="111827"/>
                <w:sz w:val="18"/>
              </w:rPr>
              <w:t>Treating compartments as literal anatomy</w:t>
            </w:r>
          </w:p>
        </w:tc>
        <w:tc>
          <w:tcPr>
            <w:tcW w:type="dxa" w:w="6360"/>
            <w:vAlign w:val="center"/>
            <w:tcMar>
              <w:top w:w="80" w:type="dxa"/>
              <w:start w:w="120" w:type="dxa"/>
              <w:bottom w:w="80" w:type="dxa"/>
              <w:end w:w="120" w:type="dxa"/>
            </w:tcMar>
          </w:tcPr>
          <w:p>
            <w:pPr>
              <w:spacing w:before="20" w:after="20" w:line="259" w:lineRule="auto"/>
            </w:pPr>
            <w:r>
              <w:rPr>
                <w:rFonts w:ascii="Calibri" w:hAnsi="Calibri"/>
                <w:b w:val="0"/>
                <w:color w:val="111827"/>
                <w:sz w:val="18"/>
              </w:rPr>
              <w:t>Repeat that a compartment is a modeling decision tied to mixing and timescale assumptions.</w:t>
            </w:r>
          </w:p>
        </w:tc>
      </w:tr>
      <w:tr>
        <w:trPr>
          <w:cantSplit/>
          <w:trHeight w:hRule="atLeast"/>
        </w:trPr>
        <w:tc>
          <w:tcPr>
            <w:tcW w:type="dxa" w:w="3000"/>
            <w:shd w:fill="FAFBFC"/>
            <w:vAlign w:val="center"/>
            <w:tcMar>
              <w:top w:w="80" w:type="dxa"/>
              <w:start w:w="120" w:type="dxa"/>
              <w:bottom w:w="80" w:type="dxa"/>
              <w:end w:w="120" w:type="dxa"/>
            </w:tcMar>
          </w:tcPr>
          <w:p>
            <w:pPr>
              <w:spacing w:before="20" w:after="20" w:line="259" w:lineRule="auto"/>
            </w:pPr>
            <w:r>
              <w:rPr>
                <w:rFonts w:ascii="Calibri" w:hAnsi="Calibri"/>
                <w:b/>
                <w:color w:val="111827"/>
                <w:sz w:val="18"/>
              </w:rPr>
              <w:t>Using PK/PD as a biological equivalence</w:t>
            </w:r>
          </w:p>
        </w:tc>
        <w:tc>
          <w:tcPr>
            <w:tcW w:type="dxa" w:w="63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8"/>
              </w:rPr>
              <w:t>Frame it as a reusable modeling pattern: input, disposition, state, and effect.</w:t>
            </w:r>
          </w:p>
        </w:tc>
      </w:tr>
      <w:tr>
        <w:trPr>
          <w:cantSplit/>
          <w:trHeight w:hRule="atLeast"/>
        </w:trPr>
        <w:tc>
          <w:tcPr>
            <w:tcW w:type="dxa" w:w="3000"/>
            <w:vAlign w:val="center"/>
            <w:tcMar>
              <w:top w:w="80" w:type="dxa"/>
              <w:start w:w="120" w:type="dxa"/>
              <w:bottom w:w="80" w:type="dxa"/>
              <w:end w:w="120" w:type="dxa"/>
            </w:tcMar>
          </w:tcPr>
          <w:p>
            <w:pPr>
              <w:spacing w:before="20" w:after="20" w:line="259" w:lineRule="auto"/>
            </w:pPr>
            <w:r>
              <w:rPr>
                <w:rFonts w:ascii="Calibri" w:hAnsi="Calibri"/>
                <w:b/>
                <w:color w:val="111827"/>
                <w:sz w:val="18"/>
              </w:rPr>
              <w:t>Stopping at total EV count</w:t>
            </w:r>
          </w:p>
        </w:tc>
        <w:tc>
          <w:tcPr>
            <w:tcW w:type="dxa" w:w="6360"/>
            <w:vAlign w:val="center"/>
            <w:tcMar>
              <w:top w:w="80" w:type="dxa"/>
              <w:start w:w="120" w:type="dxa"/>
              <w:bottom w:w="80" w:type="dxa"/>
              <w:end w:w="120" w:type="dxa"/>
            </w:tcMar>
          </w:tcPr>
          <w:p>
            <w:pPr>
              <w:spacing w:before="20" w:after="20" w:line="259" w:lineRule="auto"/>
            </w:pPr>
            <w:r>
              <w:rPr>
                <w:rFonts w:ascii="Calibri" w:hAnsi="Calibri"/>
                <w:b w:val="0"/>
                <w:color w:val="111827"/>
                <w:sz w:val="18"/>
              </w:rPr>
              <w:t>Require subtype, cargo/potency, viability, contamination, and process recovery in the final interpretation.</w:t>
            </w:r>
          </w:p>
        </w:tc>
      </w:tr>
      <w:tr>
        <w:trPr>
          <w:cantSplit/>
          <w:trHeight w:hRule="atLeast"/>
        </w:trPr>
        <w:tc>
          <w:tcPr>
            <w:tcW w:type="dxa" w:w="3000"/>
            <w:shd w:fill="FAFBFC"/>
            <w:vAlign w:val="center"/>
            <w:tcMar>
              <w:top w:w="80" w:type="dxa"/>
              <w:start w:w="120" w:type="dxa"/>
              <w:bottom w:w="80" w:type="dxa"/>
              <w:end w:w="120" w:type="dxa"/>
            </w:tcMar>
          </w:tcPr>
          <w:p>
            <w:pPr>
              <w:spacing w:before="20" w:after="20" w:line="259" w:lineRule="auto"/>
            </w:pPr>
            <w:r>
              <w:rPr>
                <w:rFonts w:ascii="Calibri" w:hAnsi="Calibri"/>
                <w:b/>
                <w:color w:val="111827"/>
                <w:sz w:val="18"/>
              </w:rPr>
              <w:t>Hiding placeholder status</w:t>
            </w:r>
          </w:p>
        </w:tc>
        <w:tc>
          <w:tcPr>
            <w:tcW w:type="dxa" w:w="63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8"/>
              </w:rPr>
              <w:t>Pair every simulation with an assumptions/evidence box and a proposed validation measurement.</w:t>
            </w:r>
          </w:p>
        </w:tc>
      </w:tr>
      <w:tr>
        <w:trPr>
          <w:cantSplit/>
          <w:trHeight w:hRule="atLeast"/>
        </w:trPr>
        <w:tc>
          <w:tcPr>
            <w:tcW w:type="dxa" w:w="3000"/>
            <w:vAlign w:val="center"/>
            <w:tcMar>
              <w:top w:w="80" w:type="dxa"/>
              <w:start w:w="120" w:type="dxa"/>
              <w:bottom w:w="80" w:type="dxa"/>
              <w:end w:w="120" w:type="dxa"/>
            </w:tcMar>
          </w:tcPr>
          <w:p>
            <w:pPr>
              <w:spacing w:before="20" w:after="20" w:line="259" w:lineRule="auto"/>
            </w:pPr>
            <w:r>
              <w:rPr>
                <w:rFonts w:ascii="Calibri" w:hAnsi="Calibri"/>
                <w:b/>
                <w:color w:val="111827"/>
                <w:sz w:val="18"/>
              </w:rPr>
              <w:t>Showing the full framework too early</w:t>
            </w:r>
          </w:p>
        </w:tc>
        <w:tc>
          <w:tcPr>
            <w:tcW w:type="dxa" w:w="6360"/>
            <w:vAlign w:val="center"/>
            <w:tcMar>
              <w:top w:w="80" w:type="dxa"/>
              <w:start w:w="120" w:type="dxa"/>
              <w:bottom w:w="80" w:type="dxa"/>
              <w:end w:w="120" w:type="dxa"/>
            </w:tcMar>
          </w:tcPr>
          <w:p>
            <w:pPr>
              <w:spacing w:before="20" w:after="20" w:line="259" w:lineRule="auto"/>
            </w:pPr>
            <w:r>
              <w:rPr>
                <w:rFonts w:ascii="Calibri" w:hAnsi="Calibri"/>
                <w:b w:val="0"/>
                <w:color w:val="111827"/>
                <w:sz w:val="18"/>
              </w:rPr>
              <w:t>Preview the destination briefly, then revisit it only after the prerequisite vocabulary has been built.</w:t>
            </w:r>
          </w:p>
        </w:tc>
      </w:tr>
    </w:tbl>
    <w:p>
      <w:pPr>
        <w:spacing w:before="80" w:after="80" w:line="240" w:lineRule="auto"/>
      </w:pPr>
      <w:r>
        <w:rPr>
          <w:rFonts w:ascii="Calibri" w:hAnsi="Calibri"/>
          <w:i/>
          <w:color w:val="5B6573"/>
          <w:sz w:val="17"/>
        </w:rPr>
        <w:t>These responses are consistent with the report's modular scope and the repository's explicit placeholder disclaimer.</w:t>
      </w:r>
    </w:p>
    <w:p>
      <w:pPr>
        <w:pStyle w:val="Heading1"/>
        <w:keepNext/>
      </w:pPr>
      <w:r>
        <w:t>8. Existing assets to reuse</w:t>
      </w:r>
    </w:p>
    <w:tbl>
      <w:tblPr>
        <w:tblW w:type="dxa" w:w="9360"/>
        <w:tblLayout w:type="fixed"/>
        <w:tblLook w:firstColumn="1" w:firstRow="1" w:lastColumn="0" w:lastRow="0" w:noHBand="0" w:noVBand="1" w:val="04A0"/>
        <w:jc w:val="left"/>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4550"/>
        <w:gridCol w:w="4810"/>
      </w:tblGrid>
      <w:tr>
        <w:trPr>
          <w:trHeight w:hRule="atLeast"/>
          <w:tblHeader w:val="true"/>
          <w:cantSplit/>
        </w:trPr>
        <w:tc>
          <w:tcPr>
            <w:tcW w:type="dxa" w:w="4550"/>
            <w:vAlign w:val="center"/>
            <w:tcMar>
              <w:top w:w="80" w:type="dxa"/>
              <w:start w:w="120" w:type="dxa"/>
              <w:bottom w:w="80" w:type="dxa"/>
              <w:end w:w="120" w:type="dxa"/>
            </w:tcMar>
            <w:shd w:fill="E8EEF5"/>
          </w:tcPr>
          <w:p>
            <w:pPr>
              <w:spacing w:before="20" w:after="20" w:line="252" w:lineRule="auto"/>
            </w:pPr>
            <w:r>
              <w:rPr>
                <w:rFonts w:ascii="Calibri" w:hAnsi="Calibri"/>
                <w:b/>
                <w:color w:val="1F3A5F"/>
                <w:sz w:val="17"/>
              </w:rPr>
              <w:t>Asset</w:t>
            </w:r>
          </w:p>
        </w:tc>
        <w:tc>
          <w:tcPr>
            <w:tcW w:type="dxa" w:w="4810"/>
            <w:vAlign w:val="center"/>
            <w:tcMar>
              <w:top w:w="80" w:type="dxa"/>
              <w:start w:w="120" w:type="dxa"/>
              <w:bottom w:w="80" w:type="dxa"/>
              <w:end w:w="120" w:type="dxa"/>
            </w:tcMar>
            <w:shd w:fill="E8EEF5"/>
          </w:tcPr>
          <w:p>
            <w:pPr>
              <w:spacing w:before="20" w:after="20" w:line="252" w:lineRule="auto"/>
            </w:pPr>
            <w:r>
              <w:rPr>
                <w:rFonts w:ascii="Calibri" w:hAnsi="Calibri"/>
                <w:b/>
                <w:color w:val="1F3A5F"/>
                <w:sz w:val="17"/>
              </w:rPr>
              <w:t>Recommended role</w:t>
            </w:r>
          </w:p>
        </w:tc>
      </w:tr>
      <w:tr>
        <w:trPr>
          <w:cantSplit/>
          <w:trHeight w:hRule="atLeast"/>
        </w:trPr>
        <w:tc>
          <w:tcPr>
            <w:tcW w:type="dxa" w:w="4550"/>
            <w:vAlign w:val="center"/>
            <w:tcMar>
              <w:top w:w="80" w:type="dxa"/>
              <w:start w:w="120" w:type="dxa"/>
              <w:bottom w:w="80" w:type="dxa"/>
              <w:end w:w="120" w:type="dxa"/>
            </w:tcMar>
          </w:tcPr>
          <w:p>
            <w:pPr>
              <w:spacing w:before="20" w:after="20" w:line="259" w:lineRule="auto"/>
            </w:pPr>
            <w:r>
              <w:rPr>
                <w:rFonts w:ascii="Calibri" w:hAnsi="Calibri"/>
                <w:b/>
                <w:color w:val="111827"/>
                <w:sz w:val="17"/>
              </w:rPr>
              <w:t>outputs/course_authoring/generate_electroexo_course_general_audience.mjs</w:t>
            </w:r>
          </w:p>
        </w:tc>
        <w:tc>
          <w:tcPr>
            <w:tcW w:type="dxa" w:w="4810"/>
            <w:vAlign w:val="center"/>
            <w:tcMar>
              <w:top w:w="80" w:type="dxa"/>
              <w:start w:w="120" w:type="dxa"/>
              <w:bottom w:w="80" w:type="dxa"/>
              <w:end w:w="120" w:type="dxa"/>
            </w:tcMar>
          </w:tcPr>
          <w:p>
            <w:pPr>
              <w:spacing w:before="20" w:after="20" w:line="259" w:lineRule="auto"/>
            </w:pPr>
            <w:r>
              <w:rPr>
                <w:rFonts w:ascii="Calibri" w:hAnsi="Calibri"/>
                <w:b w:val="0"/>
                <w:color w:val="111827"/>
                <w:sz w:val="17"/>
              </w:rPr>
              <w:t>A 10-session physiology-first slide sequence. Retain as the compressed seminar version.</w:t>
            </w:r>
          </w:p>
        </w:tc>
      </w:tr>
      <w:tr>
        <w:trPr>
          <w:cantSplit/>
          <w:trHeight w:hRule="atLeast"/>
        </w:trPr>
        <w:tc>
          <w:tcPr>
            <w:tcW w:type="dxa" w:w="4550"/>
            <w:shd w:fill="FAFBFC"/>
            <w:vAlign w:val="center"/>
            <w:tcMar>
              <w:top w:w="80" w:type="dxa"/>
              <w:start w:w="120" w:type="dxa"/>
              <w:bottom w:w="80" w:type="dxa"/>
              <w:end w:w="120" w:type="dxa"/>
            </w:tcMar>
          </w:tcPr>
          <w:p>
            <w:pPr>
              <w:spacing w:before="20" w:after="20" w:line="259" w:lineRule="auto"/>
            </w:pPr>
            <w:r>
              <w:rPr>
                <w:rFonts w:ascii="Calibri" w:hAnsi="Calibri"/>
                <w:b/>
                <w:color w:val="111827"/>
                <w:sz w:val="17"/>
              </w:rPr>
              <w:t>outputs/course_authoring/generate_electroexo_syllabus_ag_template.mjs</w:t>
            </w:r>
          </w:p>
        </w:tc>
        <w:tc>
          <w:tcPr>
            <w:tcW w:type="dxa" w:w="481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A 14-week syllabus scaffold. Update it with the page-level source assignments in this guide.</w:t>
            </w:r>
          </w:p>
        </w:tc>
      </w:tr>
      <w:tr>
        <w:trPr>
          <w:cantSplit/>
          <w:trHeight w:hRule="atLeast"/>
        </w:trPr>
        <w:tc>
          <w:tcPr>
            <w:tcW w:type="dxa" w:w="4550"/>
            <w:vAlign w:val="center"/>
            <w:tcMar>
              <w:top w:w="80" w:type="dxa"/>
              <w:start w:w="120" w:type="dxa"/>
              <w:bottom w:w="80" w:type="dxa"/>
              <w:end w:w="120" w:type="dxa"/>
            </w:tcMar>
          </w:tcPr>
          <w:p>
            <w:pPr>
              <w:spacing w:before="20" w:after="20" w:line="259" w:lineRule="auto"/>
            </w:pPr>
            <w:r>
              <w:rPr>
                <w:rFonts w:ascii="Calibri" w:hAnsi="Calibri"/>
                <w:b/>
                <w:color w:val="111827"/>
                <w:sz w:val="17"/>
              </w:rPr>
              <w:t>outputs/course_authoring/generate_electroexo_course_slides.mjs</w:t>
            </w:r>
          </w:p>
        </w:tc>
        <w:tc>
          <w:tcPr>
            <w:tcW w:type="dxa" w:w="4810"/>
            <w:vAlign w:val="center"/>
            <w:tcMar>
              <w:top w:w="80" w:type="dxa"/>
              <w:start w:w="120" w:type="dxa"/>
              <w:bottom w:w="80" w:type="dxa"/>
              <w:end w:w="120" w:type="dxa"/>
            </w:tcMar>
          </w:tcPr>
          <w:p>
            <w:pPr>
              <w:spacing w:before="20" w:after="20" w:line="259" w:lineRule="auto"/>
            </w:pPr>
            <w:r>
              <w:rPr>
                <w:rFonts w:ascii="Calibri" w:hAnsi="Calibri"/>
                <w:b w:val="0"/>
                <w:color w:val="111827"/>
                <w:sz w:val="17"/>
              </w:rPr>
              <w:t>A more technical 10-session deck. Use after the general-audience concepts or as graduate enrichment.</w:t>
            </w:r>
          </w:p>
        </w:tc>
      </w:tr>
      <w:tr>
        <w:trPr>
          <w:cantSplit/>
          <w:trHeight w:hRule="atLeast"/>
        </w:trPr>
        <w:tc>
          <w:tcPr>
            <w:tcW w:type="dxa" w:w="4550"/>
            <w:shd w:fill="FAFBFC"/>
            <w:vAlign w:val="center"/>
            <w:tcMar>
              <w:top w:w="80" w:type="dxa"/>
              <w:start w:w="120" w:type="dxa"/>
              <w:bottom w:w="80" w:type="dxa"/>
              <w:end w:w="120" w:type="dxa"/>
            </w:tcMar>
          </w:tcPr>
          <w:p>
            <w:pPr>
              <w:spacing w:before="20" w:after="20" w:line="259" w:lineRule="auto"/>
            </w:pPr>
            <w:r>
              <w:rPr>
                <w:rFonts w:ascii="Calibri" w:hAnsi="Calibri"/>
                <w:b/>
                <w:color w:val="111827"/>
                <w:sz w:val="17"/>
              </w:rPr>
              <w:t>examples/compare_*.py</w:t>
            </w:r>
          </w:p>
        </w:tc>
        <w:tc>
          <w:tcPr>
            <w:tcW w:type="dxa" w:w="481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Ready-made module demonstrations for dosimetry, electrodynamics, ion transport, repair, EV release, and downstream engineering.</w:t>
            </w:r>
          </w:p>
        </w:tc>
      </w:tr>
      <w:tr>
        <w:trPr>
          <w:cantSplit/>
          <w:trHeight w:hRule="atLeast"/>
        </w:trPr>
        <w:tc>
          <w:tcPr>
            <w:tcW w:type="dxa" w:w="4550"/>
            <w:vAlign w:val="center"/>
            <w:tcMar>
              <w:top w:w="80" w:type="dxa"/>
              <w:start w:w="120" w:type="dxa"/>
              <w:bottom w:w="80" w:type="dxa"/>
              <w:end w:w="120" w:type="dxa"/>
            </w:tcMar>
          </w:tcPr>
          <w:p>
            <w:pPr>
              <w:spacing w:before="20" w:after="20" w:line="259" w:lineRule="auto"/>
            </w:pPr>
            <w:r>
              <w:rPr>
                <w:rFonts w:ascii="Calibri" w:hAnsi="Calibri"/>
                <w:b/>
                <w:color w:val="111827"/>
                <w:sz w:val="17"/>
              </w:rPr>
              <w:t>examples/storyboard_multilayer_overview.py</w:t>
            </w:r>
          </w:p>
        </w:tc>
        <w:tc>
          <w:tcPr>
            <w:tcW w:type="dxa" w:w="4810"/>
            <w:vAlign w:val="center"/>
            <w:tcMar>
              <w:top w:w="80" w:type="dxa"/>
              <w:start w:w="120" w:type="dxa"/>
              <w:bottom w:w="80" w:type="dxa"/>
              <w:end w:w="120" w:type="dxa"/>
            </w:tcMar>
          </w:tcPr>
          <w:p>
            <w:pPr>
              <w:spacing w:before="20" w:after="20" w:line="259" w:lineRule="auto"/>
            </w:pPr>
            <w:r>
              <w:rPr>
                <w:rFonts w:ascii="Calibri" w:hAnsi="Calibri"/>
                <w:b w:val="0"/>
                <w:color w:val="111827"/>
                <w:sz w:val="17"/>
              </w:rPr>
              <w:t>Best integrated visual narrative after students have learned the individual modules.</w:t>
            </w:r>
          </w:p>
        </w:tc>
      </w:tr>
      <w:tr>
        <w:trPr>
          <w:cantSplit/>
          <w:trHeight w:hRule="atLeast"/>
        </w:trPr>
        <w:tc>
          <w:tcPr>
            <w:tcW w:type="dxa" w:w="4550"/>
            <w:shd w:fill="FAFBFC"/>
            <w:vAlign w:val="center"/>
            <w:tcMar>
              <w:top w:w="80" w:type="dxa"/>
              <w:start w:w="120" w:type="dxa"/>
              <w:bottom w:w="80" w:type="dxa"/>
              <w:end w:w="120" w:type="dxa"/>
            </w:tcMar>
          </w:tcPr>
          <w:p>
            <w:pPr>
              <w:spacing w:before="20" w:after="20" w:line="259" w:lineRule="auto"/>
            </w:pPr>
            <w:r>
              <w:rPr>
                <w:rFonts w:ascii="Calibri" w:hAnsi="Calibri"/>
                <w:b/>
                <w:color w:val="111827"/>
                <w:sz w:val="17"/>
              </w:rPr>
              <w:t>examples/solution_space_analysis</w:t>
            </w:r>
          </w:p>
        </w:tc>
        <w:tc>
          <w:tcPr>
            <w:tcW w:type="dxa" w:w="481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7"/>
              </w:rPr>
              <w:t>Advanced exploration of pulse, waveform, conductivity, dosimetry, and cell-state parameter sweeps.</w:t>
            </w:r>
          </w:p>
        </w:tc>
      </w:tr>
      <w:tr>
        <w:trPr>
          <w:cantSplit/>
          <w:trHeight w:hRule="atLeast"/>
        </w:trPr>
        <w:tc>
          <w:tcPr>
            <w:tcW w:type="dxa" w:w="4550"/>
            <w:vAlign w:val="center"/>
            <w:tcMar>
              <w:top w:w="80" w:type="dxa"/>
              <w:start w:w="120" w:type="dxa"/>
              <w:bottom w:w="80" w:type="dxa"/>
              <w:end w:w="120" w:type="dxa"/>
            </w:tcMar>
          </w:tcPr>
          <w:p>
            <w:pPr>
              <w:spacing w:before="20" w:after="20" w:line="259" w:lineRule="auto"/>
            </w:pPr>
            <w:r>
              <w:rPr>
                <w:rFonts w:ascii="Calibri" w:hAnsi="Calibri"/>
                <w:b/>
                <w:color w:val="111827"/>
                <w:sz w:val="17"/>
              </w:rPr>
              <w:t>docs/model_assumptions.md and evidence targets</w:t>
            </w:r>
          </w:p>
        </w:tc>
        <w:tc>
          <w:tcPr>
            <w:tcW w:type="dxa" w:w="4810"/>
            <w:vAlign w:val="center"/>
            <w:tcMar>
              <w:top w:w="80" w:type="dxa"/>
              <w:start w:w="120" w:type="dxa"/>
              <w:bottom w:w="80" w:type="dxa"/>
              <w:end w:w="120" w:type="dxa"/>
            </w:tcMar>
          </w:tcPr>
          <w:p>
            <w:pPr>
              <w:spacing w:before="20" w:after="20" w:line="259" w:lineRule="auto"/>
            </w:pPr>
            <w:r>
              <w:rPr>
                <w:rFonts w:ascii="Calibri" w:hAnsi="Calibri"/>
                <w:b w:val="0"/>
                <w:color w:val="111827"/>
                <w:sz w:val="17"/>
              </w:rPr>
              <w:t>Required reading for limitations, calibration order, and capstone design.</w:t>
            </w:r>
          </w:p>
        </w:tc>
      </w:tr>
    </w:tbl>
    <w:p>
      <w:pPr>
        <w:spacing w:before="80" w:after="80" w:line="240" w:lineRule="auto"/>
      </w:pPr>
      <w:r>
        <w:rPr>
          <w:rFonts w:ascii="Calibri" w:hAnsi="Calibri"/>
          <w:i/>
          <w:color w:val="5B6573"/>
          <w:sz w:val="17"/>
        </w:rPr>
        <w:t>Executable repository reviewed: /Users/aghorban/code/electroexo</w:t>
      </w:r>
    </w:p>
    <w:p>
      <w:pPr>
        <w:pStyle w:val="Heading1"/>
        <w:keepNext/>
      </w:pPr>
      <w:r>
        <w:t>9. Production roadmap for next year's course</w:t>
      </w:r>
    </w:p>
    <w:tbl>
      <w:tblPr>
        <w:tblW w:type="dxa" w:w="9360"/>
        <w:tblLayout w:type="fixed"/>
        <w:tblLook w:firstColumn="1" w:firstRow="1" w:lastColumn="0" w:lastRow="0" w:noHBand="0" w:noVBand="1" w:val="04A0"/>
        <w:jc w:val="left"/>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2100"/>
        <w:gridCol w:w="7260"/>
      </w:tblGrid>
      <w:tr>
        <w:trPr>
          <w:trHeight w:hRule="atLeast"/>
          <w:tblHeader w:val="true"/>
          <w:cantSplit/>
        </w:trPr>
        <w:tc>
          <w:tcPr>
            <w:tcW w:type="dxa" w:w="2100"/>
            <w:vAlign w:val="center"/>
            <w:tcMar>
              <w:top w:w="80" w:type="dxa"/>
              <w:start w:w="120" w:type="dxa"/>
              <w:bottom w:w="80" w:type="dxa"/>
              <w:end w:w="120" w:type="dxa"/>
            </w:tcMar>
            <w:shd w:fill="E8EEF5"/>
          </w:tcPr>
          <w:p>
            <w:pPr>
              <w:spacing w:before="20" w:after="20" w:line="252" w:lineRule="auto"/>
            </w:pPr>
            <w:r>
              <w:rPr>
                <w:rFonts w:ascii="Calibri" w:hAnsi="Calibri"/>
                <w:b/>
                <w:color w:val="1F3A5F"/>
                <w:sz w:val="18"/>
              </w:rPr>
              <w:t>Timing</w:t>
            </w:r>
          </w:p>
        </w:tc>
        <w:tc>
          <w:tcPr>
            <w:tcW w:type="dxa" w:w="7260"/>
            <w:vAlign w:val="center"/>
            <w:tcMar>
              <w:top w:w="80" w:type="dxa"/>
              <w:start w:w="120" w:type="dxa"/>
              <w:bottom w:w="80" w:type="dxa"/>
              <w:end w:w="120" w:type="dxa"/>
            </w:tcMar>
            <w:shd w:fill="E8EEF5"/>
          </w:tcPr>
          <w:p>
            <w:pPr>
              <w:spacing w:before="20" w:after="20" w:line="252" w:lineRule="auto"/>
            </w:pPr>
            <w:r>
              <w:rPr>
                <w:rFonts w:ascii="Calibri" w:hAnsi="Calibri"/>
                <w:b/>
                <w:color w:val="1F3A5F"/>
                <w:sz w:val="18"/>
              </w:rPr>
              <w:t>Deliverable</w:t>
            </w:r>
          </w:p>
        </w:tc>
      </w:tr>
      <w:tr>
        <w:trPr>
          <w:cantSplit/>
          <w:trHeight w:hRule="atLeast"/>
        </w:trPr>
        <w:tc>
          <w:tcPr>
            <w:tcW w:type="dxa" w:w="2100"/>
            <w:vAlign w:val="center"/>
            <w:tcMar>
              <w:top w:w="80" w:type="dxa"/>
              <w:start w:w="120" w:type="dxa"/>
              <w:bottom w:w="80" w:type="dxa"/>
              <w:end w:w="120" w:type="dxa"/>
            </w:tcMar>
          </w:tcPr>
          <w:p>
            <w:pPr>
              <w:spacing w:before="20" w:after="20" w:line="259" w:lineRule="auto"/>
            </w:pPr>
            <w:r>
              <w:rPr>
                <w:rFonts w:ascii="Calibri" w:hAnsi="Calibri"/>
                <w:b/>
                <w:color w:val="111827"/>
                <w:sz w:val="18"/>
              </w:rPr>
              <w:t>T-9 to T-7 months</w:t>
            </w:r>
          </w:p>
        </w:tc>
        <w:tc>
          <w:tcPr>
            <w:tcW w:type="dxa" w:w="7260"/>
            <w:vAlign w:val="center"/>
            <w:tcMar>
              <w:top w:w="80" w:type="dxa"/>
              <w:start w:w="120" w:type="dxa"/>
              <w:bottom w:w="80" w:type="dxa"/>
              <w:end w:w="120" w:type="dxa"/>
            </w:tcMar>
          </w:tcPr>
          <w:p>
            <w:pPr>
              <w:spacing w:before="20" w:after="20" w:line="259" w:lineRule="auto"/>
            </w:pPr>
            <w:r>
              <w:rPr>
                <w:rFonts w:ascii="Calibri" w:hAnsi="Calibri"/>
                <w:b w:val="0"/>
                <w:color w:val="111827"/>
                <w:sz w:val="18"/>
              </w:rPr>
              <w:t>Confirm audience, contact hours, software policy, and whether the primary format is 14 weeks or the 10-session seminar.</w:t>
            </w:r>
          </w:p>
        </w:tc>
      </w:tr>
      <w:tr>
        <w:trPr>
          <w:cantSplit/>
          <w:trHeight w:hRule="atLeast"/>
        </w:trPr>
        <w:tc>
          <w:tcPr>
            <w:tcW w:type="dxa" w:w="2100"/>
            <w:shd w:fill="FAFBFC"/>
            <w:vAlign w:val="center"/>
            <w:tcMar>
              <w:top w:w="80" w:type="dxa"/>
              <w:start w:w="120" w:type="dxa"/>
              <w:bottom w:w="80" w:type="dxa"/>
              <w:end w:w="120" w:type="dxa"/>
            </w:tcMar>
          </w:tcPr>
          <w:p>
            <w:pPr>
              <w:spacing w:before="20" w:after="20" w:line="259" w:lineRule="auto"/>
            </w:pPr>
            <w:r>
              <w:rPr>
                <w:rFonts w:ascii="Calibri" w:hAnsi="Calibri"/>
                <w:b/>
                <w:color w:val="111827"/>
                <w:sz w:val="18"/>
              </w:rPr>
              <w:t>T-7 to T-5 months</w:t>
            </w:r>
          </w:p>
        </w:tc>
        <w:tc>
          <w:tcPr>
            <w:tcW w:type="dxa" w:w="72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8"/>
              </w:rPr>
              <w:t>Create a canonical source folder, remove duplicates, and prepare a one-page reading guide for each week.</w:t>
            </w:r>
          </w:p>
        </w:tc>
      </w:tr>
      <w:tr>
        <w:trPr>
          <w:cantSplit/>
          <w:trHeight w:hRule="atLeast"/>
        </w:trPr>
        <w:tc>
          <w:tcPr>
            <w:tcW w:type="dxa" w:w="2100"/>
            <w:vAlign w:val="center"/>
            <w:tcMar>
              <w:top w:w="80" w:type="dxa"/>
              <w:start w:w="120" w:type="dxa"/>
              <w:bottom w:w="80" w:type="dxa"/>
              <w:end w:w="120" w:type="dxa"/>
            </w:tcMar>
          </w:tcPr>
          <w:p>
            <w:pPr>
              <w:spacing w:before="20" w:after="20" w:line="259" w:lineRule="auto"/>
            </w:pPr>
            <w:r>
              <w:rPr>
                <w:rFonts w:ascii="Calibri" w:hAnsi="Calibri"/>
                <w:b/>
                <w:color w:val="111827"/>
                <w:sz w:val="18"/>
              </w:rPr>
              <w:t>T-6 to T-4 months</w:t>
            </w:r>
          </w:p>
        </w:tc>
        <w:tc>
          <w:tcPr>
            <w:tcW w:type="dxa" w:w="7260"/>
            <w:vAlign w:val="center"/>
            <w:tcMar>
              <w:top w:w="80" w:type="dxa"/>
              <w:start w:w="120" w:type="dxa"/>
              <w:bottom w:w="80" w:type="dxa"/>
              <w:end w:w="120" w:type="dxa"/>
            </w:tcMar>
          </w:tcPr>
          <w:p>
            <w:pPr>
              <w:spacing w:before="20" w:after="20" w:line="259" w:lineRule="auto"/>
            </w:pPr>
            <w:r>
              <w:rPr>
                <w:rFonts w:ascii="Calibri" w:hAnsi="Calibri"/>
                <w:b w:val="0"/>
                <w:color w:val="111827"/>
                <w:sz w:val="18"/>
              </w:rPr>
              <w:t>Build five starter notebooks: compartments, membrane potential, PK/PD, PBPK/PD, and electroexo module runner.</w:t>
            </w:r>
          </w:p>
        </w:tc>
      </w:tr>
      <w:tr>
        <w:trPr>
          <w:cantSplit/>
          <w:trHeight w:hRule="atLeast"/>
        </w:trPr>
        <w:tc>
          <w:tcPr>
            <w:tcW w:type="dxa" w:w="2100"/>
            <w:shd w:fill="FAFBFC"/>
            <w:vAlign w:val="center"/>
            <w:tcMar>
              <w:top w:w="80" w:type="dxa"/>
              <w:start w:w="120" w:type="dxa"/>
              <w:bottom w:w="80" w:type="dxa"/>
              <w:end w:w="120" w:type="dxa"/>
            </w:tcMar>
          </w:tcPr>
          <w:p>
            <w:pPr>
              <w:spacing w:before="20" w:after="20" w:line="259" w:lineRule="auto"/>
            </w:pPr>
            <w:r>
              <w:rPr>
                <w:rFonts w:ascii="Calibri" w:hAnsi="Calibri"/>
                <w:b/>
                <w:color w:val="111827"/>
                <w:sz w:val="18"/>
              </w:rPr>
              <w:t>T-4 to T-3 months</w:t>
            </w:r>
          </w:p>
        </w:tc>
        <w:tc>
          <w:tcPr>
            <w:tcW w:type="dxa" w:w="72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8"/>
              </w:rPr>
              <w:t>Revise the 14-week slide scaffold with the exact source pages and a common input-state-output-evidence visual language.</w:t>
            </w:r>
          </w:p>
        </w:tc>
      </w:tr>
      <w:tr>
        <w:trPr>
          <w:cantSplit/>
          <w:trHeight w:hRule="atLeast"/>
        </w:trPr>
        <w:tc>
          <w:tcPr>
            <w:tcW w:type="dxa" w:w="2100"/>
            <w:vAlign w:val="center"/>
            <w:tcMar>
              <w:top w:w="80" w:type="dxa"/>
              <w:start w:w="120" w:type="dxa"/>
              <w:bottom w:w="80" w:type="dxa"/>
              <w:end w:w="120" w:type="dxa"/>
            </w:tcMar>
          </w:tcPr>
          <w:p>
            <w:pPr>
              <w:spacing w:before="20" w:after="20" w:line="259" w:lineRule="auto"/>
            </w:pPr>
            <w:r>
              <w:rPr>
                <w:rFonts w:ascii="Calibri" w:hAnsi="Calibri"/>
                <w:b/>
                <w:color w:val="111827"/>
                <w:sz w:val="18"/>
              </w:rPr>
              <w:t>T-3 to T-2 months</w:t>
            </w:r>
          </w:p>
        </w:tc>
        <w:tc>
          <w:tcPr>
            <w:tcW w:type="dxa" w:w="7260"/>
            <w:vAlign w:val="center"/>
            <w:tcMar>
              <w:top w:w="80" w:type="dxa"/>
              <w:start w:w="120" w:type="dxa"/>
              <w:bottom w:w="80" w:type="dxa"/>
              <w:end w:w="120" w:type="dxa"/>
            </w:tcMar>
          </w:tcPr>
          <w:p>
            <w:pPr>
              <w:spacing w:before="20" w:after="20" w:line="259" w:lineRule="auto"/>
            </w:pPr>
            <w:r>
              <w:rPr>
                <w:rFonts w:ascii="Calibri" w:hAnsi="Calibri"/>
                <w:b w:val="0"/>
                <w:color w:val="111827"/>
                <w:sz w:val="18"/>
              </w:rPr>
              <w:t>Pilot Weeks 3, 5, and 12 with noncomputational learners; measure where vocabulary or plots become confusing.</w:t>
            </w:r>
          </w:p>
        </w:tc>
      </w:tr>
      <w:tr>
        <w:trPr>
          <w:cantSplit/>
          <w:trHeight w:hRule="atLeast"/>
        </w:trPr>
        <w:tc>
          <w:tcPr>
            <w:tcW w:type="dxa" w:w="2100"/>
            <w:shd w:fill="FAFBFC"/>
            <w:vAlign w:val="center"/>
            <w:tcMar>
              <w:top w:w="80" w:type="dxa"/>
              <w:start w:w="120" w:type="dxa"/>
              <w:bottom w:w="80" w:type="dxa"/>
              <w:end w:w="120" w:type="dxa"/>
            </w:tcMar>
          </w:tcPr>
          <w:p>
            <w:pPr>
              <w:spacing w:before="20" w:after="20" w:line="259" w:lineRule="auto"/>
            </w:pPr>
            <w:r>
              <w:rPr>
                <w:rFonts w:ascii="Calibri" w:hAnsi="Calibri"/>
                <w:b/>
                <w:color w:val="111827"/>
                <w:sz w:val="18"/>
              </w:rPr>
              <w:t>T-2 to T-1 months</w:t>
            </w:r>
          </w:p>
        </w:tc>
        <w:tc>
          <w:tcPr>
            <w:tcW w:type="dxa" w:w="7260"/>
            <w:shd w:fill="FAFBFC"/>
            <w:vAlign w:val="center"/>
            <w:tcMar>
              <w:top w:w="80" w:type="dxa"/>
              <w:start w:w="120" w:type="dxa"/>
              <w:bottom w:w="80" w:type="dxa"/>
              <w:end w:w="120" w:type="dxa"/>
            </w:tcMar>
          </w:tcPr>
          <w:p>
            <w:pPr>
              <w:spacing w:before="20" w:after="20" w:line="259" w:lineRule="auto"/>
            </w:pPr>
            <w:r>
              <w:rPr>
                <w:rFonts w:ascii="Calibri" w:hAnsi="Calibri"/>
                <w:b w:val="0"/>
                <w:color w:val="111827"/>
                <w:sz w:val="18"/>
              </w:rPr>
              <w:t>Finalize assessments, answer keys, accessibility checks, setup instructions, and a fallback no-install environment.</w:t>
            </w:r>
          </w:p>
        </w:tc>
      </w:tr>
      <w:tr>
        <w:trPr>
          <w:cantSplit/>
          <w:trHeight w:hRule="atLeast"/>
        </w:trPr>
        <w:tc>
          <w:tcPr>
            <w:tcW w:type="dxa" w:w="2100"/>
            <w:vAlign w:val="center"/>
            <w:tcMar>
              <w:top w:w="80" w:type="dxa"/>
              <w:start w:w="120" w:type="dxa"/>
              <w:bottom w:w="80" w:type="dxa"/>
              <w:end w:w="120" w:type="dxa"/>
            </w:tcMar>
          </w:tcPr>
          <w:p>
            <w:pPr>
              <w:spacing w:before="20" w:after="20" w:line="259" w:lineRule="auto"/>
            </w:pPr>
            <w:r>
              <w:rPr>
                <w:rFonts w:ascii="Calibri" w:hAnsi="Calibri"/>
                <w:b/>
                <w:color w:val="111827"/>
                <w:sz w:val="18"/>
              </w:rPr>
              <w:t>During delivery</w:t>
            </w:r>
          </w:p>
        </w:tc>
        <w:tc>
          <w:tcPr>
            <w:tcW w:type="dxa" w:w="7260"/>
            <w:vAlign w:val="center"/>
            <w:tcMar>
              <w:top w:w="80" w:type="dxa"/>
              <w:start w:w="120" w:type="dxa"/>
              <w:bottom w:w="80" w:type="dxa"/>
              <w:end w:w="120" w:type="dxa"/>
            </w:tcMar>
          </w:tcPr>
          <w:p>
            <w:pPr>
              <w:spacing w:before="20" w:after="20" w:line="259" w:lineRule="auto"/>
            </w:pPr>
            <w:r>
              <w:rPr>
                <w:rFonts w:ascii="Calibri" w:hAnsi="Calibri"/>
                <w:b w:val="0"/>
                <w:color w:val="111827"/>
                <w:sz w:val="18"/>
              </w:rPr>
              <w:t>Collect one-minute reflections on what each equation term means biologically and revise the next offering accordingly.</w:t>
            </w:r>
          </w:p>
        </w:tc>
      </w:tr>
    </w:tbl>
    <w:p>
      <w:pPr>
        <w:spacing w:before="80" w:after="80" w:line="240" w:lineRule="auto"/>
      </w:pPr>
      <w:r>
        <w:rPr>
          <w:rFonts w:ascii="Calibri" w:hAnsi="Calibri"/>
          <w:i/>
          <w:color w:val="5B6573"/>
          <w:sz w:val="17"/>
        </w:rPr>
        <w:t>The roadmap is intentionally semester-neutral so it can be aligned to the actual 2027 offering date.</w:t>
      </w:r>
    </w:p>
    <w:p>
      <w:pPr>
        <w:pStyle w:val="Heading1"/>
        <w:keepNext/>
      </w:pPr>
      <w:r>
        <w:t>10. Canonical source roots and reading spine</w:t>
      </w:r>
    </w:p>
    <w:p>
      <w:pPr>
        <w:spacing w:before="0" w:after="120" w:line="300" w:lineRule="auto"/>
      </w:pPr>
      <w:r>
        <w:rPr>
          <w:rFonts w:ascii="Calibri" w:hAnsi="Calibri"/>
          <w:color w:val="111827"/>
          <w:sz w:val="22"/>
        </w:rPr>
        <w:t>Use these roots as the stable source-of-truth locations while assembling the course:</w:t>
      </w:r>
    </w:p>
    <w:p>
      <w:pPr>
        <w:spacing w:before="0" w:after="80" w:line="300" w:lineRule="auto"/>
        <w:numPr>
          <w:ilvl w:val="0"/>
          <w:numId w:val="10"/>
        </w:numPr>
      </w:pPr>
      <w:r>
        <w:rPr>
          <w:rFonts w:ascii="Calibri" w:hAnsi="Calibri"/>
          <w:color w:val="111827"/>
          <w:sz w:val="22"/>
        </w:rPr>
        <w:t>Systems physiology: /Users/aghorban/Library/CloudStorage/OneDrive-Personal/Documents/04-Universities/MCW_MU/Courses/BIEN5700-SystemPhysiology</w:t>
      </w:r>
    </w:p>
    <w:p>
      <w:pPr>
        <w:spacing w:before="0" w:after="80" w:line="300" w:lineRule="auto"/>
        <w:numPr>
          <w:ilvl w:val="0"/>
          <w:numId w:val="10"/>
        </w:numPr>
      </w:pPr>
      <w:r>
        <w:rPr>
          <w:rFonts w:ascii="Calibri" w:hAnsi="Calibri"/>
          <w:color w:val="111827"/>
          <w:sz w:val="22"/>
        </w:rPr>
        <w:t>Computational systems biology: /Users/aghorban/Library/CloudStorage/OneDrive-Personal/Documents/04-Universities/MCW_MU/Courses/BIEN6931-TopicsInBiomedicalEngineering/end of the semester back up/BIEN 6931 701 Topics in Biomedical Engr - 5132018 - 1103 PM</w:t>
      </w:r>
    </w:p>
    <w:p>
      <w:pPr>
        <w:spacing w:before="0" w:after="80" w:line="300" w:lineRule="auto"/>
        <w:numPr>
          <w:ilvl w:val="0"/>
          <w:numId w:val="10"/>
        </w:numPr>
      </w:pPr>
      <w:r>
        <w:rPr>
          <w:rFonts w:ascii="Calibri" w:hAnsi="Calibri"/>
          <w:color w:val="111827"/>
          <w:sz w:val="22"/>
        </w:rPr>
        <w:t>EV-biogenesis manuscript and figures: /Users/aghorban/code/electro-exocytosis</w:t>
      </w:r>
    </w:p>
    <w:p>
      <w:pPr>
        <w:spacing w:before="0" w:after="80" w:line="300" w:lineRule="auto"/>
        <w:numPr>
          <w:ilvl w:val="0"/>
          <w:numId w:val="10"/>
        </w:numPr>
      </w:pPr>
      <w:r>
        <w:rPr>
          <w:rFonts w:ascii="Calibri" w:hAnsi="Calibri"/>
          <w:color w:val="111827"/>
          <w:sz w:val="22"/>
        </w:rPr>
        <w:t>Executable electroexo model and examples: /Users/aghorban/code/electroexo</w:t>
      </w:r>
    </w:p>
    <w:p>
      <w:pPr>
        <w:pStyle w:val="Heading2"/>
        <w:keepNext/>
      </w:pPr>
      <w:r>
        <w:t>Minimal student reading spine</w:t>
      </w:r>
    </w:p>
    <w:p>
      <w:pPr>
        <w:spacing w:before="0" w:after="80" w:line="300" w:lineRule="auto"/>
        <w:numPr>
          <w:ilvl w:val="0"/>
          <w:numId w:val="12"/>
        </w:numPr>
      </w:pPr>
      <w:r>
        <w:rPr>
          <w:rFonts w:ascii="Calibri" w:hAnsi="Calibri"/>
          <w:color w:val="111827"/>
          <w:sz w:val="22"/>
        </w:rPr>
        <w:t>01homeostasis.pdf - homeostasis, membrane transport, exocytosis, and membrane electrical potentials.</w:t>
      </w:r>
    </w:p>
    <w:p>
      <w:pPr>
        <w:spacing w:before="0" w:after="80" w:line="300" w:lineRule="auto"/>
        <w:numPr>
          <w:ilvl w:val="0"/>
          <w:numId w:val="12"/>
        </w:numPr>
      </w:pPr>
      <w:r>
        <w:rPr>
          <w:rFonts w:ascii="Calibri" w:hAnsi="Calibri"/>
          <w:color w:val="111827"/>
          <w:sz w:val="22"/>
        </w:rPr>
        <w:t>Dash_Lect1_Intro_Sim_Biol_Syst_Spring_2018.pdf - what computational systems biology is and how models are developed.</w:t>
      </w:r>
    </w:p>
    <w:p>
      <w:pPr>
        <w:spacing w:before="0" w:after="80" w:line="300" w:lineRule="auto"/>
        <w:numPr>
          <w:ilvl w:val="0"/>
          <w:numId w:val="12"/>
        </w:numPr>
      </w:pPr>
      <w:r>
        <w:rPr>
          <w:rFonts w:ascii="Calibri" w:hAnsi="Calibri"/>
          <w:color w:val="111827"/>
          <w:sz w:val="22"/>
        </w:rPr>
        <w:t>Introduction to Compartmental Modeling (1).pdf - the core mass-balance examples.</w:t>
      </w:r>
    </w:p>
    <w:p>
      <w:pPr>
        <w:spacing w:before="0" w:after="80" w:line="300" w:lineRule="auto"/>
        <w:numPr>
          <w:ilvl w:val="0"/>
          <w:numId w:val="12"/>
        </w:numPr>
      </w:pPr>
      <w:r>
        <w:rPr>
          <w:rFonts w:ascii="Calibri" w:hAnsi="Calibri"/>
          <w:color w:val="111827"/>
          <w:sz w:val="22"/>
        </w:rPr>
        <w:t>Numerical_methods_Spring_2018.pdf - solver intuition and numerical error.</w:t>
      </w:r>
    </w:p>
    <w:p>
      <w:pPr>
        <w:spacing w:before="0" w:after="80" w:line="300" w:lineRule="auto"/>
        <w:numPr>
          <w:ilvl w:val="0"/>
          <w:numId w:val="12"/>
        </w:numPr>
      </w:pPr>
      <w:r>
        <w:rPr>
          <w:rFonts w:ascii="Calibri" w:hAnsi="Calibri"/>
          <w:color w:val="111827"/>
          <w:sz w:val="22"/>
        </w:rPr>
        <w:t>Compartmental_Kinetic_PKPD_Modeling.pdf and PBPK_spring_2018.pdf - staged exposure/effect and physiology-based compartments.</w:t>
      </w:r>
    </w:p>
    <w:p>
      <w:pPr>
        <w:spacing w:before="0" w:after="80" w:line="300" w:lineRule="auto"/>
        <w:numPr>
          <w:ilvl w:val="0"/>
          <w:numId w:val="12"/>
        </w:numPr>
      </w:pPr>
      <w:r>
        <w:rPr>
          <w:rFonts w:ascii="Calibri" w:hAnsi="Calibri"/>
          <w:color w:val="111827"/>
          <w:sz w:val="22"/>
        </w:rPr>
        <w:t>Electrochemical_gradient_4_2_2018.pdf and Resting_membrane_potential_4_2_2-18.pdf - charged transport and voltage.</w:t>
      </w:r>
    </w:p>
    <w:p>
      <w:pPr>
        <w:spacing w:before="0" w:after="80" w:line="300" w:lineRule="auto"/>
        <w:numPr>
          <w:ilvl w:val="0"/>
          <w:numId w:val="12"/>
        </w:numPr>
      </w:pPr>
      <w:r>
        <w:rPr>
          <w:rFonts w:ascii="Calibri" w:hAnsi="Calibri"/>
          <w:color w:val="111827"/>
          <w:sz w:val="22"/>
        </w:rPr>
        <w:t>Dash_Modeling Biochemical Reaction Systems.pdf - rate laws, energy coupling, and enzyme kinetics.</w:t>
      </w:r>
    </w:p>
    <w:p>
      <w:pPr>
        <w:spacing w:before="0" w:after="80" w:line="300" w:lineRule="auto"/>
        <w:numPr>
          <w:ilvl w:val="0"/>
          <w:numId w:val="12"/>
        </w:numPr>
      </w:pPr>
      <w:r>
        <w:rPr>
          <w:rFonts w:ascii="Calibri" w:hAnsi="Calibri"/>
          <w:color w:val="111827"/>
          <w:sz w:val="22"/>
        </w:rPr>
        <w:t>The manuscript module map plus README.md and docs/model_assumptions.md - the final EV framework and its limitations.</w:t>
      </w:r>
    </w:p>
    <w:p>
      <w:pPr>
        <w:pStyle w:val="Heading2"/>
        <w:keepNext/>
      </w:pPr>
      <w:r>
        <w:t>Immediate next build</w:t>
      </w:r>
    </w:p>
    <w:tbl>
      <w:tblPr>
        <w:tblW w:type="dxa" w:w="9360"/>
        <w:jc w:val="left"/>
        <w:tblLayout w:type="fixed"/>
        <w:tblLook w:firstColumn="1" w:firstRow="1" w:lastColumn="0" w:lastRow="0" w:noHBand="0" w:noVBand="1" w:val="04A0"/>
        <w:tblInd w:w="120" w:type="dxa"/>
        <w:tblBorders>
          <w:top w:val="single" w:sz="5" w:space="0" w:color="2E74B5"/>
          <w:left w:val="single" w:sz="5" w:space="0" w:color="2E74B5"/>
          <w:bottom w:val="single" w:sz="5" w:space="0" w:color="2E74B5"/>
          <w:right w:val="single" w:sz="5" w:space="0" w:color="2E74B5"/>
          <w:insideH w:val="single" w:sz="5" w:space="0" w:color="2E74B5"/>
          <w:insideV w:val="single" w:sz="5" w:space="0" w:color="2E74B5"/>
        </w:tblBorders>
      </w:tblPr>
      <w:tblGrid>
        <w:gridCol w:w="9360"/>
      </w:tblGrid>
      <w:tr>
        <w:trPr>
          <w:trHeight w:hRule="atLeast"/>
          <w:tblHeader w:val="true"/>
          <w:cantSplit/>
        </w:trPr>
        <w:tc>
          <w:tcPr>
            <w:tcW w:type="dxa" w:w="9360"/>
            <w:vAlign w:val="center"/>
            <w:tcMar>
              <w:top w:w="80" w:type="dxa"/>
              <w:start w:w="120" w:type="dxa"/>
              <w:bottom w:w="80" w:type="dxa"/>
              <w:end w:w="120" w:type="dxa"/>
            </w:tcMar>
            <w:shd w:fill="F4F6F9"/>
          </w:tcPr>
          <w:p>
            <w:pPr>
              <w:spacing w:before="40" w:after="40" w:line="276" w:lineRule="auto"/>
            </w:pPr>
            <w:r>
              <w:rPr>
                <w:rFonts w:ascii="Calibri" w:hAnsi="Calibri"/>
                <w:b/>
                <w:color w:val="2E74B5"/>
                <w:sz w:val="21"/>
              </w:rPr>
              <w:t xml:space="preserve">Recommended next artifact: </w:t>
            </w:r>
            <w:r>
              <w:rPr>
                <w:rFonts w:ascii="Calibri" w:hAnsi="Calibri"/>
                <w:color w:val="111827"/>
                <w:sz w:val="21"/>
              </w:rPr>
              <w:t>Update the existing 14-week syllabus and slide authoring pipeline with these exact page assignments, then build the first four starter notebooks. That sequence locks the course architecture before substantial slide production begins.</w:t>
            </w:r>
          </w:p>
        </w:tc>
      </w:tr>
    </w:tbl>
    <w:p>
      <w:pPr>
        <w:spacing w:before="80" w:after="80" w:line="240" w:lineRule="auto"/>
      </w:pPr>
      <w:r>
        <w:rPr>
          <w:rFonts w:ascii="Calibri" w:hAnsi="Calibri"/>
          <w:i/>
          <w:color w:val="5B6573"/>
          <w:sz w:val="17"/>
        </w:rPr>
      </w:r>
    </w:p>
    <w:p>
      <w:pPr>
        <w:pStyle w:val="Heading2"/>
        <w:keepNext/>
      </w:pPr>
      <w:r>
        <w:t>Planning decisions to confirm</w:t>
      </w:r>
    </w:p>
    <w:p>
      <w:pPr>
        <w:spacing w:before="0" w:after="80" w:line="300" w:lineRule="auto"/>
        <w:numPr>
          <w:ilvl w:val="0"/>
          <w:numId w:val="10"/>
        </w:numPr>
      </w:pPr>
      <w:r>
        <w:rPr>
          <w:rFonts w:ascii="Calibri" w:hAnsi="Calibri"/>
          <w:color w:val="111827"/>
          <w:sz w:val="22"/>
        </w:rPr>
        <w:t>Primary audience, assumed biology background, and whether any coding experience can be expected.</w:t>
      </w:r>
    </w:p>
    <w:p>
      <w:pPr>
        <w:spacing w:before="0" w:after="80" w:line="300" w:lineRule="auto"/>
        <w:numPr>
          <w:ilvl w:val="0"/>
          <w:numId w:val="10"/>
        </w:numPr>
      </w:pPr>
      <w:r>
        <w:rPr>
          <w:rFonts w:ascii="Calibri" w:hAnsi="Calibri"/>
          <w:color w:val="111827"/>
          <w:sz w:val="22"/>
        </w:rPr>
        <w:t>Full 14-week course, compressed 10-session seminar, or both as linked formats.</w:t>
      </w:r>
    </w:p>
    <w:p>
      <w:pPr>
        <w:spacing w:before="0" w:after="80" w:line="300" w:lineRule="auto"/>
        <w:numPr>
          <w:ilvl w:val="0"/>
          <w:numId w:val="10"/>
        </w:numPr>
      </w:pPr>
      <w:r>
        <w:rPr>
          <w:rFonts w:ascii="Calibri" w:hAnsi="Calibri"/>
          <w:color w:val="111827"/>
          <w:sz w:val="22"/>
        </w:rPr>
        <w:t>Contact time, laboratory time, and the balance between discussion, equations, and hands-on simulation.</w:t>
      </w:r>
    </w:p>
    <w:p>
      <w:pPr>
        <w:spacing w:before="0" w:after="80" w:line="300" w:lineRule="auto"/>
        <w:numPr>
          <w:ilvl w:val="0"/>
          <w:numId w:val="10"/>
        </w:numPr>
      </w:pPr>
      <w:r>
        <w:rPr>
          <w:rFonts w:ascii="Calibri" w:hAnsi="Calibri"/>
          <w:color w:val="111827"/>
          <w:sz w:val="22"/>
        </w:rPr>
        <w:t>A no-install computational environment, accessibility requirements, and the level of Python exposed to students.</w:t>
      </w:r>
    </w:p>
    <w:p>
      <w:pPr>
        <w:spacing w:before="0" w:after="80" w:line="300" w:lineRule="auto"/>
        <w:numPr>
          <w:ilvl w:val="0"/>
          <w:numId w:val="10"/>
        </w:numPr>
      </w:pPr>
      <w:r>
        <w:rPr>
          <w:rFonts w:ascii="Calibri" w:hAnsi="Calibri"/>
          <w:color w:val="111827"/>
          <w:sz w:val="22"/>
        </w:rPr>
        <w:t>Capstone team size, deliverables, evidence expectations, and the boundary between explanation and model extension.</w:t>
      </w:r>
    </w:p>
    <w:p>
      <w:pPr>
        <w:spacing w:before="0" w:after="80" w:line="300" w:lineRule="auto"/>
        <w:numPr>
          <w:ilvl w:val="0"/>
          <w:numId w:val="10"/>
        </w:numPr>
      </w:pPr>
      <w:r>
        <w:rPr>
          <w:rFonts w:ascii="Calibri" w:hAnsi="Calibri"/>
          <w:color w:val="111827"/>
          <w:sz w:val="22"/>
        </w:rPr>
        <w:t>One recurring cell type and EV application that can anchor examples across the semester.</w:t>
      </w:r>
    </w:p>
    <w:p>
      <w:pPr>
        <w:spacing w:before="0" w:after="80" w:line="300" w:lineRule="auto"/>
        <w:numPr>
          <w:ilvl w:val="0"/>
          <w:numId w:val="10"/>
        </w:numPr>
      </w:pPr>
      <w:r>
        <w:rPr>
          <w:rFonts w:ascii="Calibri" w:hAnsi="Calibri"/>
          <w:color w:val="111827"/>
          <w:sz w:val="22"/>
        </w:rPr>
        <w:t>Language for distinguishing validated mechanisms, plausible hypotheses, and exploratory model components.</w:t>
      </w:r>
    </w:p>
    <w:tbl>
      <w:tblPr>
        <w:tblW w:type="dxa" w:w="9360"/>
        <w:jc w:val="left"/>
        <w:tblLayout w:type="fixed"/>
        <w:tblLook w:firstColumn="1" w:firstRow="1" w:lastColumn="0" w:lastRow="0" w:noHBand="0" w:noVBand="1" w:val="04A0"/>
        <w:tblInd w:w="120" w:type="dxa"/>
        <w:tblBorders>
          <w:top w:val="single" w:sz="5" w:space="0" w:color="2E74B5"/>
          <w:left w:val="single" w:sz="5" w:space="0" w:color="2E74B5"/>
          <w:bottom w:val="single" w:sz="5" w:space="0" w:color="2E74B5"/>
          <w:right w:val="single" w:sz="5" w:space="0" w:color="2E74B5"/>
          <w:insideH w:val="single" w:sz="5" w:space="0" w:color="2E74B5"/>
          <w:insideV w:val="single" w:sz="5" w:space="0" w:color="2E74B5"/>
        </w:tblBorders>
      </w:tblPr>
      <w:tblGrid>
        <w:gridCol w:w="9360"/>
      </w:tblGrid>
      <w:tr>
        <w:trPr>
          <w:trHeight w:hRule="atLeast"/>
          <w:tblHeader w:val="true"/>
          <w:cantSplit/>
        </w:trPr>
        <w:tc>
          <w:tcPr>
            <w:tcW w:type="dxa" w:w="9360"/>
            <w:vAlign w:val="center"/>
            <w:tcMar>
              <w:top w:w="80" w:type="dxa"/>
              <w:start w:w="120" w:type="dxa"/>
              <w:bottom w:w="80" w:type="dxa"/>
              <w:end w:w="120" w:type="dxa"/>
            </w:tcMar>
            <w:shd w:fill="F4F6F9"/>
          </w:tcPr>
          <w:p>
            <w:pPr>
              <w:spacing w:before="40" w:after="40" w:line="276" w:lineRule="auto"/>
            </w:pPr>
            <w:r>
              <w:rPr>
                <w:rFonts w:ascii="Calibri" w:hAnsi="Calibri"/>
                <w:b/>
                <w:color w:val="2E74B5"/>
                <w:sz w:val="21"/>
              </w:rPr>
              <w:t xml:space="preserve">Course-design filter: </w:t>
            </w:r>
            <w:r>
              <w:rPr>
                <w:rFonts w:ascii="Calibri" w:hAnsi="Calibri"/>
                <w:color w:val="111827"/>
                <w:sz w:val="21"/>
              </w:rPr>
              <w:t>Keep a concept, equation, or computational exercise only when it helps students explain a model interface, interpret an output, or judge the strength of the supporting evidence.</w:t>
            </w:r>
          </w:p>
        </w:tc>
      </w:tr>
    </w:tbl>
    <w:p>
      <w:pPr>
        <w:spacing w:before="80" w:after="80" w:line="240" w:lineRule="auto"/>
      </w:pPr>
      <w:r>
        <w:rPr>
          <w:rFonts w:ascii="Calibri" w:hAnsi="Calibri"/>
          <w:i/>
          <w:color w:val="5B6573"/>
          <w:sz w:val="17"/>
        </w:rPr>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B6573"/>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7"/>
      </w:rPr>
      <w:t>Curriculum development draft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E74B5"/>
        <w:sz w:val="17"/>
      </w:rPr>
      <w:t>COURSE PLANNING GUIDE</w:t>
    </w:r>
    <w:r>
      <w:rPr>
        <w:rFonts w:ascii="Calibri" w:hAnsi="Calibri"/>
        <w:color w:val="5B6573"/>
        <w:sz w:val="17"/>
      </w:rPr>
      <w:t xml:space="preserve">  |  Computational Systems Biology for EV Biogenesis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1"/>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1"/>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1"/>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urseCaption">
    <w:name w:val="Course Caption"/>
    <w:pPr>
      <w:spacing w:before="100" w:after="160" w:line="240" w:lineRule="auto"/>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Cell Physiology to Modular EV Biogenesis Simulation</dc:title>
  <dc:subject>Course planning guide for computational systems biology and electro-exocytosis</dc:subject>
  <dc:creator>Course planning draft</dc:creator>
  <cp:keywords>computational systems biology, EV biogenesis, electro-exocytosis, compartmental modeling, PKPD, PBPK</cp:keywords>
  <dc:description>Prepared from local course archives, manuscript materials, and executable model assets.</dc:description>
  <cp:lastModifiedBy/>
  <cp:revision>1</cp:revision>
  <dcterms:created xsi:type="dcterms:W3CDTF">2013-12-23T23:15:00Z</dcterms:created>
  <dcterms:modified xsi:type="dcterms:W3CDTF">2013-12-23T23:15:00Z</dcterms:modified>
  <cp:category/>
</cp:coreProperties>
</file>